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Securities Exchange Act of 1934</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340" w:hanging="4"/>
        <w:spacing w:after="0" w:line="250" w:lineRule="auto"/>
        <w:tabs>
          <w:tab w:leader="none" w:pos="1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11"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sz w:val="24"/>
          <w:szCs w:val="24"/>
          <w:color w:val="auto"/>
        </w:rPr>
      </w:pPr>
    </w:p>
    <w:p>
      <w:pPr>
        <w:ind w:left="820" w:hanging="353"/>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820" w:right="20" w:hanging="353"/>
        <w:spacing w:after="0" w:line="290" w:lineRule="auto"/>
        <w:tabs>
          <w:tab w:leader="none" w:pos="82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7"/>
          <w:szCs w:val="17"/>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3390900</wp:posOffset>
            </wp:positionH>
            <wp:positionV relativeFrom="page">
              <wp:posOffset>337820</wp:posOffset>
            </wp:positionV>
            <wp:extent cx="780415" cy="831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804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April 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offices of the Company located at 2002 Summit Boulevard,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Atlanta, Georgia 30319, on Wednesday, May 9, 2012, at 9:00 a.m., Eastern Daylight Time. The matters to be considered by shareholders at the Annual Meeting are described in detail in the accompanying materials.</w:t>
      </w:r>
    </w:p>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but will ensure that your vote is counted if you are unable to attend.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17220"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46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jc w:val="center"/>
        <w:ind w:right="-19"/>
        <w:spacing w:after="0" w:line="204" w:lineRule="auto"/>
        <w:rPr>
          <w:sz w:val="20"/>
          <w:szCs w:val="20"/>
          <w:color w:val="auto"/>
        </w:rPr>
      </w:pPr>
      <w:r>
        <w:rPr>
          <w:rFonts w:ascii="Arial" w:cs="Arial" w:eastAsia="Arial" w:hAnsi="Arial"/>
          <w:sz w:val="18"/>
          <w:szCs w:val="18"/>
          <w:b w:val="1"/>
          <w:bCs w:val="1"/>
          <w:color w:val="auto"/>
        </w:rPr>
        <w:t>2002 Summit Boulevard, 6</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Atlanta, Georgia 30319</w:t>
      </w:r>
    </w:p>
    <w:p>
      <w:pPr>
        <w:spacing w:after="0" w:line="232"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9, 2012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3" w:lineRule="exact"/>
        <w:rPr>
          <w:sz w:val="20"/>
          <w:szCs w:val="20"/>
          <w:color w:val="auto"/>
        </w:rPr>
      </w:pPr>
    </w:p>
    <w:p>
      <w:pPr>
        <w:ind w:left="460"/>
        <w:spacing w:after="0"/>
        <w:tabs>
          <w:tab w:leader="none" w:pos="228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9, 2012</w:t>
      </w:r>
    </w:p>
    <w:p>
      <w:pPr>
        <w:sectPr>
          <w:pgSz w:w="11900" w:h="16838" w:orient="portrait"/>
          <w:cols w:equalWidth="0" w:num="1">
            <w:col w:w="11420"/>
          </w:cols>
          <w:pgMar w:left="240" w:top="513" w:right="2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9:00 a.m., Eastern Daylight Time</w:t>
      </w:r>
    </w:p>
    <w:p>
      <w:pPr>
        <w:spacing w:after="0" w:line="207"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Ocwen Financial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2002 Summit Boulevard, 6</w:t>
      </w:r>
      <w:r>
        <w:rPr>
          <w:rFonts w:ascii="Arial" w:cs="Arial" w:eastAsia="Arial" w:hAnsi="Arial"/>
          <w:sz w:val="11"/>
          <w:szCs w:val="11"/>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30319</w:t>
      </w:r>
    </w:p>
    <w:p>
      <w:pPr>
        <w:spacing w:after="0" w:line="200" w:lineRule="exact"/>
        <w:rPr>
          <w:sz w:val="20"/>
          <w:szCs w:val="20"/>
          <w:color w:val="auto"/>
        </w:rPr>
      </w:pPr>
    </w:p>
    <w:p>
      <w:pPr>
        <w:sectPr>
          <w:pgSz w:w="11900" w:h="16838" w:orient="portrait"/>
          <w:cols w:equalWidth="0" w:num="2">
            <w:col w:w="1580" w:space="720"/>
            <w:col w:w="9120"/>
          </w:cols>
          <w:pgMar w:left="240" w:top="513"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56" w:lineRule="exact"/>
        <w:rPr>
          <w:sz w:val="20"/>
          <w:szCs w:val="20"/>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(6) Directors for one (1) year terms or until their successors are elected and qualified;</w:t>
      </w:r>
    </w:p>
    <w:p>
      <w:pPr>
        <w:spacing w:after="0" w:line="225" w:lineRule="exact"/>
        <w:rPr>
          <w:rFonts w:ascii="Arial" w:cs="Arial" w:eastAsia="Arial" w:hAnsi="Arial"/>
          <w:sz w:val="18"/>
          <w:szCs w:val="18"/>
          <w:color w:val="auto"/>
        </w:rPr>
      </w:pPr>
    </w:p>
    <w:p>
      <w:pPr>
        <w:ind w:left="920" w:right="420" w:hanging="45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our Board of Directors of Deloitte &amp; Touche LLP as the independent registered public accounting firm of Ocwen Financial Corporation for the fiscal year ending December 31, 2012;</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w:t>
      </w:r>
      <w:r>
        <w:rPr>
          <w:rFonts w:ascii="Arial" w:cs="Arial" w:eastAsia="Arial" w:hAnsi="Arial"/>
          <w:sz w:val="18"/>
          <w:szCs w:val="18"/>
          <w:i w:val="1"/>
          <w:iCs w:val="1"/>
          <w:color w:val="auto"/>
        </w:rPr>
        <w:t>Say-on-Pay</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920" w:right="80" w:hanging="453"/>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of the meeting. Management is not aware of any such other business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56" w:lineRule="exact"/>
        <w:rPr>
          <w:sz w:val="20"/>
          <w:szCs w:val="20"/>
          <w:color w:val="auto"/>
        </w:rPr>
      </w:pPr>
    </w:p>
    <w:p>
      <w:pPr>
        <w:ind w:left="920" w:right="180" w:hanging="453"/>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15, 2012 as the record date for the determination of shareholders entitled to notice of and to vote at the Annual Meeting.</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proxy statement for our 2012 Annual Meeting of Shareholders and our annual report to shareholders on Form 10-K for the year ended December 31, 2011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Additionally, and in accordance with Securities and Exchange Commission rules, you may access our annual report and proxy materials at </w:t>
      </w:r>
      <w:r>
        <w:rPr>
          <w:rFonts w:ascii="Arial" w:cs="Arial" w:eastAsia="Arial" w:hAnsi="Arial"/>
          <w:sz w:val="18"/>
          <w:szCs w:val="18"/>
          <w:u w:val="single" w:color="auto"/>
          <w:color w:val="auto"/>
        </w:rPr>
        <w:t>http://shareholders.ocwen.com/sec.cfm</w:t>
      </w:r>
      <w:r>
        <w:rPr>
          <w:rFonts w:ascii="Arial" w:cs="Arial" w:eastAsia="Arial" w:hAnsi="Arial"/>
          <w:sz w:val="18"/>
          <w:szCs w:val="18"/>
          <w:color w:val="auto"/>
        </w:rPr>
        <w:t>, a website that does not identify or track visitors of the 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24663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Paul A. Koches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a holder of common stock of Ocwen Financial Corporation (“Ocwen”), you have been sent this proxy statement on or about April 4, 2012 because our Board of Directors is soliciting your proxy to be used at our Annual Meeting of Shareholders (the “Annual Meeting”) and at any adjournment of this meeting. The Annual Meeting will be held at our offices located at 2002 Summit Boulevard, 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Atlanta, Georgia 30319, on Wednesday, May 9, 2012, at 9:00 a.m., Eastern Daylight Time for the purposes listed in the Notice of Annual Meeting of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are a record holder and you properly complete, sign and return your proxy to Ocwen and do not revoke it prior to its use, it will be voted in accordance with your instructions. If you do not give contrary instructions, each proxy received will be voted:</w:t>
      </w:r>
    </w:p>
    <w:p>
      <w:pPr>
        <w:spacing w:after="0" w:line="197"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of the nominees for Director;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ratification of the appointment of Deloitte &amp; Touche LLP as our independent registered public accounting firm for 2012;</w:t>
      </w:r>
    </w:p>
    <w:p>
      <w:pPr>
        <w:spacing w:after="0" w:line="225"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approval, on an advisory basis, of the compensation of Ocwen’s executive officers whose compensation is disclosed in this proxy statement (“named executive officers”) (“</w:t>
      </w:r>
      <w:r>
        <w:rPr>
          <w:rFonts w:ascii="Arial" w:cs="Arial" w:eastAsia="Arial" w:hAnsi="Arial"/>
          <w:sz w:val="18"/>
          <w:szCs w:val="18"/>
          <w:i w:val="1"/>
          <w:iCs w:val="1"/>
          <w:color w:val="auto"/>
        </w:rPr>
        <w:t>Say-on-Pay</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880" w:right="56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any other business that properly comes before the meeting in accordance with the best judgment of the persons appointed as proxies.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Your proxy may be used only at the Annual Meeting and any adjournment of this meeting and may not be used for any other meeting. You have the power to revoke your proxy at any time before it is exercised 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PROCEDURES</w:t>
      </w:r>
    </w:p>
    <w:p>
      <w:pPr>
        <w:spacing w:after="0" w:line="252"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w:t>
      </w:r>
    </w:p>
    <w:p>
      <w:pPr>
        <w:spacing w:after="0" w:line="225" w:lineRule="exact"/>
        <w:rPr>
          <w:rFonts w:ascii="Arial" w:cs="Arial" w:eastAsia="Arial" w:hAnsi="Arial"/>
          <w:sz w:val="18"/>
          <w:szCs w:val="18"/>
          <w:color w:val="auto"/>
        </w:rPr>
      </w:pPr>
    </w:p>
    <w:p>
      <w:pPr>
        <w:ind w:left="880" w:right="8040"/>
        <w:spacing w:after="0" w:line="302" w:lineRule="auto"/>
        <w:rPr>
          <w:rFonts w:ascii="Arial" w:cs="Arial" w:eastAsia="Arial" w:hAnsi="Arial"/>
          <w:sz w:val="18"/>
          <w:szCs w:val="18"/>
          <w:color w:val="auto"/>
        </w:rPr>
      </w:pPr>
      <w:r>
        <w:rPr>
          <w:rFonts w:ascii="Arial" w:cs="Arial" w:eastAsia="Arial" w:hAnsi="Arial"/>
          <w:sz w:val="16"/>
          <w:szCs w:val="16"/>
          <w:color w:val="auto"/>
        </w:rPr>
        <w:t>Paul A. Koches, Secretary Ocwen Financial Corporation 1661 Worthington Road, Suite 100 West Palm Beach, Florida 33409</w:t>
      </w:r>
    </w:p>
    <w:p>
      <w:pPr>
        <w:spacing w:after="0" w:line="154"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5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You are entitled to vote at the Annual Meeting or any adjournment of this meeting if you are a holder of record of our common stock at the close of business on March 15, 2012. At the close of business on March 15, 2012, there were 132,199,974 shares of common stock issued and outstanding and no other class of equity securities outstanding. Each share of our common stock is entitled to one (1) vote at the Annual Meeting on all matters properly presented.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be cast, represented in person or by proxy, will constitute a quorum for the transaction of business at the Annual Meeting.</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Assuming a quorum, the six (6) nominees for Director receiving a plurality of the votes cast for Director will be elected as Directors of Ocwen. You may vote in favor of or withhold authority to vote for one (1) or more nominees for Director. The proposal to ratify the appointment of Deloitte &amp; Touche LLP as our independent registered public accounting firm for 2012 and any other matter properly submitted for your consideration at the Annual Meeting will be approved if the votes cast in favor of the action exceed the votes cast opposing the action. Because proposal (3) three to approve the Say-on-Pay is advisory in nature, there is no specific requirement for approval for this proposal. It will be up to the Compensation Committee and the Board of Directors to determine whether and how to implement the votes on executive compensation.</w:t>
      </w:r>
    </w:p>
    <w:p>
      <w:pPr>
        <w:spacing w:after="0" w:line="22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Abstentions and broker “non-votes” will not be counted in determining the votes cast in connection with the foregoing matters. A broker “non-vote” occurs when a shareholder has not provided voting instructions to the broker on a non-routine item. In such cases, the New York Stock Exchange precludes brokers from giving a proxy to vote on non-routine items.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Holder</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are a beneficial owner of shares, your broker will ask you how you want your shares to be voted. If you give the broker instructions, the broker will vote your shares as you direct. If your broker does not receive instructions from you about how your shares are to be voted, one of two things can happen depending on the type of proposal. If the proposal involves a “routine” matter,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It is therefore important that you provide instructions to your broker if your shares are held by a broker so that your votes with respect to election of directors, executive compensation and any other “non-routine” matters are counted.</w:t>
      </w:r>
    </w:p>
    <w:p>
      <w:pPr>
        <w:spacing w:after="0" w:line="2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Even if the shares you own are held in “street name” by a bank or brokerage firm, you are considered the beneficial owner of the shares, and your bank or brokerage firm, as the record holder of your shares, is required to vote your shares according to your instructions. To vote your shares, you will need to follow the directions your bank or brokerage firm provides you. Many banks and brokerage firms offer the option of voting over the internet or by telephone. Please contact your bank or brokerage firm for further information.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Bylaws provide that our Board of Directors shall consist of no less than three (3) and no more than eight (8) members with the exact number to be fixed by our Board of Directors. On March 5, 2012, our Board of Directors fixed the number of Directors at six (6), to be effective immediately following the 2012 Annual Meeting of Shareholders to be held on May 9, 2012. Directors are elected annually and hold office until the earlier of the election and qualification of their successors or their resignation and removal.</w:t>
      </w:r>
    </w:p>
    <w:p>
      <w:pPr>
        <w:spacing w:after="0" w:line="21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will propose the six (6) nominees listed below for election as Directors at the Annual Meeting. All nominees currently serve as our Directors. There are no arrangements or understandings between any nominee and any other person for selection as a nominee.</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will nominate and vote for a replacement nominee recommended by our Board of Directors. At this time, our Board of Directors knows of no reason why any of the nominees would not be able or willing to serve as Director if elected.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w:t>
            </w: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Age(1)</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2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Since</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20" w:type="dxa"/>
            <w:vAlign w:val="bottom"/>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89"/>
              </w:rPr>
              <w:t>1988</w:t>
            </w:r>
          </w:p>
        </w:tc>
        <w:tc>
          <w:tcPr>
            <w:tcW w:w="1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9"/>
              </w:rPr>
              <w:t>X(2)</w:t>
            </w:r>
          </w:p>
        </w:tc>
        <w:tc>
          <w:tcPr>
            <w:tcW w:w="1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Ronald M. Faris</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AF9E8"/>
          </w:tcPr>
          <w:p>
            <w:pPr>
              <w:spacing w:after="0"/>
              <w:rPr>
                <w:sz w:val="20"/>
                <w:szCs w:val="20"/>
                <w:color w:val="auto"/>
              </w:rPr>
            </w:pPr>
            <w:r>
              <w:rPr>
                <w:rFonts w:ascii="Arial" w:cs="Arial" w:eastAsia="Arial" w:hAnsi="Arial"/>
                <w:sz w:val="18"/>
                <w:szCs w:val="18"/>
                <w:color w:val="auto"/>
              </w:rPr>
              <w:t>Ronald J. Korn</w:t>
            </w:r>
          </w:p>
        </w:tc>
        <w:tc>
          <w:tcPr>
            <w:tcW w:w="15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9"/>
              </w:rPr>
              <w:t>71</w:t>
            </w:r>
          </w:p>
        </w:tc>
        <w:tc>
          <w:tcPr>
            <w:tcW w:w="1500" w:type="dxa"/>
            <w:vAlign w:val="bottom"/>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2003</w:t>
            </w: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X(2)</w:t>
            </w: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rPr>
              <w:t>X</w:t>
            </w: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William H. Lacy</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67</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2002</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X(2)</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AF9E8"/>
          </w:tcPr>
          <w:p>
            <w:pPr>
              <w:spacing w:after="0"/>
              <w:rPr>
                <w:sz w:val="20"/>
                <w:szCs w:val="20"/>
                <w:color w:val="auto"/>
              </w:rPr>
            </w:pPr>
            <w:r>
              <w:rPr>
                <w:rFonts w:ascii="Arial" w:cs="Arial" w:eastAsia="Arial" w:hAnsi="Arial"/>
                <w:sz w:val="18"/>
                <w:szCs w:val="18"/>
                <w:color w:val="auto"/>
              </w:rPr>
              <w:t>Robert A. Salcetti</w:t>
            </w:r>
          </w:p>
        </w:tc>
        <w:tc>
          <w:tcPr>
            <w:tcW w:w="15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9"/>
              </w:rPr>
              <w:t>57</w:t>
            </w:r>
          </w:p>
        </w:tc>
        <w:tc>
          <w:tcPr>
            <w:tcW w:w="15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rPr>
              <w:t>X</w:t>
            </w: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Barry N. Wish</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70</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1988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X(2)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80" w:hanging="472"/>
        <w:spacing w:after="0"/>
        <w:tabs>
          <w:tab w:leader="none" w:pos="4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March 15, 2012.</w:t>
      </w:r>
    </w:p>
    <w:p>
      <w:pPr>
        <w:spacing w:after="0" w:line="171" w:lineRule="exact"/>
        <w:rPr>
          <w:rFonts w:ascii="Arial" w:cs="Arial" w:eastAsia="Arial" w:hAnsi="Arial"/>
          <w:sz w:val="25"/>
          <w:szCs w:val="25"/>
          <w:color w:val="auto"/>
          <w:vertAlign w:val="superscript"/>
        </w:rPr>
      </w:pPr>
    </w:p>
    <w:p>
      <w:pPr>
        <w:ind w:left="480" w:hanging="472"/>
        <w:spacing w:after="0"/>
        <w:tabs>
          <w:tab w:leader="none" w:pos="48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Committee Chairman.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additional biographical information and specific qualifications of each Director are set forth below.</w:t>
      </w:r>
    </w:p>
    <w:p>
      <w:pPr>
        <w:spacing w:after="0" w:line="2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William C. Erbey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Erbey has served as the Executive Chairman of the Board of Directors of Ocwen since September 1996, as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Ocwen from January 1988 to October 2010 and as the President of Ocwen from January 1988 to May 1998. Mr. Erbey has also served as Chairman of the Board of Directors for Altisource Portfolio Solutions S.A. since July 2009. From 1983 to 1995, Mr. Erbey served as a Managing General Partner of The Oxford Financial Group, a private investment partnership that was the predecessor of Ocwen. He is also the founder and Chairman of Home Loan Servicing Solutions, Ltd., a Cayman Islands exempted company, formed in December 2010 to acquire mortgage servicing assets.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Masters of Business Administration from Harvard University.</w:t>
      </w:r>
    </w:p>
    <w:p>
      <w:pPr>
        <w:spacing w:after="0" w:line="22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With extensive experience in the financial services and mortgage industries, Mr. Erbey provides the Board of Directors with an informed perspective and thoughtful insights into strategic and operational opportunities, economic and industry trends of relevance to the Company and guidance on the competitive positioning of the Company. Throughout his tenure, Mr. Erbey has successfully demonstrated his business acumen and commitment to our Company. His wide-ranging expertise in the financial services business and extraordinary leadership capabilities are recognized as invaluable by the Board of Directors.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right="4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Through twenty (20) years of experience and various roles within Ocwen, particularly over the past ten (10) years serving as President of the Company and more recently as our Chief Executive Officer, Mr. Faris has acquired an intimate knowledge of our business and plays an active role in the day-to-day management of our operations. Mr. Faris is uniquely well positioned to provide offer our Board of Directors critical insight into company-specific issues. In addition to his working knowledge of the operations, Mr. Faris also provides the Board of Directors with accounting expertise.</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Ronald J. Korn. </w:t>
      </w:r>
      <w:r>
        <w:rPr>
          <w:rFonts w:ascii="Arial" w:cs="Arial" w:eastAsia="Arial" w:hAnsi="Arial"/>
          <w:sz w:val="17"/>
          <w:szCs w:val="17"/>
          <w:color w:val="auto"/>
        </w:rPr>
        <w:t>Mr. Korn has served as a Director of Ocwen since May 2003. Mr. Korn is currently the President of Ronald Korn Consulting,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20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William H. Lacy. </w:t>
      </w:r>
      <w:r>
        <w:rPr>
          <w:rFonts w:ascii="Arial" w:cs="Arial" w:eastAsia="Arial" w:hAnsi="Arial"/>
          <w:sz w:val="16"/>
          <w:szCs w:val="16"/>
          <w:color w:val="auto"/>
        </w:rPr>
        <w:t>Mr. Lacy has served as a Director of Ocwen since May 2002. Mr. Lacy was formerly Chairman of Mortgage Guaranty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and Chairman and Chief Executive Officer of MGIC Investment Corporation, Milwaukee, Wisconsin. Both corporations are providers of private mortgage guaranty insurance and other mortgage-related services. Mr. Lacy is also a Director of Johnson Controls, Inc. Additionally, Mr. Lacy is Chairman of Johnson Controls’ Finance Committee and serves on Johnson Controls’ Compensation Committee. Within the past five (5) years, Mr. Lacy also served on the board of ACA Capital Holdings, Inc. Mr. Lacy holds a Bachelor of Arts from the School of Business at the University of Wisconsin.</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Robert A. Salcetti. </w:t>
      </w:r>
      <w:r>
        <w:rPr>
          <w:rFonts w:ascii="Arial" w:cs="Arial" w:eastAsia="Arial" w:hAnsi="Arial"/>
          <w:sz w:val="18"/>
          <w:szCs w:val="18"/>
          <w:color w:val="auto"/>
        </w:rPr>
        <w:t>Mr. Salcetti has served as a Director of Ocwen since January 2011. Mr. Salcetti previously served as a Managing Director at JPMorgan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120"/>
        <w:spacing w:after="0" w:line="276" w:lineRule="auto"/>
        <w:rPr>
          <w:sz w:val="20"/>
          <w:szCs w:val="20"/>
          <w:color w:val="auto"/>
        </w:rPr>
      </w:pPr>
      <w:r>
        <w:rPr>
          <w:rFonts w:ascii="Arial" w:cs="Arial" w:eastAsia="Arial" w:hAnsi="Arial"/>
          <w:sz w:val="17"/>
          <w:szCs w:val="17"/>
          <w:color w:val="auto"/>
        </w:rPr>
        <w:t>Mr. Salcetti brings to Ocwen’s Board of Directors over thirty four (34)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Securities and Exchange Commission rules implementing requirements of the Sarbanes-Oxley Act of 2002.</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Barry N. Wish. </w:t>
      </w:r>
      <w:r>
        <w:rPr>
          <w:rFonts w:ascii="Arial" w:cs="Arial" w:eastAsia="Arial" w:hAnsi="Arial"/>
          <w:sz w:val="18"/>
          <w:szCs w:val="18"/>
          <w:color w:val="auto"/>
        </w:rPr>
        <w:t>Mr. Wish has served as Chairman Emeritus of the Board of Directors of Ocwen since September 1996. He previously served as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Having founded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As determined by our Board of Directors, Mr. Wish is financially literate and qualifies as an audit committee financial expert as that term is defined in Securities and Exchange Commission rules implementing requirements of the Sarbanes-Oxley Act of 2002.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Directors are expected to attend all Board meetings, the meetings of Committees on which they serve and the Annual Meeting of Shareholders. Directors are also consulted for advice and counsel between formal meetings.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held seven (7) meetings in 2011. Each incumbent Director attended at least 85% of these meetings as well as the meetings held by all committees of our Board of Directors on which they served during 2011. All of the incumbent members of our Board of Directors who were members at the time attended our 2011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qualify as independent Directors under the listing standards of the New York Stock Exchange and applicable law.</w:t>
      </w:r>
    </w:p>
    <w:p>
      <w:pPr>
        <w:spacing w:after="0" w:line="1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Board of Directors annually reviews the direct and indirect relationships that we have with each Director. The purpose of this review is to determine whether any relationships are inconsistent with a determination that the Director is independent. Only those Directors who are determined by our Board of Directors to have no material relationship with Ocwen are considered independent. This determination is based in part on responses provided by Directors to an annual questionnaire incorporating the independence standards and qualifications established by the New York Stock Exchange and applicable law. Our current Board of Directors has determined that Messrs. Korn, Lacy, Salcetti and Wish are independent Directors. Specifically with regard to Mr. Wish, our Board of Directors considered his previous service as the managing General Partner of The Oxford Financial Group, the predecessor of Ocwen, and the Chairman of the Board of Ocwen and determined that such service has not impaired his independence from Ocwen and our management. The Board of Directors also considered shares of our common stock beneficially owned by each of the Directors, as set forth under “Security Ownership of Certain Beneficial Owners and Related Shareholder Matters,” although our Board of Directors generally believes that stock ownership tends to further align a Director’s interests with those of our other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no fixed policy with respect to the separation of the offices of Chairman of the Board of Directors and Chief Executive</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Officer. Our Board of Directors retains the discretion to make determinations on this matter from time to time as may be in the best interests of the Company and our stockholders.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Executive Chairman of the Board, Mr. Erbey leads the Board of Directors and oversees Board meetings and the delivery of information necessary for the Board’s informed decision-making. In addition to leading the Board of Directors, Mr. Erbey is actively involved in our business and focuses on strategy, key personnel development and corporate finance.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Board of Directors has established an Executive Committee, an Audit Committee, a Compensation Committee and a Nomination/Governance Committee. A brief description of these committees is provided below.</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 meetings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On March 25, 2003, our Board of Directors authorized the Executive Chairman to approve and/or to designate in writing certain individuals to approve ordinary course of business actions that are required to be documented by counter 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Executive Chairman deems appropriate in his sole discretion. In 2011, the Executive Chairman approved seven (7) transactions in this manner on behalf of the Board of Directors. All such approvals and designations by the Executive Chairman were provided to the Board of Directors at or before their next meeting and ratified by the Board of Directors at the next meeting.</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public accounting firm,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advises our Board of Directors with respect to reports by our independent registered public accounting firm and monitors our compliance with laws and regulations applicable to our operations.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members of the Audit Committee for 2011 were Messrs. Korn (chair), Reiner, Salcetti and Wish. Each member of our Audit Committee is independent as defined in regulations adopted by the Securities and Exchange Commission and the listing standards of the New York Stock Exchange as interpreted by our Board of Directors. Our Board of Directors has determined that all members of our Audit Committee are financially literate, possess accounting or related financial management expertise within the meaning of the listing standards of the New York Stock Exchange and qualify as an audit committee financial expert as that term is defined in the Securities and Exchange Commission rules implementing requirements of the Sarbanes-Oxley Act of 2002.</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Annually, the Audit Committee reviews and approves its charter. When necessary, the Audit Committee recommends amendments to its charter to the Board of Directors for approval. The charter was last reviewed and approved by the Audit Committee in March 2012. This Committee met nine (9) times in 2011.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 plans and</w:t>
      </w:r>
    </w:p>
    <w:p>
      <w:pPr>
        <w:spacing w:after="0" w:line="3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practices. Our Compensation Committee also evaluates and makes recommendations to our Board of Directors for human resource and compensation matters relating to our executive officers. The Compensation Committee reviews with the Executive Chairman and subsequently approves all executive compensation plans, any executive severance or termination arrangements and any equity compensation plans that are not subject to shareholder</w:t>
      </w:r>
    </w:p>
    <w:p>
      <w:pPr>
        <w:spacing w:after="0" w:line="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approval. The Compensation Committee also reviews and approves corporate goals and objectives relevant to the compensation of the Executive Chairman and President and Chief Executive Officer, evaluates their performance in light of those goals and objectives and approves the Executive Chairman and President and Chief Executive Officer’s compensation level based on this evaluation. The Compensation Committee is also empowered to review our other compensation plans including the goals and objectives thereof and to recommend changes to these plans to our Board of Directors as well as to administer grants under the 2007 Equity Incentive Plan. The Compensation Committee has the authority to, at the Company’s expense, retain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w:t>
      </w:r>
    </w:p>
    <w:p>
      <w:pPr>
        <w:spacing w:after="0" w:line="19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members of the Compensation Committee for 2011 were Messrs. Lacy (chair), Korn and Wish. Each member of the Compensation Committee is independent as defined in the listing standards of the New York Stock Exchange as interpreted by our Board of Directors.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Compensation Committee generally meets in executive session as part of each scheduled meeting.</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On an annual basis, the Compensation Committee evaluates its performance under the charter to ensure that it appropriately addresses the matters that are within the scope of Committee responsibility. When necessary, the Compensation Committee recommends amendments to its charter to the Board of Directors for approval. The charter was last reviewed and approved by the Compensation Committee in March 2012. This Committee met three (3) times in 2011.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20"/>
        <w:spacing w:after="0" w:line="258"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member of the Compensation Committee was, at any time during the 2011 fiscal year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any other time, an officer 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(1) or more executive officers who served as a member of our Board of Directors or our Compensation Committee during the 2011 fiscal year.</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members of the Nomination/Governance Committee for 2011 were Messrs. Wish (chair), Lacy, Reiner and Salcetti. Each member of our Nomination/Governance Committee is independent as defined in the listing standards of the New York Stock Exchange as interpreted by our Board of Directors. 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20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to devote adequate time and effort to Board responsibilities and the interplay of the candidate’s experience with the background of other members of our Board of Directors. We generally require that directors who have attained the age of 72 will not be nominated, although this requirement may be waived in particular cases in the discretion of the Board of Directors. We also consider the number of other boards on which a nominee sits, but we do not have a policy limiting the number of other public company boards upon which a Director may sit. A copy of our corporate governance guidelines is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appropriate. The Nomination/Governance Committee does not discriminate against candidates for the Board of Directors based on race, color, religion, sex, sexual orientation or national origin.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20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Your recommendation should also include a written statement from the proposed nominee consenting to be named as a nominee and, if nominated and elected, to serve as a Director.</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is available in print to any shareholder who requests it. When necessary, the Nomination/Governance Committee recommends amendments to its charter to the Board of Directors for approval. The charter was last reviewed and approved by the Nomination/Governance Committee in March 2012. This Committee met five (5) times during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Corporate Governance Guidelines adopted by our Board of Directors provide guidelines for us and our Board of Directors to ensure effective corporate governance. The Corporate Governance Guidelines cover topics such as: Director qualifications,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21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Our Nomination/Governance Committee reviews our Corporate Governance Guidelines at least once a year and, if necessary, recommends changes to our Board of Directors. The Nomination/Governance Committee reviewed and approved amendments to the Corporate Governance Guidelines in March 2012. The Board of Directors ratified, adopted and approved the amendments to the Corporate Governance Guidelines in March 2012.</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and are available to any shareholder who requests them by writing to our Secretary at Ocwen Financial Corporation, 1661 Worthington Road, Suite 100, West Palm Beach, Florida 33409.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Non-management Directors met in executive session without management five (5) times in 2011. A non-management Director presides on a rotational basis as determined by our Board of Directors at each executive session.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mail addressed to our Secretary at Ocwen Financial Corporation, 1661 Worthington Road, Suite 100, West Palm Beach, Florida 33409. Communications received in writing are distributed to our Board of Directors or to individual Directors, as the General Counsel and Secretary deems appropriate, depending on the facts and circumstances outlined in the communication received.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to you.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Board of Directors and each of its Committees are involved in overseeing risk associated with the Company. The Board of Directors and the Audit Committee monitor Ocwen’s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role in risk oversight is consistent with the Company’s leadership structure with the President and Chief Executive Officer and other members of senior management having responsibility for assessing and managing the Company’s risk exposure, and the Executive Chairman, the Board of Directors and its Committees providing oversight in connection with these efforts.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COMPENSATION</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discloses compensation received by each non-management member of our Board of Directors who served as a Director during fiscal year 2011. Our management Directors do not receive an annual retainer or any other compensation for their service on the Board of Directors.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Fees Earned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Or Paid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All 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Cash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line="216" w:lineRule="exact"/>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5"/>
                <w:szCs w:val="25"/>
                <w:color w:val="auto"/>
                <w:w w:val="83"/>
                <w:vertAlign w:val="superscript"/>
              </w:rPr>
              <w:t>(1)(2)</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F9E8"/>
          </w:tcPr>
          <w:p>
            <w:pPr>
              <w:spacing w:after="0"/>
              <w:rPr>
                <w:sz w:val="20"/>
                <w:szCs w:val="20"/>
                <w:color w:val="auto"/>
              </w:rPr>
            </w:pPr>
            <w:r>
              <w:rPr>
                <w:rFonts w:ascii="Arial" w:cs="Arial" w:eastAsia="Arial" w:hAnsi="Arial"/>
                <w:sz w:val="18"/>
                <w:szCs w:val="18"/>
                <w:color w:val="auto"/>
              </w:rPr>
              <w:t>Ronald J. Korn</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52,500</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45,000</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William H. Lacy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AF9E8"/>
          </w:tcPr>
          <w:p>
            <w:pPr>
              <w:spacing w:after="0" w:line="216" w:lineRule="exact"/>
              <w:rPr>
                <w:sz w:val="20"/>
                <w:szCs w:val="20"/>
                <w:color w:val="auto"/>
              </w:rPr>
            </w:pPr>
            <w:r>
              <w:rPr>
                <w:rFonts w:ascii="Arial" w:cs="Arial" w:eastAsia="Arial" w:hAnsi="Arial"/>
                <w:sz w:val="18"/>
                <w:szCs w:val="18"/>
                <w:color w:val="auto"/>
              </w:rPr>
              <w:t>David B. Reiner</w:t>
            </w:r>
            <w:r>
              <w:rPr>
                <w:rFonts w:ascii="Arial" w:cs="Arial" w:eastAsia="Arial" w:hAnsi="Arial"/>
                <w:sz w:val="25"/>
                <w:szCs w:val="25"/>
                <w:color w:val="auto"/>
                <w:vertAlign w:val="superscript"/>
              </w:rPr>
              <w:t>(3)</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45,000</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45,000</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Robert A. Salcetti</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AF9E8"/>
          </w:tcPr>
          <w:p>
            <w:pPr>
              <w:spacing w:after="0"/>
              <w:rPr>
                <w:sz w:val="20"/>
                <w:szCs w:val="20"/>
                <w:color w:val="auto"/>
              </w:rPr>
            </w:pPr>
            <w:r>
              <w:rPr>
                <w:rFonts w:ascii="Arial" w:cs="Arial" w:eastAsia="Arial" w:hAnsi="Arial"/>
                <w:sz w:val="18"/>
                <w:szCs w:val="18"/>
                <w:color w:val="auto"/>
              </w:rPr>
              <w:t>Barry N. Wish</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50,000</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45,000</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80" w:right="220" w:hanging="472"/>
        <w:spacing w:after="0" w:line="253" w:lineRule="auto"/>
        <w:tabs>
          <w:tab w:leader="none" w:pos="48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number of shares issued pursuant to the 1996 Stock Plan for Directors is based on the “fair market value” of our common stock on the date of election (or re-election) of such Director to our Board of Directors, which is the date of grant. The term “fair market value” is defined in the 1996 Stock Plan for Directors to mean the average of the high and low prices of the common stock as reported on the New York Stock Exchange on the relevant date. Shares issued pursuant to the 1996 Stock Plan for Directors are subject to forfeiture during the twelve (12) full calendar months following election or appointment to the Board of Directors or a Committee thereof if the Director does not attend an aggregate of at least 75% of all meetings of the Board of Directors and Committees of which the Director is a member during such period.</w:t>
      </w:r>
    </w:p>
    <w:p>
      <w:pPr>
        <w:spacing w:after="0" w:line="218" w:lineRule="exact"/>
        <w:rPr>
          <w:rFonts w:ascii="Arial" w:cs="Arial" w:eastAsia="Arial" w:hAnsi="Arial"/>
          <w:sz w:val="24"/>
          <w:szCs w:val="24"/>
          <w:color w:val="auto"/>
          <w:vertAlign w:val="superscript"/>
        </w:rPr>
      </w:pPr>
    </w:p>
    <w:p>
      <w:pPr>
        <w:jc w:val="both"/>
        <w:ind w:left="460" w:hanging="452"/>
        <w:spacing w:after="0" w:line="237" w:lineRule="auto"/>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 March 2005, the Board of Directors adopted a Deferred Compensation Plan for Directors pursuant to which Directors are permitted to defer receipt of their compensation granted under the 1996 Stock Plan for Directors. During 2011, Messrs. Korn and Wish did not elect to defer their $45,000 in equity compensation and, as a result, were each issued 3,827 shares of common stock based on the closing stock price on May 6, 2010. Messrs. Lacy and Reiner elected to defer their $45,000 in equity compensation pursuant to the terms of the Deferred Compensation Plan. Mr. Salcetti did not elect to defer his $45,000 in equity compensation for 2011. Our non-management Directors have no shares subject to option awards outstanding as of December 31, 2011.</w:t>
      </w:r>
    </w:p>
    <w:p>
      <w:pPr>
        <w:spacing w:after="0" w:line="233" w:lineRule="exact"/>
        <w:rPr>
          <w:rFonts w:ascii="Arial" w:cs="Arial" w:eastAsia="Arial" w:hAnsi="Arial"/>
          <w:sz w:val="25"/>
          <w:szCs w:val="25"/>
          <w:color w:val="auto"/>
          <w:vertAlign w:val="superscript"/>
        </w:rPr>
      </w:pPr>
    </w:p>
    <w:p>
      <w:pPr>
        <w:ind w:left="480" w:right="580" w:hanging="472"/>
        <w:spacing w:after="0" w:line="216" w:lineRule="auto"/>
        <w:tabs>
          <w:tab w:leader="none" w:pos="48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Although he resigned from the Board on March 5, 2012, Mr. Reiner was a member of our Board of Directors and received compensation for his services through his resignation date.</w:t>
      </w:r>
    </w:p>
    <w:p>
      <w:pPr>
        <w:spacing w:after="0" w:line="378"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Cash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annual cash compensation to our non-management Directors in quarterly installments:</w:t>
      </w:r>
    </w:p>
    <w:p>
      <w:pPr>
        <w:spacing w:after="0" w:line="252" w:lineRule="exact"/>
        <w:rPr>
          <w:sz w:val="20"/>
          <w:szCs w:val="20"/>
          <w:color w:val="auto"/>
        </w:rPr>
      </w:pPr>
    </w:p>
    <w:p>
      <w:pPr>
        <w:ind w:left="860" w:hanging="64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retainer of $40,000;</w:t>
      </w:r>
    </w:p>
    <w:p>
      <w:pPr>
        <w:spacing w:after="0" w:line="23" w:lineRule="exact"/>
        <w:rPr>
          <w:rFonts w:ascii="Arial" w:cs="Arial" w:eastAsia="Arial" w:hAnsi="Arial"/>
          <w:sz w:val="18"/>
          <w:szCs w:val="18"/>
          <w:color w:val="auto"/>
        </w:rPr>
      </w:pPr>
    </w:p>
    <w:p>
      <w:pPr>
        <w:ind w:left="860" w:hanging="64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$12,500 to the Audit Committee Chairperson;</w:t>
      </w:r>
    </w:p>
    <w:p>
      <w:pPr>
        <w:spacing w:after="0" w:line="9" w:lineRule="exact"/>
        <w:rPr>
          <w:rFonts w:ascii="Arial" w:cs="Arial" w:eastAsia="Arial" w:hAnsi="Arial"/>
          <w:sz w:val="18"/>
          <w:szCs w:val="18"/>
          <w:color w:val="auto"/>
        </w:rPr>
      </w:pPr>
    </w:p>
    <w:p>
      <w:pPr>
        <w:ind w:left="860" w:hanging="64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Committee Chairpersons (other than the Audit Committee Chairperson) and</w:t>
      </w:r>
    </w:p>
    <w:p>
      <w:pPr>
        <w:spacing w:after="0" w:line="9" w:lineRule="exact"/>
        <w:rPr>
          <w:rFonts w:ascii="Arial" w:cs="Arial" w:eastAsia="Arial" w:hAnsi="Arial"/>
          <w:sz w:val="18"/>
          <w:szCs w:val="18"/>
          <w:color w:val="auto"/>
        </w:rPr>
      </w:pPr>
    </w:p>
    <w:p>
      <w:pPr>
        <w:ind w:left="860" w:hanging="64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$5,000 to all Audit Committee members (other than the Chairperson).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provide our non-management Directors an annual award of restricted shares of common stock with a fair market value of $45,000 pursuant to our 1996 Stock Plan for Directors adopted by our Board of Directors and our shareholders in July 1996.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Deferral Plan</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Deferral Plan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22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Director electing deferral must specify the payment date at the time of election as either (i) the six (6) month anniversary of the Director’s termination date or (ii) any other date elected by the Director which is at least two (2) years after the last day of the year of service for which the compensation was awarded. At least thirty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Matters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Director compensation may be prorated for a Director serving less than a full one (1) year term such as in the case of a Director joining the Board of Directors after an annual meeting of shareholders. Directors are reimbursed for reasonable travel and other expenses incurred in connection with attending meetings of the Board of Directors and its Committees. Director compensation is subject to review and adjustment by the Board of Directors from time to time.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5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25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5"/>
                <w:szCs w:val="25"/>
                <w:color w:val="auto"/>
                <w:vertAlign w:val="superscript"/>
              </w:rPr>
              <w:t>(1)</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75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2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V. Britti</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right w:val="single" w:sz="8" w:color="auto"/>
            </w:tcBorders>
          </w:tcPr>
          <w:p>
            <w:pPr>
              <w:spacing w:after="0"/>
              <w:rPr>
                <w:sz w:val="4"/>
                <w:szCs w:val="4"/>
                <w:color w:val="auto"/>
              </w:rPr>
            </w:pPr>
          </w:p>
        </w:tc>
      </w:tr>
      <w:tr>
        <w:trPr>
          <w:trHeight w:val="257"/>
        </w:trPr>
        <w:tc>
          <w:tcPr>
            <w:tcW w:w="2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Paul A. Koches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58</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right w:val="single" w:sz="8" w:color="auto"/>
            </w:tcBorders>
          </w:tcPr>
          <w:p>
            <w:pPr>
              <w:spacing w:after="0"/>
              <w:rPr>
                <w:sz w:val="4"/>
                <w:szCs w:val="4"/>
                <w:color w:val="auto"/>
              </w:rPr>
            </w:pPr>
          </w:p>
        </w:tc>
      </w:tr>
      <w:tr>
        <w:trPr>
          <w:trHeight w:val="257"/>
        </w:trPr>
        <w:tc>
          <w:tcPr>
            <w:tcW w:w="2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Kenneth D. Najour</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7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48"/>
        </w:trPr>
        <w:tc>
          <w:tcPr>
            <w:tcW w:w="2560" w:type="dxa"/>
            <w:vAlign w:val="bottom"/>
            <w:tcBorders>
              <w:left w:val="single" w:sz="8" w:color="auto"/>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7560" w:type="dxa"/>
            <w:vAlign w:val="bottom"/>
            <w:tcBorders>
              <w:bottom w:val="single" w:sz="8" w:color="auto"/>
              <w:right w:val="single" w:sz="8" w:color="auto"/>
            </w:tcBorders>
          </w:tcPr>
          <w:p>
            <w:pPr>
              <w:spacing w:after="0"/>
              <w:rPr>
                <w:sz w:val="4"/>
                <w:szCs w:val="4"/>
                <w:color w:val="auto"/>
              </w:rPr>
            </w:pPr>
          </w:p>
        </w:tc>
      </w:tr>
    </w:tbl>
    <w:p>
      <w:pPr>
        <w:spacing w:after="0" w:line="172"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All information set forth herein is as of March 15, 2012.</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not a Director are set forth below.</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John V. Britti</w:t>
      </w:r>
      <w:r>
        <w:rPr>
          <w:rFonts w:ascii="Arial" w:cs="Arial" w:eastAsia="Arial" w:hAnsi="Arial"/>
          <w:sz w:val="18"/>
          <w:szCs w:val="18"/>
          <w:color w:val="auto"/>
        </w:rPr>
        <w:t>. Mr. Britti has served as Executive Vice President and Chief Financial Officer since March 2012. He previously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Ocwen responsible for Finance and Business Development from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their financial services industry group. He holds a BA in Economics from the University of Maryland and a Masters of Business Administration from Dartmouth’s Amos Tuck School.</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Paul A. Koches. </w:t>
      </w:r>
      <w:r>
        <w:rPr>
          <w:rFonts w:ascii="Arial" w:cs="Arial" w:eastAsia="Arial" w:hAnsi="Arial"/>
          <w:sz w:val="18"/>
          <w:szCs w:val="18"/>
          <w:color w:val="auto"/>
        </w:rPr>
        <w:t>Mr. Koches has served as Executive Vice President and General Counsel since May 2008 and as Secretary since August 10, 2009.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Senior Vice President and General Counsel of Ocwen from August 2002. Prior to joining Ocwen, Mr. Koches was a Partner with Arent Fox, LLP in Washington, D.C. Mr. Koches holds a Bachelor of Arts from the University of Connecticut and a Juris Doctorate degree from the University of Miami Law School.</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Kenneth D. Najour</w:t>
      </w:r>
      <w:r>
        <w:rPr>
          <w:rFonts w:ascii="Arial" w:cs="Arial" w:eastAsia="Arial" w:hAnsi="Arial"/>
          <w:sz w:val="17"/>
          <w:szCs w:val="17"/>
          <w:color w:val="auto"/>
        </w:rPr>
        <w:t>. Mr. Najour has served as Vice President, Finance and Chief Accounting Officer since March 2012. Mr. Najour joined Ocwen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Finance in December 2010. Prior to joining Ocwen, Mr. Najour served as Senior Vice President, Chief Financial Officer Latin America and Caribbean Region for MasterCard Worldwide from 2003 to 2010. He has also held leadership positions within PepsiCo Inc. from 1994 to 2003 and was Audit Manager for Pricewaterhouse Coopers LLP from 1986 to 1994. He holds a Master of Accounting from the University of Miami, a Bachelor of Science from Santa Clara University and is a Certified Public Accountant in the State of California.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52" w:lineRule="exact"/>
        <w:rPr>
          <w:sz w:val="20"/>
          <w:szCs w:val="20"/>
          <w:color w:val="auto"/>
        </w:rPr>
      </w:pPr>
    </w:p>
    <w:p>
      <w:pPr>
        <w:ind w:left="860" w:hanging="64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persons known by Ocwen to own beneficially 5% or more of the outstanding common stock;</w:t>
      </w:r>
    </w:p>
    <w:p>
      <w:pPr>
        <w:spacing w:after="0" w:line="23" w:lineRule="exact"/>
        <w:rPr>
          <w:rFonts w:ascii="Arial" w:cs="Arial" w:eastAsia="Arial" w:hAnsi="Arial"/>
          <w:sz w:val="18"/>
          <w:szCs w:val="18"/>
          <w:color w:val="auto"/>
        </w:rPr>
      </w:pPr>
    </w:p>
    <w:p>
      <w:pPr>
        <w:ind w:left="860" w:hanging="64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Director and named executive officers of Ocwen who are currently employed and</w:t>
      </w:r>
    </w:p>
    <w:p>
      <w:pPr>
        <w:spacing w:after="0" w:line="9" w:lineRule="exact"/>
        <w:rPr>
          <w:rFonts w:ascii="Arial" w:cs="Arial" w:eastAsia="Arial" w:hAnsi="Arial"/>
          <w:sz w:val="18"/>
          <w:szCs w:val="18"/>
          <w:color w:val="auto"/>
        </w:rPr>
      </w:pPr>
    </w:p>
    <w:p>
      <w:pPr>
        <w:ind w:left="860" w:hanging="64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Directors and executive officers of Ocwen who are currently employed as a group.</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information in the table is as of March 15, 2012, unless otherwise indicated.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Shares Beneficially Owned </w:t>
      </w:r>
      <w:r>
        <w:rPr>
          <w:rFonts w:ascii="Arial" w:cs="Arial" w:eastAsia="Arial" w:hAnsi="Arial"/>
          <w:sz w:val="25"/>
          <w:szCs w:val="25"/>
          <w:color w:val="auto"/>
          <w:vertAlign w:val="superscript"/>
        </w:rPr>
        <w:t>(1)</w:t>
      </w:r>
    </w:p>
    <w:tbl>
      <w:tblPr>
        <w:tblLayout w:type="fixed"/>
        <w:tblInd w:w="0" w:type="dxa"/>
        <w:tblCellMar>
          <w:top w:w="0" w:type="dxa"/>
          <w:left w:w="0" w:type="dxa"/>
          <w:bottom w:w="0" w:type="dxa"/>
          <w:right w:w="0" w:type="dxa"/>
        </w:tblCellMar>
      </w:tblPr>
      <w:tr>
        <w:trPr>
          <w:trHeight w:val="230"/>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shd w:val="clear" w:color="auto" w:fill="EAF9E8"/>
          </w:tcPr>
          <w:p>
            <w:pPr>
              <w:spacing w:after="0" w:line="202" w:lineRule="exact"/>
              <w:rPr>
                <w:sz w:val="20"/>
                <w:szCs w:val="20"/>
                <w:color w:val="auto"/>
              </w:rPr>
            </w:pPr>
            <w:r>
              <w:rPr>
                <w:rFonts w:ascii="Arial" w:cs="Arial" w:eastAsia="Arial" w:hAnsi="Arial"/>
                <w:sz w:val="17"/>
                <w:szCs w:val="17"/>
                <w:color w:val="auto"/>
              </w:rPr>
              <w:t>FMR LLC</w:t>
            </w:r>
            <w:r>
              <w:rPr>
                <w:rFonts w:ascii="Arial" w:cs="Arial" w:eastAsia="Arial" w:hAnsi="Arial"/>
                <w:sz w:val="23"/>
                <w:szCs w:val="23"/>
                <w:color w:val="auto"/>
                <w:vertAlign w:val="superscript"/>
              </w:rPr>
              <w:t>(2)</w:t>
            </w:r>
          </w:p>
        </w:tc>
        <w:tc>
          <w:tcPr>
            <w:tcW w:w="120" w:type="dxa"/>
            <w:vAlign w:val="bottom"/>
            <w:shd w:val="clear" w:color="auto" w:fill="EAF9E8"/>
          </w:tcPr>
          <w:p>
            <w:pPr>
              <w:spacing w:after="0"/>
              <w:rPr>
                <w:sz w:val="17"/>
                <w:szCs w:val="17"/>
                <w:color w:val="auto"/>
              </w:rPr>
            </w:pPr>
          </w:p>
        </w:tc>
        <w:tc>
          <w:tcPr>
            <w:tcW w:w="1260" w:type="dxa"/>
            <w:vAlign w:val="bottom"/>
            <w:tcBorders>
              <w:top w:val="single" w:sz="8" w:color="auto"/>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tcBorders>
              <w:top w:val="single" w:sz="8" w:color="auto"/>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82 Devonshire Street</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02109</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12,711,372</w:t>
            </w:r>
          </w:p>
        </w:tc>
        <w:tc>
          <w:tcPr>
            <w:tcW w:w="13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EAF9E8"/>
          </w:tcPr>
          <w:p>
            <w:pPr>
              <w:spacing w:after="0" w:line="202" w:lineRule="exact"/>
              <w:rPr>
                <w:sz w:val="20"/>
                <w:szCs w:val="20"/>
                <w:color w:val="auto"/>
              </w:rPr>
            </w:pPr>
            <w:r>
              <w:rPr>
                <w:rFonts w:ascii="Arial" w:cs="Arial" w:eastAsia="Arial" w:hAnsi="Arial"/>
                <w:sz w:val="17"/>
                <w:szCs w:val="17"/>
                <w:color w:val="auto"/>
              </w:rPr>
              <w:t>Wellington Management Company, LLP</w:t>
            </w:r>
            <w:r>
              <w:rPr>
                <w:rFonts w:ascii="Arial" w:cs="Arial" w:eastAsia="Arial" w:hAnsi="Arial"/>
                <w:sz w:val="23"/>
                <w:szCs w:val="23"/>
                <w:color w:val="auto"/>
                <w:vertAlign w:val="superscript"/>
              </w:rPr>
              <w:t>(3)</w:t>
            </w:r>
          </w:p>
        </w:tc>
        <w:tc>
          <w:tcPr>
            <w:tcW w:w="1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280 Congress Street</w:t>
            </w: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EAF9E8"/>
          </w:tcPr>
          <w:p>
            <w:pPr>
              <w:spacing w:after="0"/>
              <w:rPr>
                <w:sz w:val="20"/>
                <w:szCs w:val="20"/>
                <w:color w:val="auto"/>
              </w:rPr>
            </w:pPr>
            <w:r>
              <w:rPr>
                <w:rFonts w:ascii="Arial" w:cs="Arial" w:eastAsia="Arial" w:hAnsi="Arial"/>
                <w:sz w:val="18"/>
                <w:szCs w:val="18"/>
                <w:color w:val="auto"/>
              </w:rPr>
              <w:t>Boston, Massachusetts 02210</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11,638,339</w:t>
            </w:r>
          </w:p>
        </w:tc>
        <w:tc>
          <w:tcPr>
            <w:tcW w:w="13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gridSpan w:val="2"/>
            <w:shd w:val="clear" w:color="auto" w:fill="EAF9E8"/>
          </w:tcPr>
          <w:p>
            <w:pPr>
              <w:spacing w:after="0" w:line="216"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(4)</w:t>
            </w:r>
          </w:p>
        </w:tc>
        <w:tc>
          <w:tcPr>
            <w:tcW w:w="12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19,643,870</w:t>
            </w:r>
          </w:p>
        </w:tc>
        <w:tc>
          <w:tcPr>
            <w:tcW w:w="120" w:type="dxa"/>
            <w:vAlign w:val="bottom"/>
            <w:shd w:val="clear" w:color="auto" w:fill="EAF9E8"/>
          </w:tcPr>
          <w:p>
            <w:pPr>
              <w:spacing w:after="0"/>
              <w:rPr>
                <w:sz w:val="18"/>
                <w:szCs w:val="18"/>
                <w:color w:val="auto"/>
              </w:rPr>
            </w:pPr>
          </w:p>
        </w:tc>
        <w:tc>
          <w:tcPr>
            <w:tcW w:w="122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rPr>
              <w:t>14.65%</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line="216"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(5)</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1,365,321</w:t>
            </w: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Ronald J. Korn</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24,411</w:t>
            </w:r>
          </w:p>
        </w:tc>
        <w:tc>
          <w:tcPr>
            <w:tcW w:w="13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William H. Lacy</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12,579</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Robert A. Salcetti</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3,788</w:t>
            </w:r>
          </w:p>
        </w:tc>
        <w:tc>
          <w:tcPr>
            <w:tcW w:w="13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line="216"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(6)</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5,457,657</w:t>
            </w: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John V. Britti</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line="216" w:lineRule="exact"/>
              <w:rPr>
                <w:sz w:val="20"/>
                <w:szCs w:val="20"/>
                <w:color w:val="auto"/>
              </w:rPr>
            </w:pPr>
            <w:r>
              <w:rPr>
                <w:rFonts w:ascii="Arial" w:cs="Arial" w:eastAsia="Arial" w:hAnsi="Arial"/>
                <w:sz w:val="18"/>
                <w:szCs w:val="18"/>
                <w:color w:val="auto"/>
              </w:rPr>
              <w:t>Paul A. Koches</w:t>
            </w:r>
            <w:r>
              <w:rPr>
                <w:rFonts w:ascii="Arial" w:cs="Arial" w:eastAsia="Arial" w:hAnsi="Arial"/>
                <w:sz w:val="25"/>
                <w:szCs w:val="25"/>
                <w:color w:val="auto"/>
                <w:vertAlign w:val="superscript"/>
              </w:rPr>
              <w:t>(7)</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369,605</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3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26,877,231</w:t>
            </w:r>
          </w:p>
        </w:tc>
        <w:tc>
          <w:tcPr>
            <w:tcW w:w="13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19.84%</w:t>
            </w:r>
          </w:p>
        </w:tc>
      </w:tr>
      <w:tr>
        <w:trPr>
          <w:trHeight w:val="459"/>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8420" w:type="dxa"/>
            <w:vAlign w:val="bottom"/>
          </w:tcPr>
          <w:p>
            <w:pPr>
              <w:ind w:left="180"/>
              <w:spacing w:after="0"/>
              <w:rPr>
                <w:sz w:val="20"/>
                <w:szCs w:val="20"/>
                <w:color w:val="auto"/>
              </w:rPr>
            </w:pPr>
            <w:r>
              <w:rPr>
                <w:rFonts w:ascii="Arial" w:cs="Arial" w:eastAsia="Arial" w:hAnsi="Arial"/>
                <w:sz w:val="18"/>
                <w:szCs w:val="18"/>
                <w:color w:val="auto"/>
              </w:rPr>
              <w:t>Less than 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29" w:lineRule="exact"/>
        <w:rPr>
          <w:sz w:val="20"/>
          <w:szCs w:val="20"/>
          <w:color w:val="auto"/>
        </w:rPr>
      </w:pPr>
    </w:p>
    <w:p>
      <w:pPr>
        <w:ind w:left="460" w:right="60" w:hanging="452"/>
        <w:spacing w:after="0" w:line="232" w:lineRule="auto"/>
        <w:tabs>
          <w:tab w:leader="none" w:pos="4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 No shares have been pledged as security by the named executive officers or Directors.</w:t>
      </w:r>
    </w:p>
    <w:p>
      <w:pPr>
        <w:spacing w:after="0" w:line="229" w:lineRule="exact"/>
        <w:rPr>
          <w:rFonts w:ascii="Arial" w:cs="Arial" w:eastAsia="Arial" w:hAnsi="Arial"/>
          <w:sz w:val="25"/>
          <w:szCs w:val="25"/>
          <w:color w:val="auto"/>
          <w:vertAlign w:val="superscript"/>
        </w:rPr>
      </w:pPr>
    </w:p>
    <w:p>
      <w:pPr>
        <w:ind w:left="480" w:right="240" w:hanging="472"/>
        <w:spacing w:after="0" w:line="226" w:lineRule="auto"/>
        <w:tabs>
          <w:tab w:leader="none" w:pos="4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13G/A filed with the Securities and Exchange Commission on February 14, 2012, reporting securities owned as of December 31, 2011, by FMR LLC and Edward C. Johnson 3d. Includes 178,666 shares as to which sole voting power and 12,711,372 shares as to which sole dispositive power is claimed.</w:t>
      </w:r>
    </w:p>
    <w:p>
      <w:pPr>
        <w:spacing w:after="0" w:line="230" w:lineRule="exact"/>
        <w:rPr>
          <w:rFonts w:ascii="Arial" w:cs="Arial" w:eastAsia="Arial" w:hAnsi="Arial"/>
          <w:sz w:val="25"/>
          <w:szCs w:val="25"/>
          <w:color w:val="auto"/>
          <w:vertAlign w:val="superscript"/>
        </w:rPr>
      </w:pPr>
    </w:p>
    <w:p>
      <w:pPr>
        <w:ind w:left="460" w:right="260" w:hanging="452"/>
        <w:spacing w:after="0" w:line="226" w:lineRule="auto"/>
        <w:tabs>
          <w:tab w:leader="none" w:pos="4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a Schedule 13G/A filed with the Securities and Exchange Commission on February 14, 2012, reporting securities owned as of December 31, 2011, by Wellington Management Company, LLP. Includes 11,272,280 shares as to which shared voting power and 11,638,339 shares as to which shared dispositive power is claimed.</w:t>
      </w:r>
    </w:p>
    <w:p>
      <w:pPr>
        <w:spacing w:after="0" w:line="379"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460" w:right="120" w:hanging="452"/>
        <w:spacing w:after="0" w:line="253" w:lineRule="auto"/>
        <w:tabs>
          <w:tab w:leader="none" w:pos="46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9,888,716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2,440,000 shares held by Caritas Partners LLC, a Delaware limited liability company with Mr. William C. Erbey serving as its sole member. Also includes 36,585 shares jointly held by Mr. and Mrs. William C. Erbey. Also includes options to acquire 1,868,865 shares which are exercisable on or within sixty (60) days after March 15, 2012.</w:t>
      </w:r>
    </w:p>
    <w:p>
      <w:pPr>
        <w:spacing w:after="0" w:line="161" w:lineRule="exact"/>
        <w:rPr>
          <w:rFonts w:ascii="Arial" w:cs="Arial" w:eastAsia="Arial" w:hAnsi="Arial"/>
          <w:sz w:val="24"/>
          <w:szCs w:val="24"/>
          <w:color w:val="auto"/>
          <w:vertAlign w:val="superscript"/>
        </w:rPr>
      </w:pPr>
    </w:p>
    <w:p>
      <w:pPr>
        <w:ind w:left="480" w:hanging="472"/>
        <w:spacing w:after="0"/>
        <w:tabs>
          <w:tab w:leader="none" w:pos="4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1,024,616 shares which are exercisable on or within sixty (60) days after March 15, 2012.</w:t>
      </w:r>
    </w:p>
    <w:p>
      <w:pPr>
        <w:spacing w:after="0" w:line="228" w:lineRule="exact"/>
        <w:rPr>
          <w:rFonts w:ascii="Arial" w:cs="Arial" w:eastAsia="Arial" w:hAnsi="Arial"/>
          <w:sz w:val="25"/>
          <w:szCs w:val="25"/>
          <w:color w:val="auto"/>
          <w:vertAlign w:val="superscript"/>
        </w:rPr>
      </w:pPr>
    </w:p>
    <w:p>
      <w:pPr>
        <w:ind w:left="480" w:right="380" w:hanging="472"/>
        <w:spacing w:after="0" w:line="227" w:lineRule="auto"/>
        <w:tabs>
          <w:tab w:leader="none" w:pos="48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5,210,662 shares held by Wishco, Inc., a corporation controlled by Barry N. Wish pursuant to his ownership of 93% of the common stock thereof, and 37,000 shares held by the Barry Wish Family Foundation, Inc., a charitable foundation of which Mr. Wish is a Director.</w:t>
      </w:r>
    </w:p>
    <w:p>
      <w:pPr>
        <w:spacing w:after="0" w:line="172" w:lineRule="exact"/>
        <w:rPr>
          <w:rFonts w:ascii="Arial" w:cs="Arial" w:eastAsia="Arial" w:hAnsi="Arial"/>
          <w:sz w:val="24"/>
          <w:szCs w:val="24"/>
          <w:color w:val="auto"/>
          <w:vertAlign w:val="superscript"/>
        </w:rPr>
      </w:pPr>
    </w:p>
    <w:p>
      <w:pPr>
        <w:ind w:left="480" w:hanging="472"/>
        <w:spacing w:after="0"/>
        <w:tabs>
          <w:tab w:leader="none" w:pos="48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367,500 shares which are exercisable on or within sixty (60) days after March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to be</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 upon</w:t>
            </w: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 of</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w:t>
            </w: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warrants</w:t>
            </w: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options, warrants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rights</w:t>
            </w: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6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5.48</w:t>
            </w:r>
          </w:p>
        </w:tc>
        <w:tc>
          <w:tcPr>
            <w:tcW w:w="16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11,073,599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Equity compensation plans notapproved by security holders</w:t>
            </w:r>
          </w:p>
        </w:tc>
        <w:tc>
          <w:tcPr>
            <w:tcW w:w="184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7,894,728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5.48</w:t>
            </w:r>
          </w:p>
        </w:tc>
        <w:tc>
          <w:tcPr>
            <w:tcW w:w="1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11,073,599</w:t>
            </w: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252" w:lineRule="auto"/>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b w:val="1"/>
          <w:bCs w:val="1"/>
          <w:i w:val="1"/>
          <w:iCs w:val="1"/>
          <w:color w:val="auto"/>
        </w:rPr>
        <w:t>2007 Equity Incentive Plan</w:t>
      </w:r>
      <w:r>
        <w:rPr>
          <w:rFonts w:ascii="Arial" w:cs="Arial" w:eastAsia="Arial" w:hAnsi="Arial"/>
          <w:sz w:val="16"/>
          <w:szCs w:val="16"/>
          <w:color w:val="auto"/>
        </w:rPr>
        <w:t>. A total of 20,000,000 shares of common stock of the Company were authorized to be issued pursuant to awards made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stock, performance awards or other stock-based awards. This plan is administered by the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Based upon the Company’s review of Section 16(a) reports, the Company believes that all Section 16(a) filing requirements applicable to such reporting persons were complied with in 2011 on a timely basis.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believe executive compensation packages should reward performance as measured against established goals.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52" w:lineRule="exact"/>
        <w:rPr>
          <w:sz w:val="20"/>
          <w:szCs w:val="20"/>
          <w:color w:val="auto"/>
        </w:rPr>
      </w:pPr>
    </w:p>
    <w:p>
      <w:pPr>
        <w:ind w:left="860" w:hanging="640"/>
        <w:spacing w:after="0" w:line="258"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programs for our current Chief Executive Officer, former Chief Financial Officer and three (3) other most highly compensated executive officers;</w:t>
      </w:r>
    </w:p>
    <w:p>
      <w:pPr>
        <w:spacing w:after="0" w:line="1" w:lineRule="exact"/>
        <w:rPr>
          <w:rFonts w:ascii="Arial" w:cs="Arial" w:eastAsia="Arial" w:hAnsi="Arial"/>
          <w:sz w:val="18"/>
          <w:szCs w:val="18"/>
          <w:color w:val="auto"/>
        </w:rPr>
      </w:pPr>
    </w:p>
    <w:p>
      <w:pPr>
        <w:ind w:left="860" w:hanging="64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860" w:hanging="64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element of compensation that we provide and</w:t>
      </w:r>
    </w:p>
    <w:p>
      <w:pPr>
        <w:spacing w:after="0" w:line="9" w:lineRule="exact"/>
        <w:rPr>
          <w:rFonts w:ascii="Arial" w:cs="Arial" w:eastAsia="Arial" w:hAnsi="Arial"/>
          <w:sz w:val="18"/>
          <w:szCs w:val="18"/>
          <w:color w:val="auto"/>
        </w:rPr>
      </w:pPr>
    </w:p>
    <w:p>
      <w:pPr>
        <w:ind w:left="860" w:hanging="64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1654810" cy="248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4810" cy="248285"/>
                    </a:xfrm>
                    <a:prstGeom prst="rect">
                      <a:avLst/>
                    </a:prstGeom>
                    <a:noFill/>
                  </pic:spPr>
                </pic:pic>
              </a:graphicData>
            </a:graphic>
          </wp:anchor>
        </w:drawing>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580" w:type="dxa"/>
            <w:vAlign w:val="bottom"/>
          </w:tcPr>
          <w:p>
            <w:pPr>
              <w:ind w:left="80"/>
              <w:spacing w:after="0"/>
              <w:rPr>
                <w:sz w:val="20"/>
                <w:szCs w:val="20"/>
                <w:color w:val="auto"/>
              </w:rPr>
            </w:pPr>
            <w:r>
              <w:rPr>
                <w:rFonts w:ascii="Arial" w:cs="Arial" w:eastAsia="Arial" w:hAnsi="Arial"/>
                <w:sz w:val="18"/>
                <w:szCs w:val="18"/>
                <w:b w:val="1"/>
                <w:bCs w:val="1"/>
                <w:color w:val="auto"/>
              </w:rPr>
              <w:t>Name</w:t>
            </w:r>
          </w:p>
        </w:tc>
        <w:tc>
          <w:tcPr>
            <w:tcW w:w="8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48"/>
        </w:trPr>
        <w:tc>
          <w:tcPr>
            <w:tcW w:w="2580" w:type="dxa"/>
            <w:vAlign w:val="bottom"/>
          </w:tcPr>
          <w:p>
            <w:pPr>
              <w:spacing w:after="0"/>
              <w:rPr>
                <w:sz w:val="4"/>
                <w:szCs w:val="4"/>
                <w:color w:val="auto"/>
              </w:rPr>
            </w:pPr>
          </w:p>
        </w:tc>
        <w:tc>
          <w:tcPr>
            <w:tcW w:w="8840" w:type="dxa"/>
            <w:vAlign w:val="bottom"/>
            <w:tcBorders>
              <w:bottom w:val="single" w:sz="8" w:color="auto"/>
              <w:right w:val="single" w:sz="8" w:color="auto"/>
            </w:tcBorders>
          </w:tcPr>
          <w:p>
            <w:pPr>
              <w:spacing w:after="0"/>
              <w:rPr>
                <w:sz w:val="4"/>
                <w:szCs w:val="4"/>
                <w:color w:val="auto"/>
              </w:rPr>
            </w:pPr>
          </w:p>
        </w:tc>
      </w:tr>
      <w:tr>
        <w:trPr>
          <w:trHeight w:val="257"/>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William C. Erbey</w:t>
            </w:r>
          </w:p>
        </w:tc>
        <w:tc>
          <w:tcPr>
            <w:tcW w:w="8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Chairman</w:t>
            </w:r>
          </w:p>
        </w:tc>
      </w:tr>
      <w:tr>
        <w:trPr>
          <w:trHeight w:val="41"/>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r>
      <w:tr>
        <w:trPr>
          <w:trHeight w:val="250"/>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Ronald M. Faris</w:t>
            </w:r>
          </w:p>
        </w:tc>
        <w:tc>
          <w:tcPr>
            <w:tcW w:w="8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41"/>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r>
      <w:tr>
        <w:trPr>
          <w:trHeight w:val="250"/>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P. Van Vlack</w:t>
            </w:r>
          </w:p>
        </w:tc>
        <w:tc>
          <w:tcPr>
            <w:tcW w:w="8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Former Executive Vice President, Chief Financial Officer and Chief Accounting Officer</w:t>
            </w:r>
          </w:p>
        </w:tc>
      </w:tr>
      <w:tr>
        <w:trPr>
          <w:trHeight w:val="41"/>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r>
      <w:tr>
        <w:trPr>
          <w:trHeight w:val="250"/>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Paul A. Koches</w:t>
            </w:r>
          </w:p>
        </w:tc>
        <w:tc>
          <w:tcPr>
            <w:tcW w:w="8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1"/>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r>
      <w:tr>
        <w:trPr>
          <w:trHeight w:val="250"/>
        </w:trPr>
        <w:tc>
          <w:tcPr>
            <w:tcW w:w="25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V. Britti</w:t>
            </w:r>
          </w:p>
        </w:tc>
        <w:tc>
          <w:tcPr>
            <w:tcW w:w="8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Executive Vice President and current Chief Financial Officer</w:t>
            </w:r>
          </w:p>
        </w:tc>
      </w:tr>
      <w:tr>
        <w:trPr>
          <w:trHeight w:val="48"/>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8840" w:type="dxa"/>
            <w:vAlign w:val="bottom"/>
            <w:tcBorders>
              <w:bottom w:val="single" w:sz="8" w:color="auto"/>
              <w:right w:val="single" w:sz="8" w:color="auto"/>
            </w:tcBorders>
          </w:tcPr>
          <w:p>
            <w:pPr>
              <w:spacing w:after="0"/>
              <w:rPr>
                <w:sz w:val="4"/>
                <w:szCs w:val="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executives including the Executive Chairman and President and Chief Executive Officer are involved in the design of executive compensation programs proposed for approval by the Compensation Committee. These executives annually review the performance of each executive officer (other than the Executive Chairman and President and Chief Executive Officer whose performances are reviewed by the Compensation Committee) and present their conclusions and recommendations regarding incentive award amounts to the Compensation Committee for its consideration and approval. The Compensation Committee can exercise its discretion in accepting, rejecting and/or modifying any such executive compensation recommendations; however, executive compensation matters for officers other than the Executive Chairman and President and Chief Executive Officer are generally delegated to the Executive Chairman for development and execution.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5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entered into an advisory agreement with Exequity, LLC, an executive compensation consulting firm, in February 2010. The consulting firm provides the following services to the Compensation Committee as needed from time to time: (i) review of Director pay proposals and program designs, (ii) competitive assessments or benchmarking analysis of executive compensation, (iii) updates on market trends and regulatory considerations impacting compensation and benefit programs, (iv) assistance with preparation of executive pay proposals and (v) responses to various other requests from the Compensation Committee. The Compensation Committee did not utilize the services of Exequity, LLC in 2011. Exequity, LLC has not been retained by management of the Company for any purpose.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current compensation package for our executive officers consists of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the following elements of compensation are appropriate in light of our performance, industry, current challenges and environment.</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 salaries for our executive officers are established based on individual qualifications and job responsibilities while taking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levels at similarly situated companies for similar positions.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While the Compensation Committee sets the base salary for the Executive Chairman and President and Chief Executive Officer, the base salaries for all other executive officers are established and reviewed by the Executive Chairman. In 2011, Mr. Erbey received no base salary increase. Messrs. Faris, Koches, and Britti also did not receive base salary increases in 2011. As a result of a performance award, Mr. Van Vlack did receive an increase in his base salary compensation.</w:t>
      </w:r>
    </w:p>
    <w:p>
      <w:pPr>
        <w:spacing w:after="0" w:line="19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Annual Incentive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primary incentive compensation plan for executives is the 2007 Equity Incentive Plan which was approved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Pursuant to the plan, a participant can earn cash, restricted stock and stock option awards as determined by the Compensation</w:t>
      </w:r>
    </w:p>
    <w:p>
      <w:pPr>
        <w:ind w:right="80"/>
        <w:spacing w:after="0" w:line="302" w:lineRule="auto"/>
        <w:rPr>
          <w:sz w:val="20"/>
          <w:szCs w:val="20"/>
          <w:color w:val="auto"/>
        </w:rPr>
      </w:pPr>
      <w:r>
        <w:rPr>
          <w:rFonts w:ascii="Arial" w:cs="Arial" w:eastAsia="Arial" w:hAnsi="Arial"/>
          <w:sz w:val="16"/>
          <w:szCs w:val="16"/>
          <w:color w:val="auto"/>
        </w:rPr>
        <w:t>Committee. Awards under the plan for 2011 were in the form of cash. In determining the composition of the 2011 awards to executives, the Compensation Committee considered the holdings of current executives, effect of diluting existing investors and executive preference. The plan provides the Compensation Committee and our management with the authority to establish incentive award guidelines which are further discussed below.</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executive officer has a targeted annual incentive award that is expressed as a percentage of total target compensation. At the executive level in 2011, 50% to 65% of total target compensation was payable only upon achievement of certain minimum Company and individual performance levels. The appropriate targeted percentage is determined from benchmarking results and varies depending on the nature and scope of each executive officer’s responsibilities. The table below reflects the percentage of each executive officer’s target total compensation that was allocated to each of base salary and incentive compensation in 2011 and each executive officer’s actual total compensation that was allocated to each of base salary and incentive compensation in 2011: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Incentive</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c>
          <w:tcPr>
            <w:tcW w:w="13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of Target</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Actual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Actual Total</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in</w:t>
            </w:r>
          </w:p>
        </w:tc>
      </w:tr>
      <w:tr>
        <w:trPr>
          <w:trHeight w:val="241"/>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20" w:type="dxa"/>
            <w:vAlign w:val="bottom"/>
            <w:gridSpan w:val="3"/>
          </w:tcPr>
          <w:p>
            <w:pPr>
              <w:jc w:val="center"/>
              <w:ind w:left="2550"/>
              <w:spacing w:after="0"/>
              <w:rPr>
                <w:sz w:val="20"/>
                <w:szCs w:val="20"/>
                <w:color w:val="auto"/>
              </w:rPr>
            </w:pPr>
            <w:r>
              <w:rPr>
                <w:rFonts w:ascii="Arial" w:cs="Arial" w:eastAsia="Arial" w:hAnsi="Arial"/>
                <w:sz w:val="18"/>
                <w:szCs w:val="18"/>
                <w:b w:val="1"/>
                <w:bCs w:val="1"/>
                <w:color w:val="auto"/>
                <w:w w:val="84"/>
              </w:rPr>
              <w:t>2011</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3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4"/>
              </w:rPr>
              <w:t>2011</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254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Ronald M. Faris</w:t>
            </w:r>
          </w:p>
        </w:tc>
        <w:tc>
          <w:tcPr>
            <w:tcW w:w="3820" w:type="dxa"/>
            <w:vAlign w:val="bottom"/>
            <w:gridSpan w:val="3"/>
          </w:tcPr>
          <w:p>
            <w:pPr>
              <w:jc w:val="right"/>
              <w:ind w:right="270"/>
              <w:spacing w:after="0"/>
              <w:rPr>
                <w:sz w:val="20"/>
                <w:szCs w:val="20"/>
                <w:color w:val="auto"/>
              </w:rPr>
            </w:pPr>
            <w:r>
              <w:rPr>
                <w:rFonts w:ascii="Arial" w:cs="Arial" w:eastAsia="Arial" w:hAnsi="Arial"/>
                <w:sz w:val="18"/>
                <w:szCs w:val="18"/>
                <w:color w:val="auto"/>
              </w:rPr>
              <w:t>40%</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3820" w:type="dxa"/>
            <w:vAlign w:val="bottom"/>
            <w:gridSpan w:val="3"/>
            <w:shd w:val="clear" w:color="auto" w:fill="EAF9E8"/>
          </w:tcPr>
          <w:p>
            <w:pPr>
              <w:jc w:val="right"/>
              <w:ind w:right="27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EAF9E8"/>
          </w:tcPr>
          <w:p>
            <w:pPr>
              <w:jc w:val="right"/>
              <w:ind w:right="270"/>
              <w:spacing w:after="0"/>
              <w:rPr>
                <w:sz w:val="20"/>
                <w:szCs w:val="20"/>
                <w:color w:val="auto"/>
              </w:rPr>
            </w:pPr>
            <w:r>
              <w:rPr>
                <w:rFonts w:ascii="Arial" w:cs="Arial" w:eastAsia="Arial" w:hAnsi="Arial"/>
                <w:sz w:val="18"/>
                <w:szCs w:val="18"/>
                <w:color w:val="auto"/>
              </w:rPr>
              <w:t>50%</w:t>
            </w:r>
          </w:p>
        </w:tc>
        <w:tc>
          <w:tcPr>
            <w:tcW w:w="134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EAF9E8"/>
          </w:tcPr>
          <w:p>
            <w:pPr>
              <w:jc w:val="right"/>
              <w:ind w:right="27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Paul A. Koches</w:t>
            </w:r>
          </w:p>
        </w:tc>
        <w:tc>
          <w:tcPr>
            <w:tcW w:w="3820" w:type="dxa"/>
            <w:vAlign w:val="bottom"/>
            <w:gridSpan w:val="3"/>
          </w:tcPr>
          <w:p>
            <w:pPr>
              <w:jc w:val="right"/>
              <w:ind w:right="270"/>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ind w:right="270"/>
              <w:spacing w:after="0"/>
              <w:rPr>
                <w:sz w:val="20"/>
                <w:szCs w:val="20"/>
                <w:color w:val="auto"/>
              </w:rPr>
            </w:pPr>
            <w:r>
              <w:rPr>
                <w:rFonts w:ascii="Arial" w:cs="Arial" w:eastAsia="Arial" w:hAnsi="Arial"/>
                <w:sz w:val="18"/>
                <w:szCs w:val="18"/>
                <w:color w:val="auto"/>
              </w:rPr>
              <w:t>55%</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42%</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AF9E8"/>
          </w:tcPr>
          <w:p>
            <w:pPr>
              <w:spacing w:after="0"/>
              <w:rPr>
                <w:sz w:val="20"/>
                <w:szCs w:val="20"/>
                <w:color w:val="auto"/>
              </w:rPr>
            </w:pPr>
            <w:r>
              <w:rPr>
                <w:rFonts w:ascii="Arial" w:cs="Arial" w:eastAsia="Arial" w:hAnsi="Arial"/>
                <w:sz w:val="18"/>
                <w:szCs w:val="18"/>
                <w:color w:val="auto"/>
              </w:rPr>
              <w:t>John V. Britti</w:t>
            </w:r>
          </w:p>
        </w:tc>
        <w:tc>
          <w:tcPr>
            <w:tcW w:w="3820" w:type="dxa"/>
            <w:vAlign w:val="bottom"/>
            <w:gridSpan w:val="3"/>
            <w:shd w:val="clear" w:color="auto" w:fill="EAF9E8"/>
          </w:tcPr>
          <w:p>
            <w:pPr>
              <w:jc w:val="right"/>
              <w:ind w:right="27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EAF9E8"/>
          </w:tcPr>
          <w:p>
            <w:pPr>
              <w:jc w:val="right"/>
              <w:ind w:right="270"/>
              <w:spacing w:after="0"/>
              <w:rPr>
                <w:sz w:val="20"/>
                <w:szCs w:val="20"/>
                <w:color w:val="auto"/>
              </w:rPr>
            </w:pPr>
            <w:r>
              <w:rPr>
                <w:rFonts w:ascii="Arial" w:cs="Arial" w:eastAsia="Arial" w:hAnsi="Arial"/>
                <w:sz w:val="18"/>
                <w:szCs w:val="18"/>
                <w:color w:val="auto"/>
              </w:rPr>
              <w:t>50%</w:t>
            </w:r>
          </w:p>
        </w:tc>
        <w:tc>
          <w:tcPr>
            <w:tcW w:w="1340" w:type="dxa"/>
            <w:vAlign w:val="bottom"/>
            <w:gridSpan w:val="2"/>
            <w:shd w:val="clear" w:color="auto" w:fill="EAF9E8"/>
          </w:tcPr>
          <w:p>
            <w:pPr>
              <w:jc w:val="right"/>
              <w:ind w:right="25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EAF9E8"/>
          </w:tcPr>
          <w:p>
            <w:pPr>
              <w:jc w:val="right"/>
              <w:ind w:right="27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AF9E8"/>
          </w:tcPr>
          <w:p>
            <w:pPr>
              <w:spacing w:after="0"/>
              <w:rPr>
                <w:sz w:val="18"/>
                <w:szCs w:val="18"/>
                <w:color w:val="auto"/>
              </w:rPr>
            </w:pPr>
          </w:p>
        </w:tc>
      </w:tr>
      <w:tr>
        <w:trPr>
          <w:trHeight w:val="60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- 16 -</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right="20"/>
        <w:spacing w:after="0" w:line="270" w:lineRule="auto"/>
        <w:rPr>
          <w:sz w:val="20"/>
          <w:szCs w:val="20"/>
          <w:color w:val="auto"/>
        </w:rPr>
      </w:pPr>
      <w:r>
        <w:rPr>
          <w:rFonts w:ascii="Arial" w:cs="Arial" w:eastAsia="Arial" w:hAnsi="Arial"/>
          <w:sz w:val="17"/>
          <w:szCs w:val="17"/>
          <w:color w:val="auto"/>
        </w:rPr>
        <w:t>Our annual incentive 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 the full Board of Directors and is utilized by the Compensation Committee as a factor to determine the appropriate amount of incentive compensation to be paid to the Executive Chairman, President and Chief Executive Officer and other key executives.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corporate scorecard for 2011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325755</wp:posOffset>
            </wp:positionV>
            <wp:extent cx="7242175" cy="218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2175" cy="21844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Corporate Scorecard Elements</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left w:val="single" w:sz="8" w:color="auto"/>
            </w:tcBorders>
          </w:tcPr>
          <w:p>
            <w:pPr>
              <w:spacing w:after="0"/>
              <w:rPr>
                <w:sz w:val="22"/>
                <w:szCs w:val="22"/>
                <w:color w:val="auto"/>
              </w:rPr>
            </w:pPr>
          </w:p>
        </w:tc>
        <w:tc>
          <w:tcPr>
            <w:tcW w:w="3900" w:type="dxa"/>
            <w:vAlign w:val="bottom"/>
            <w:tcBorders>
              <w:right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3740" w:type="dxa"/>
            <w:vAlign w:val="bottom"/>
            <w:gridSpan w:val="2"/>
          </w:tcPr>
          <w:p>
            <w:pPr>
              <w:ind w:left="1020"/>
              <w:spacing w:after="0"/>
              <w:rPr>
                <w:sz w:val="20"/>
                <w:szCs w:val="20"/>
                <w:color w:val="auto"/>
              </w:rPr>
            </w:pPr>
            <w:r>
              <w:rPr>
                <w:rFonts w:ascii="Arial" w:cs="Arial" w:eastAsia="Arial" w:hAnsi="Arial"/>
                <w:sz w:val="18"/>
                <w:szCs w:val="18"/>
                <w:b w:val="1"/>
                <w:bCs w:val="1"/>
                <w:color w:val="auto"/>
              </w:rPr>
              <w:t>Achievement Levels</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140" w:type="dxa"/>
            <w:vAlign w:val="bottom"/>
            <w:tcBorders>
              <w:left w:val="single" w:sz="8" w:color="auto"/>
              <w:right w:val="single" w:sz="8" w:color="auto"/>
            </w:tcBorders>
            <w:gridSpan w:val="2"/>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Corporate Objectives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39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1.</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Achieve Earnings Per Share target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$0.319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$0.336</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$0.353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41"/>
        </w:trPr>
        <w:tc>
          <w:tcPr>
            <w:tcW w:w="240" w:type="dxa"/>
            <w:vAlign w:val="bottom"/>
            <w:tcBorders>
              <w:left w:val="single" w:sz="8" w:color="auto"/>
              <w:bottom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2.</w:t>
            </w:r>
          </w:p>
        </w:tc>
        <w:tc>
          <w:tcPr>
            <w:tcW w:w="3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Reduce asset intensity by:</w:t>
            </w:r>
          </w:p>
        </w:tc>
        <w:tc>
          <w:tcPr>
            <w:tcW w:w="184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1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Reducing average days loans spend in 90+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 reduction from</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 reduction from 2010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 reduction from</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41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contractual delinquency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2010 average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2010 average</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1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Reducing Gross Advances in relation to unpaid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 reduction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4.7% reduction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6.4% reduction</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principal balance</w:t>
            </w: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gridSpan w:val="2"/>
            <w:vMerge w:val="continue"/>
          </w:tcPr>
          <w:p>
            <w:pPr>
              <w:spacing w:after="0"/>
              <w:rPr>
                <w:sz w:val="10"/>
                <w:szCs w:val="10"/>
                <w:color w:val="auto"/>
              </w:rPr>
            </w:pPr>
          </w:p>
        </w:tc>
        <w:tc>
          <w:tcPr>
            <w:tcW w:w="184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rPr>
              <w:t>from 2010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182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auto"/>
              </w:rPr>
              <w:t>from 2010</w:t>
            </w: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tcPr>
          <w:p>
            <w:pPr>
              <w:spacing w:after="0"/>
              <w:rPr>
                <w:sz w:val="9"/>
                <w:szCs w:val="9"/>
                <w:color w:val="auto"/>
              </w:rPr>
            </w:pPr>
          </w:p>
        </w:tc>
        <w:tc>
          <w:tcPr>
            <w:tcW w:w="39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bottom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3.</w:t>
            </w:r>
          </w:p>
        </w:tc>
        <w:tc>
          <w:tcPr>
            <w:tcW w:w="3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Implement Home Loan Servicing Solutions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At the Discretion of the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At the 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strategy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gridSpan w:val="2"/>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40" w:type="dxa"/>
            <w:vAlign w:val="bottom"/>
            <w:tcBorders>
              <w:left w:val="single" w:sz="8" w:color="auto"/>
              <w:bottom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2"/>
              </w:rPr>
              <w:t>4.</w:t>
            </w:r>
          </w:p>
        </w:tc>
        <w:tc>
          <w:tcPr>
            <w:tcW w:w="3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Implement Lenders One strategy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At the Discretion of the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At the Discretion of the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vMerge w:val="continue"/>
          </w:tcPr>
          <w:p>
            <w:pPr>
              <w:spacing w:after="0"/>
              <w:rPr>
                <w:sz w:val="10"/>
                <w:szCs w:val="10"/>
                <w:color w:val="auto"/>
              </w:rPr>
            </w:pPr>
          </w:p>
        </w:tc>
        <w:tc>
          <w:tcPr>
            <w:tcW w:w="39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Board</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tcPr>
          <w:p>
            <w:pPr>
              <w:spacing w:after="0"/>
              <w:rPr>
                <w:sz w:val="9"/>
                <w:szCs w:val="9"/>
                <w:color w:val="auto"/>
              </w:rPr>
            </w:pPr>
          </w:p>
        </w:tc>
        <w:tc>
          <w:tcPr>
            <w:tcW w:w="390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40" w:type="dxa"/>
            <w:vAlign w:val="bottom"/>
            <w:tcBorders>
              <w:left w:val="single" w:sz="8" w:color="auto"/>
              <w:bottom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5.</w:t>
            </w:r>
          </w:p>
        </w:tc>
        <w:tc>
          <w:tcPr>
            <w:tcW w:w="3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Successfully complete the key Strategic Initiatives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80% weighted average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90% weighted average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weighted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of the Company</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score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score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average score</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gridSpan w:val="2"/>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39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0" w:type="dxa"/>
            <w:vAlign w:val="bottom"/>
            <w:tcBorders>
              <w:left w:val="single" w:sz="8" w:color="auto"/>
            </w:tcBorders>
          </w:tcPr>
          <w:p>
            <w:pPr>
              <w:spacing w:after="0"/>
              <w:rPr>
                <w:sz w:val="22"/>
                <w:szCs w:val="22"/>
                <w:color w:val="auto"/>
              </w:rPr>
            </w:pPr>
          </w:p>
        </w:tc>
        <w:tc>
          <w:tcPr>
            <w:tcW w:w="3900" w:type="dxa"/>
            <w:vAlign w:val="bottom"/>
          </w:tcPr>
          <w:p>
            <w:pPr>
              <w:spacing w:after="0"/>
              <w:rPr>
                <w:sz w:val="22"/>
                <w:szCs w:val="22"/>
                <w:color w:val="auto"/>
              </w:rPr>
            </w:pPr>
          </w:p>
        </w:tc>
        <w:tc>
          <w:tcPr>
            <w:tcW w:w="376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w w:val="90"/>
              </w:rPr>
              <w:t>Strategic Initiatives</w:t>
            </w:r>
          </w:p>
        </w:tc>
        <w:tc>
          <w:tcPr>
            <w:tcW w:w="18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1.</w:t>
            </w:r>
          </w:p>
        </w:tc>
        <w:tc>
          <w:tcPr>
            <w:tcW w:w="3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Grow the Unpaid Principal Balance serviced from</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 to 19.9%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 to 24.9% increase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25.0% increase or</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1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12/31/10 to 12/31/11 by 20%</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increase from 2010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greater from 2010</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tcBorders>
              <w:left w:val="single" w:sz="8" w:color="auto"/>
              <w:right w:val="single" w:sz="8" w:color="auto"/>
            </w:tcBorders>
            <w:gridSpan w:val="2"/>
            <w:vMerge w:val="continue"/>
          </w:tcPr>
          <w:p>
            <w:pPr>
              <w:spacing w:after="0"/>
              <w:rPr>
                <w:sz w:val="9"/>
                <w:szCs w:val="9"/>
                <w:color w:val="auto"/>
              </w:rPr>
            </w:pP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40" w:type="dxa"/>
            <w:vAlign w:val="bottom"/>
            <w:tcBorders>
              <w:left w:val="single" w:sz="8" w:color="auto"/>
              <w:bottom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2"/>
              </w:rPr>
              <w:t>2.</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 a new business</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At the discretion of the</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w:t>
            </w:r>
          </w:p>
        </w:tc>
        <w:tc>
          <w:tcPr>
            <w:tcW w:w="3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Condo conversion</w:t>
            </w:r>
          </w:p>
        </w:tc>
        <w:tc>
          <w:tcPr>
            <w:tcW w:w="18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vMerge w:val="continue"/>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w:t>
            </w:r>
          </w:p>
        </w:tc>
        <w:tc>
          <w:tcPr>
            <w:tcW w:w="39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Other</w:t>
            </w:r>
          </w:p>
        </w:tc>
        <w:tc>
          <w:tcPr>
            <w:tcW w:w="18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tcBorders>
            <w:vMerge w:val="continue"/>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39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- 17 -</w:t>
            </w: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4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51"/>
        </w:trPr>
        <w:tc>
          <w:tcPr>
            <w:tcW w:w="4180" w:type="dxa"/>
            <w:vAlign w:val="bottom"/>
            <w:tcBorders>
              <w:top w:val="single" w:sz="8" w:color="auto"/>
              <w:left w:val="single" w:sz="8" w:color="auto"/>
              <w:right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Achievement Levels</w:t>
            </w:r>
          </w:p>
        </w:tc>
        <w:tc>
          <w:tcPr>
            <w:tcW w:w="178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64"/>
        </w:trPr>
        <w:tc>
          <w:tcPr>
            <w:tcW w:w="418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Strategic Initiatives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61"/>
        </w:trPr>
        <w:tc>
          <w:tcPr>
            <w:tcW w:w="4180" w:type="dxa"/>
            <w:vAlign w:val="bottom"/>
            <w:tcBorders>
              <w:left w:val="single" w:sz="8" w:color="auto"/>
              <w:bottom w:val="single" w:sz="8" w:color="auto"/>
            </w:tcBorders>
          </w:tcPr>
          <w:p>
            <w:pPr>
              <w:spacing w:after="0"/>
              <w:rPr>
                <w:sz w:val="5"/>
                <w:szCs w:val="5"/>
                <w:color w:val="auto"/>
              </w:rPr>
            </w:pPr>
          </w:p>
        </w:tc>
        <w:tc>
          <w:tcPr>
            <w:tcW w:w="1800" w:type="dxa"/>
            <w:vAlign w:val="bottom"/>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780" w:type="dxa"/>
            <w:vAlign w:val="bottom"/>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 Improve portfolio of psychology-optimized</w:t>
            </w:r>
          </w:p>
        </w:tc>
        <w:tc>
          <w:tcPr>
            <w:tcW w:w="180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scripting and letters for Ocwen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90% dialogue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95% dialogue</w:t>
            </w:r>
          </w:p>
        </w:tc>
        <w:tc>
          <w:tcPr>
            <w:tcW w:w="17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98% dialogue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through identification and application of new research</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coverage rate</w:t>
            </w:r>
          </w:p>
        </w:tc>
        <w:tc>
          <w:tcPr>
            <w:tcW w:w="19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coverage rate</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7"/>
              </w:rPr>
              <w:t>coverage rate</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80" w:type="dxa"/>
            <w:vAlign w:val="bottom"/>
            <w:tcBorders>
              <w:left w:val="single" w:sz="8" w:color="auto"/>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testing for validation of improvements</w:t>
            </w:r>
          </w:p>
        </w:tc>
        <w:tc>
          <w:tcPr>
            <w:tcW w:w="18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4. Reduce re-default rates on modifications</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10% reduction</w:t>
            </w:r>
          </w:p>
        </w:tc>
        <w:tc>
          <w:tcPr>
            <w:tcW w:w="19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20% reduction</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30% reduction</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from 2010</w:t>
            </w:r>
          </w:p>
        </w:tc>
        <w:tc>
          <w:tcPr>
            <w:tcW w:w="198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1"/>
              </w:rPr>
              <w:t>from 2010</w:t>
            </w:r>
          </w:p>
        </w:tc>
        <w:tc>
          <w:tcPr>
            <w:tcW w:w="178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3"/>
              </w:rPr>
              <w:t>from 2010</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5.   Implement the appointment model</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Prior to 6/30/11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Prior to 5/31/11</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Prior to 4/30/11</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71"/>
        </w:trPr>
        <w:tc>
          <w:tcPr>
            <w:tcW w:w="4180" w:type="dxa"/>
            <w:vAlign w:val="bottom"/>
            <w:tcBorders>
              <w:left w:val="single" w:sz="8" w:color="auto"/>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 Implement the Shared Appreciation Modification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Prior to 10/31/11</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Prior to 9/30/11</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Prior to 8/31/11</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(SAM) across most states</w:t>
            </w:r>
          </w:p>
        </w:tc>
        <w:tc>
          <w:tcPr>
            <w:tcW w:w="180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 Increase the level of pre-foreclosure initiation</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7"/>
              </w:rPr>
              <w:t>20% increase</w:t>
            </w:r>
          </w:p>
        </w:tc>
        <w:tc>
          <w:tcPr>
            <w:tcW w:w="19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35% increase</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50% increase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580"/>
              <w:spacing w:after="0"/>
              <w:rPr>
                <w:sz w:val="20"/>
                <w:szCs w:val="20"/>
                <w:color w:val="auto"/>
              </w:rPr>
            </w:pPr>
            <w:r>
              <w:rPr>
                <w:rFonts w:ascii="Arial" w:cs="Arial" w:eastAsia="Arial" w:hAnsi="Arial"/>
                <w:sz w:val="18"/>
                <w:szCs w:val="18"/>
                <w:color w:val="auto"/>
              </w:rPr>
              <w:t>resolutions</w:t>
            </w:r>
          </w:p>
        </w:tc>
        <w:tc>
          <w:tcPr>
            <w:tcW w:w="180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91"/>
              </w:rPr>
              <w:t>from 2010</w:t>
            </w:r>
          </w:p>
        </w:tc>
        <w:tc>
          <w:tcPr>
            <w:tcW w:w="19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auto"/>
              </w:rPr>
              <w:t>from 2010</w:t>
            </w:r>
          </w:p>
        </w:tc>
        <w:tc>
          <w:tcPr>
            <w:tcW w:w="17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from 2010</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8. Improve delinquency roll rates by 10%</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1"/>
              </w:rPr>
              <w:t>5% improvement</w:t>
            </w:r>
          </w:p>
        </w:tc>
        <w:tc>
          <w:tcPr>
            <w:tcW w:w="19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35% improvement</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50% improvement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from 2010</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2010</w:t>
            </w:r>
          </w:p>
        </w:tc>
        <w:tc>
          <w:tcPr>
            <w:tcW w:w="17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from 2010</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9. Increase the overall level of Deed-in-Lieu and short</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7"/>
              </w:rPr>
              <w:t>20% increase</w:t>
            </w:r>
          </w:p>
        </w:tc>
        <w:tc>
          <w:tcPr>
            <w:tcW w:w="19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40% increase</w:t>
            </w:r>
          </w:p>
        </w:tc>
        <w:tc>
          <w:tcPr>
            <w:tcW w:w="17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60% increase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580"/>
              <w:spacing w:after="0"/>
              <w:rPr>
                <w:sz w:val="20"/>
                <w:szCs w:val="20"/>
                <w:color w:val="auto"/>
              </w:rPr>
            </w:pPr>
            <w:r>
              <w:rPr>
                <w:rFonts w:ascii="Arial" w:cs="Arial" w:eastAsia="Arial" w:hAnsi="Arial"/>
                <w:sz w:val="18"/>
                <w:szCs w:val="18"/>
                <w:color w:val="auto"/>
              </w:rPr>
              <w:t>sales completed</w:t>
            </w:r>
          </w:p>
        </w:tc>
        <w:tc>
          <w:tcPr>
            <w:tcW w:w="18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from 2010</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2010</w:t>
            </w:r>
          </w:p>
        </w:tc>
        <w:tc>
          <w:tcPr>
            <w:tcW w:w="17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from 2010</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7"/>
              </w:rPr>
              <w:t>155 days</w:t>
            </w:r>
          </w:p>
        </w:tc>
        <w:tc>
          <w:tcPr>
            <w:tcW w:w="198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140 days improvement</w:t>
            </w: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6"/>
              </w:rPr>
              <w:t>125</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10. Improve Real Estate Owned timelines and quality</w:t>
            </w:r>
          </w:p>
        </w:tc>
        <w:tc>
          <w:tcPr>
            <w:tcW w:w="180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2"/>
              </w:rPr>
              <w:t>improvement</w:t>
            </w: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days improvement</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2010</w:t>
            </w: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from 2010</w:t>
            </w:r>
          </w:p>
        </w:tc>
        <w:tc>
          <w:tcPr>
            <w:tcW w:w="19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from 2010</w:t>
            </w: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 Customer satisfaction</w:t>
            </w:r>
          </w:p>
        </w:tc>
        <w:tc>
          <w:tcPr>
            <w:tcW w:w="180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w w:val="92"/>
              </w:rPr>
              <w:t>(measured by Customer Satisfaction Survey Six Sigma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4.68 Sigma Level</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4.72 Sigma Level</w:t>
            </w:r>
          </w:p>
        </w:tc>
        <w:tc>
          <w:tcPr>
            <w:tcW w:w="17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4.76 Sigma Level</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i w:val="1"/>
                <w:iCs w:val="1"/>
                <w:color w:val="auto"/>
              </w:rPr>
              <w:t>Level)</w:t>
            </w:r>
          </w:p>
        </w:tc>
        <w:tc>
          <w:tcPr>
            <w:tcW w:w="18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4180" w:type="dxa"/>
            <w:vAlign w:val="bottom"/>
            <w:tcBorders>
              <w:left w:val="single" w:sz="8" w:color="auto"/>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4"/>
              </w:rPr>
              <w:t>12. Improve/ redesign the Interactive Voice Response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IVR by 8/31/11</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IVR by 7/31/11</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4"/>
              </w:rPr>
              <w:t>IVR by 6/30/11</w:t>
            </w: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system and www.ocwencustomers.com to improve</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Website by 10/31/11</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Website by 9/30/11</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Website by 8/31/11</w:t>
            </w: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overall customer satisfaction</w:t>
            </w:r>
          </w:p>
        </w:tc>
        <w:tc>
          <w:tcPr>
            <w:tcW w:w="180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4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13. Develop and implement a process to "Systematize"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80" w:type="dxa"/>
            <w:vAlign w:val="bottom"/>
            <w:tcBorders>
              <w:left w:val="single" w:sz="8" w:color="auto"/>
              <w:right w:val="single" w:sz="8" w:color="auto"/>
            </w:tcBorders>
          </w:tcPr>
          <w:p>
            <w:pPr>
              <w:ind w:left="80"/>
              <w:spacing w:after="0" w:line="148" w:lineRule="exact"/>
              <w:rPr>
                <w:sz w:val="20"/>
                <w:szCs w:val="20"/>
                <w:color w:val="auto"/>
              </w:rPr>
            </w:pPr>
            <w:r>
              <w:rPr>
                <w:rFonts w:ascii="Arial" w:cs="Arial" w:eastAsia="Arial" w:hAnsi="Arial"/>
                <w:sz w:val="17"/>
                <w:szCs w:val="17"/>
                <w:color w:val="auto"/>
              </w:rPr>
              <w:t>all departments with Sigma Levels, training, data</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President and Chief</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President and Chief</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President and Chief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w w:val="95"/>
              </w:rPr>
              <w:t>management, process maps, incentive compensation</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Executive Officer</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Executive Officer</w:t>
            </w:r>
          </w:p>
        </w:tc>
        <w:tc>
          <w:tcPr>
            <w:tcW w:w="17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4"/>
              </w:rPr>
              <w:t>Executive Officer</w:t>
            </w: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plans and disciplinary action</w:t>
            </w:r>
          </w:p>
        </w:tc>
        <w:tc>
          <w:tcPr>
            <w:tcW w:w="180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80" w:type="dxa"/>
            <w:vAlign w:val="bottom"/>
            <w:tcBorders>
              <w:left w:val="single" w:sz="8" w:color="auto"/>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8"/>
        </w:trPr>
        <w:tc>
          <w:tcPr>
            <w:tcW w:w="4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- 18 -</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-5417185</wp:posOffset>
            </wp:positionV>
            <wp:extent cx="119189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91895" cy="25717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-5417185</wp:posOffset>
            </wp:positionV>
            <wp:extent cx="118300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3005" cy="25717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97"/>
        </w:trPr>
        <w:tc>
          <w:tcPr>
            <w:tcW w:w="320" w:type="dxa"/>
            <w:vAlign w:val="bottom"/>
            <w:tcBorders>
              <w:top w:val="single" w:sz="8" w:color="auto"/>
              <w:left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Achievement Levels</w:t>
            </w:r>
          </w:p>
        </w:tc>
        <w:tc>
          <w:tcPr>
            <w:tcW w:w="1800" w:type="dxa"/>
            <w:vAlign w:val="bottom"/>
          </w:tcPr>
          <w:p>
            <w:pPr>
              <w:spacing w:after="0"/>
              <w:rPr>
                <w:sz w:val="24"/>
                <w:szCs w:val="24"/>
                <w:color w:val="auto"/>
              </w:rPr>
            </w:pP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68"/>
        </w:trPr>
        <w:tc>
          <w:tcPr>
            <w:tcW w:w="320" w:type="dxa"/>
            <w:vAlign w:val="bottom"/>
            <w:tcBorders>
              <w:left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8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Strategic Initiatives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87"/>
              </w:rPr>
              <w:t>14.</w:t>
            </w:r>
          </w:p>
        </w:tc>
        <w:tc>
          <w:tcPr>
            <w:tcW w:w="3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Improve the J.D. Power Mortgage Servicing Study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Exceed the mean of the</w:t>
            </w:r>
          </w:p>
        </w:tc>
        <w:tc>
          <w:tcPr>
            <w:tcW w:w="1960" w:type="dxa"/>
            <w:vAlign w:val="bottom"/>
            <w:tcBorders>
              <w:right w:val="single" w:sz="8" w:color="auto"/>
            </w:tcBorders>
          </w:tcPr>
          <w:p>
            <w:pPr>
              <w:jc w:val="center"/>
              <w:spacing w:after="0" w:line="256" w:lineRule="exact"/>
              <w:rPr>
                <w:sz w:val="20"/>
                <w:szCs w:val="20"/>
                <w:color w:val="auto"/>
              </w:rPr>
            </w:pPr>
            <w:r>
              <w:rPr>
                <w:rFonts w:ascii="Arial" w:cs="Arial" w:eastAsia="Arial" w:hAnsi="Arial"/>
                <w:sz w:val="18"/>
                <w:szCs w:val="18"/>
                <w:color w:val="auto"/>
                <w:w w:val="89"/>
              </w:rPr>
              <w:t>Improve to the 3</w:t>
            </w:r>
            <w:r>
              <w:rPr>
                <w:rFonts w:ascii="Arial" w:cs="Arial" w:eastAsia="Arial" w:hAnsi="Arial"/>
                <w:sz w:val="25"/>
                <w:szCs w:val="25"/>
                <w:color w:val="auto"/>
                <w:w w:val="89"/>
                <w:vertAlign w:val="superscript"/>
              </w:rPr>
              <w:t>rd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Exceed the mean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320" w:type="dxa"/>
            <w:vAlign w:val="bottom"/>
            <w:tcBorders>
              <w:left w:val="single" w:sz="8" w:color="auto"/>
            </w:tcBorders>
            <w:vMerge w:val="continue"/>
          </w:tcPr>
          <w:p>
            <w:pPr>
              <w:spacing w:after="0"/>
              <w:rPr>
                <w:sz w:val="10"/>
                <w:szCs w:val="10"/>
                <w:color w:val="auto"/>
              </w:rPr>
            </w:pPr>
          </w:p>
        </w:tc>
        <w:tc>
          <w:tcPr>
            <w:tcW w:w="38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bottom quartile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quartile</w:t>
            </w:r>
          </w:p>
        </w:tc>
        <w:tc>
          <w:tcPr>
            <w:tcW w:w="1800" w:type="dxa"/>
            <w:vAlign w:val="bottom"/>
            <w:tcBorders>
              <w:right w:val="single" w:sz="8" w:color="auto"/>
            </w:tcBorders>
            <w:vMerge w:val="restart"/>
          </w:tcPr>
          <w:p>
            <w:pPr>
              <w:jc w:val="center"/>
              <w:spacing w:after="0" w:line="284" w:lineRule="exact"/>
              <w:rPr>
                <w:sz w:val="20"/>
                <w:szCs w:val="20"/>
                <w:color w:val="auto"/>
              </w:rPr>
            </w:pPr>
            <w:r>
              <w:rPr>
                <w:rFonts w:ascii="Arial" w:cs="Arial" w:eastAsia="Arial" w:hAnsi="Arial"/>
                <w:sz w:val="18"/>
                <w:szCs w:val="18"/>
                <w:color w:val="auto"/>
                <w:w w:val="89"/>
              </w:rPr>
              <w:t>the 3</w:t>
            </w:r>
            <w:r>
              <w:rPr>
                <w:rFonts w:ascii="Arial" w:cs="Arial" w:eastAsia="Arial" w:hAnsi="Arial"/>
                <w:sz w:val="25"/>
                <w:szCs w:val="25"/>
                <w:color w:val="auto"/>
                <w:w w:val="89"/>
                <w:vertAlign w:val="superscript"/>
              </w:rPr>
              <w:t>rd</w:t>
            </w:r>
            <w:r>
              <w:rPr>
                <w:rFonts w:ascii="Arial" w:cs="Arial" w:eastAsia="Arial" w:hAnsi="Arial"/>
                <w:sz w:val="18"/>
                <w:szCs w:val="18"/>
                <w:color w:val="auto"/>
                <w:w w:val="89"/>
              </w:rPr>
              <w:t xml:space="preserve"> quartile</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0" w:type="dxa"/>
            <w:vAlign w:val="bottom"/>
            <w:tcBorders>
              <w:left w:val="single" w:sz="8" w:color="auto"/>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96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87"/>
              </w:rPr>
              <w:t>15.</w:t>
            </w:r>
          </w:p>
        </w:tc>
        <w:tc>
          <w:tcPr>
            <w:tcW w:w="3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Improve brand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20" w:type="dxa"/>
            <w:vAlign w:val="bottom"/>
            <w:tcBorders>
              <w:left w:val="single" w:sz="8" w:color="auto"/>
            </w:tcBorders>
            <w:vMerge w:val="continue"/>
          </w:tcPr>
          <w:p>
            <w:pPr>
              <w:spacing w:after="0"/>
              <w:rPr>
                <w:sz w:val="10"/>
                <w:szCs w:val="10"/>
                <w:color w:val="auto"/>
              </w:rPr>
            </w:pPr>
          </w:p>
        </w:tc>
        <w:tc>
          <w:tcPr>
            <w:tcW w:w="38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3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16.</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Reduce professional fees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10% reduction in</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 reduction in each</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20% reduction in each</w:t>
            </w:r>
          </w:p>
        </w:tc>
        <w:tc>
          <w:tcPr>
            <w:tcW w:w="1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  Third party legal fees</w:t>
            </w: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each category</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category</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category</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  Deal related legal fees</w:t>
            </w: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from 2010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  Litigation related legal fees</w:t>
            </w:r>
          </w:p>
        </w:tc>
        <w:tc>
          <w:tcPr>
            <w:tcW w:w="180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320" w:type="dxa"/>
            <w:vAlign w:val="bottom"/>
            <w:tcBorders>
              <w:left w:val="single" w:sz="8" w:color="auto"/>
              <w:bottom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17.</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Develop and implement a Data Quality and</w:t>
            </w:r>
          </w:p>
        </w:tc>
        <w:tc>
          <w:tcPr>
            <w:tcW w:w="18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Management strategy including hiring a VP of Data</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 the discretion of the</w:t>
            </w: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Quality and Management, improving analytics,</w:t>
            </w: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Executive Chairman</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Executive Chairman</w:t>
            </w: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7"/>
              </w:rPr>
              <w:t>reducing reconciliation costs, reducing storage costs</w:t>
            </w:r>
          </w:p>
        </w:tc>
        <w:tc>
          <w:tcPr>
            <w:tcW w:w="180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80" w:type="dxa"/>
            <w:vAlign w:val="bottom"/>
            <w:tcBorders>
              <w:left w:val="single" w:sz="8" w:color="auto"/>
              <w:right w:val="single" w:sz="8" w:color="auto"/>
            </w:tcBorders>
            <w:gridSpan w:val="2"/>
            <w:vMerge w:val="continue"/>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reducing reporting costs</w:t>
            </w:r>
          </w:p>
        </w:tc>
        <w:tc>
          <w:tcPr>
            <w:tcW w:w="18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87"/>
              </w:rPr>
              <w:t>18.</w:t>
            </w:r>
          </w:p>
        </w:tc>
        <w:tc>
          <w:tcPr>
            <w:tcW w:w="3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Reduce technology costs</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5.0% reduction</w:t>
            </w:r>
          </w:p>
        </w:tc>
        <w:tc>
          <w:tcPr>
            <w:tcW w:w="19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1"/>
              </w:rPr>
              <w:t>7.5% reduction</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0"/>
              </w:rPr>
              <w:t>10.0% reduction</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320" w:type="dxa"/>
            <w:vAlign w:val="bottom"/>
            <w:tcBorders>
              <w:left w:val="single" w:sz="8" w:color="auto"/>
            </w:tcBorders>
            <w:vMerge w:val="continue"/>
          </w:tcPr>
          <w:p>
            <w:pPr>
              <w:spacing w:after="0"/>
              <w:rPr>
                <w:sz w:val="10"/>
                <w:szCs w:val="10"/>
                <w:color w:val="auto"/>
              </w:rPr>
            </w:pPr>
          </w:p>
        </w:tc>
        <w:tc>
          <w:tcPr>
            <w:tcW w:w="38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from 2010</w:t>
            </w:r>
          </w:p>
        </w:tc>
        <w:tc>
          <w:tcPr>
            <w:tcW w:w="19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1"/>
              </w:rPr>
              <w:t>from 2010</w:t>
            </w:r>
          </w:p>
        </w:tc>
        <w:tc>
          <w:tcPr>
            <w:tcW w:w="18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3"/>
              </w:rPr>
              <w:t>from 2010</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3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tcPr>
          <w:p>
            <w:pPr>
              <w:spacing w:after="0"/>
              <w:rPr>
                <w:sz w:val="21"/>
                <w:szCs w:val="21"/>
                <w:color w:val="auto"/>
              </w:rPr>
            </w:pPr>
          </w:p>
        </w:tc>
        <w:tc>
          <w:tcPr>
            <w:tcW w:w="38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20% increase in</w:t>
            </w:r>
          </w:p>
        </w:tc>
        <w:tc>
          <w:tcPr>
            <w:tcW w:w="19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35% increase in</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8"/>
              </w:rPr>
              <w:t>50% increase in</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19.</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Develop consumer marketing business line</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revenue per loan</w:t>
            </w:r>
          </w:p>
        </w:tc>
        <w:tc>
          <w:tcPr>
            <w:tcW w:w="19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revenue per loan</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revenue per loan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serviced</w:t>
            </w:r>
          </w:p>
        </w:tc>
        <w:tc>
          <w:tcPr>
            <w:tcW w:w="196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serviced</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serviced</w:t>
            </w: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87"/>
              </w:rPr>
              <w:t>20.</w:t>
            </w:r>
          </w:p>
        </w:tc>
        <w:tc>
          <w:tcPr>
            <w:tcW w:w="38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Improve the quality of the 10Qs, 10K, earnings</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At the discretion of</w:t>
            </w:r>
          </w:p>
        </w:tc>
        <w:tc>
          <w:tcPr>
            <w:tcW w:w="19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At the discretion of</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vMerge w:val="continue"/>
          </w:tcPr>
          <w:p>
            <w:pPr>
              <w:spacing w:after="0"/>
              <w:rPr>
                <w:sz w:val="9"/>
                <w:szCs w:val="9"/>
                <w:color w:val="auto"/>
              </w:rPr>
            </w:pPr>
          </w:p>
        </w:tc>
        <w:tc>
          <w:tcPr>
            <w:tcW w:w="38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the Executive</w:t>
            </w: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the Executive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releases and quarterly conference calls</w:t>
            </w: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0"/>
              </w:rPr>
              <w:t>Executive Chairman</w:t>
            </w: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gridSpan w:val="2"/>
            <w:vMerge w:val="continue"/>
          </w:tcPr>
          <w:p>
            <w:pPr>
              <w:spacing w:after="0"/>
              <w:rPr>
                <w:sz w:val="10"/>
                <w:szCs w:val="10"/>
                <w:color w:val="auto"/>
              </w:rPr>
            </w:pP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Chairman</w:t>
            </w:r>
          </w:p>
        </w:tc>
        <w:tc>
          <w:tcPr>
            <w:tcW w:w="19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Chairman</w:t>
            </w: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3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tcPr>
          <w:p>
            <w:pPr>
              <w:spacing w:after="0"/>
              <w:rPr>
                <w:sz w:val="21"/>
                <w:szCs w:val="21"/>
                <w:color w:val="auto"/>
              </w:rPr>
            </w:pPr>
          </w:p>
        </w:tc>
        <w:tc>
          <w:tcPr>
            <w:tcW w:w="38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21.</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Improve the Finance Department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Executive Officer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Executive Officer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Executive Officer</w:t>
            </w: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22.</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Implement a new General Ledger and Financial</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Implement by 12/31/11</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Implement by 10/31/11</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Implement by 8/31/11</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320" w:type="dxa"/>
            <w:vAlign w:val="bottom"/>
            <w:tcBorders>
              <w:left w:val="single" w:sz="8" w:color="auto"/>
            </w:tcBorders>
          </w:tcPr>
          <w:p>
            <w:pPr>
              <w:spacing w:after="0"/>
              <w:rPr>
                <w:sz w:val="10"/>
                <w:szCs w:val="10"/>
                <w:color w:val="auto"/>
              </w:rPr>
            </w:pPr>
          </w:p>
        </w:tc>
        <w:tc>
          <w:tcPr>
            <w:tcW w:w="38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Reporting system</w:t>
            </w:r>
          </w:p>
        </w:tc>
        <w:tc>
          <w:tcPr>
            <w:tcW w:w="1800" w:type="dxa"/>
            <w:vAlign w:val="bottom"/>
            <w:tcBorders>
              <w:right w:val="single" w:sz="8" w:color="auto"/>
            </w:tcBorders>
            <w:vMerge w:val="continue"/>
          </w:tcPr>
          <w:p>
            <w:pPr>
              <w:spacing w:after="0"/>
              <w:rPr>
                <w:sz w:val="10"/>
                <w:szCs w:val="10"/>
                <w:color w:val="auto"/>
              </w:rPr>
            </w:pPr>
          </w:p>
        </w:tc>
        <w:tc>
          <w:tcPr>
            <w:tcW w:w="196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auto"/>
            </w:tcBorders>
          </w:tcPr>
          <w:p>
            <w:pPr>
              <w:spacing w:after="0"/>
              <w:rPr>
                <w:sz w:val="9"/>
                <w:szCs w:val="9"/>
                <w:color w:val="auto"/>
              </w:rPr>
            </w:pPr>
          </w:p>
        </w:tc>
        <w:tc>
          <w:tcPr>
            <w:tcW w:w="38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23.</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Develop and implement a management talent and</w:t>
            </w:r>
          </w:p>
        </w:tc>
        <w:tc>
          <w:tcPr>
            <w:tcW w:w="18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At the discretion of</w:t>
            </w:r>
          </w:p>
        </w:tc>
        <w:tc>
          <w:tcPr>
            <w:tcW w:w="19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color w:val="auto"/>
                <w:w w:val="92"/>
              </w:rPr>
              <w:t>At the discretion of</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18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assessment plan utilizing industry "best practices”</w:t>
            </w: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the Board</w:t>
            </w:r>
          </w:p>
        </w:tc>
        <w:tc>
          <w:tcPr>
            <w:tcW w:w="196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1"/>
              </w:rPr>
              <w:t>Board</w:t>
            </w:r>
          </w:p>
        </w:tc>
        <w:tc>
          <w:tcPr>
            <w:tcW w:w="180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9"/>
              </w:rPr>
              <w:t>the Board</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auto"/>
              <w:right w:val="single" w:sz="8" w:color="auto"/>
            </w:tcBorders>
            <w:gridSpan w:val="2"/>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 w:type="dxa"/>
            <w:vAlign w:val="bottom"/>
            <w:tcBorders>
              <w:left w:val="single" w:sz="8" w:color="auto"/>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7"/>
              </w:rPr>
              <w:t>24.</w:t>
            </w:r>
          </w:p>
        </w:tc>
        <w:tc>
          <w:tcPr>
            <w:tcW w:w="3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Cost of servicing and improving competitiveness</w:t>
            </w:r>
          </w:p>
        </w:tc>
        <w:tc>
          <w:tcPr>
            <w:tcW w:w="180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   Develop a cost of servicing model for performing</w:t>
            </w:r>
          </w:p>
        </w:tc>
        <w:tc>
          <w:tcPr>
            <w:tcW w:w="18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loans identifying cost-drivers and areas where Ocwen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the discretion of the</w:t>
            </w: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is uncompetitive.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President and Chief</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Develop a plan for improved costing and changes</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Executive Officer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Executive Officer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Executive Officer</w:t>
            </w: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to business processes that enable Ocwen to be</w:t>
            </w:r>
          </w:p>
        </w:tc>
        <w:tc>
          <w:tcPr>
            <w:tcW w:w="180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competitive for this business</w:t>
            </w:r>
          </w:p>
        </w:tc>
        <w:tc>
          <w:tcPr>
            <w:tcW w:w="18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320" w:type="dxa"/>
            <w:vAlign w:val="bottom"/>
            <w:tcBorders>
              <w:left w:val="single" w:sz="8" w:color="auto"/>
              <w:bottom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8"/>
        </w:trPr>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- 19 -</w:t>
            </w:r>
          </w:p>
        </w:tc>
        <w:tc>
          <w:tcPr>
            <w:tcW w:w="1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2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2760345</wp:posOffset>
            </wp:positionH>
            <wp:positionV relativeFrom="page">
              <wp:posOffset>325120</wp:posOffset>
            </wp:positionV>
            <wp:extent cx="357568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75685" cy="25717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97"/>
        </w:trPr>
        <w:tc>
          <w:tcPr>
            <w:tcW w:w="4260" w:type="dxa"/>
            <w:vAlign w:val="bottom"/>
            <w:tcBorders>
              <w:top w:val="single" w:sz="8" w:color="auto"/>
              <w:lef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960" w:type="dxa"/>
            <w:vAlign w:val="bottom"/>
          </w:tcPr>
          <w:p>
            <w:pPr>
              <w:ind w:left="240"/>
              <w:spacing w:after="0"/>
              <w:rPr>
                <w:sz w:val="20"/>
                <w:szCs w:val="20"/>
                <w:color w:val="auto"/>
              </w:rPr>
            </w:pPr>
            <w:r>
              <w:rPr>
                <w:rFonts w:ascii="Arial" w:cs="Arial" w:eastAsia="Arial" w:hAnsi="Arial"/>
                <w:sz w:val="18"/>
                <w:szCs w:val="18"/>
                <w:b w:val="1"/>
                <w:bCs w:val="1"/>
                <w:color w:val="auto"/>
                <w:w w:val="97"/>
              </w:rPr>
              <w:t>Achievement Levels</w:t>
            </w:r>
          </w:p>
        </w:tc>
        <w:tc>
          <w:tcPr>
            <w:tcW w:w="1800" w:type="dxa"/>
            <w:vAlign w:val="bottom"/>
          </w:tcPr>
          <w:p>
            <w:pPr>
              <w:spacing w:after="0"/>
              <w:rPr>
                <w:sz w:val="24"/>
                <w:szCs w:val="24"/>
                <w:color w:val="auto"/>
              </w:rPr>
            </w:pP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68"/>
        </w:trPr>
        <w:tc>
          <w:tcPr>
            <w:tcW w:w="4260" w:type="dxa"/>
            <w:vAlign w:val="bottom"/>
            <w:tcBorders>
              <w:left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Strategic Initiatives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Achieved</w:t>
            </w:r>
          </w:p>
        </w:tc>
        <w:tc>
          <w:tcPr>
            <w:tcW w:w="0" w:type="dxa"/>
            <w:vAlign w:val="bottom"/>
          </w:tcPr>
          <w:p>
            <w:pPr>
              <w:spacing w:after="0"/>
              <w:rPr>
                <w:sz w:val="1"/>
                <w:szCs w:val="1"/>
                <w:color w:val="auto"/>
              </w:rPr>
            </w:pPr>
          </w:p>
        </w:tc>
      </w:tr>
      <w:tr>
        <w:trPr>
          <w:trHeight w:val="61"/>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 Obtain credit agency approval for</w:t>
            </w:r>
          </w:p>
        </w:tc>
        <w:tc>
          <w:tcPr>
            <w:tcW w:w="1700" w:type="dxa"/>
            <w:vAlign w:val="bottom"/>
            <w:tcBorders>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Litton transfer,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One identified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Two identified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Three identified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42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   New Litton advance facility and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approval</w:t>
            </w: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approvals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approvals</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60" w:type="dxa"/>
            <w:vAlign w:val="bottom"/>
            <w:tcBorders>
              <w:left w:val="single" w:sz="8" w:color="auto"/>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Transfer of HomEq advance facility to HLSS</w:t>
            </w:r>
          </w:p>
        </w:tc>
        <w:tc>
          <w:tcPr>
            <w:tcW w:w="17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2828925</wp:posOffset>
            </wp:positionH>
            <wp:positionV relativeFrom="page">
              <wp:posOffset>325120</wp:posOffset>
            </wp:positionV>
            <wp:extent cx="350710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07105" cy="257175"/>
                    </a:xfrm>
                    <a:prstGeom prst="rect">
                      <a:avLst/>
                    </a:prstGeom>
                    <a:noFill/>
                  </pic:spPr>
                </pic:pic>
              </a:graphicData>
            </a:graphic>
          </wp:anchor>
        </w:drawing>
      </w:r>
    </w:p>
    <w:p>
      <w:pPr>
        <w:ind w:right="240"/>
        <w:spacing w:after="0" w:line="277" w:lineRule="auto"/>
        <w:rPr>
          <w:sz w:val="20"/>
          <w:szCs w:val="20"/>
          <w:color w:val="auto"/>
        </w:rPr>
      </w:pPr>
      <w:r>
        <w:rPr>
          <w:rFonts w:ascii="Arial" w:cs="Arial" w:eastAsia="Arial" w:hAnsi="Arial"/>
          <w:sz w:val="18"/>
          <w:szCs w:val="18"/>
          <w:color w:val="auto"/>
        </w:rPr>
        <w:t>The incentive award for our Executive Chairman was determined by the Compensation Committee based 100% on the Company’s performance in meeting the objectives established in the corporate scorecard.</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incentive awards for our executive officers other than the Executive Chairman are structured so that compensation opportunities are related to (i) the performance appraisal of the executive officer and (ii) the performance within the business or support unit as expressed on each executive officer’s personal scorecard. For the 2011 service year, the applicable percentage weight assigned to each component of each such executive officer’s incentive compensation is detailed below:</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Appraisal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Scorecard</w:t>
            </w:r>
          </w:p>
        </w:tc>
      </w:tr>
      <w:tr>
        <w:trPr>
          <w:trHeight w:val="24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color w:val="auto"/>
              </w:rPr>
              <w:t>Ronald M. Faris</w:t>
            </w:r>
          </w:p>
        </w:tc>
        <w:tc>
          <w:tcPr>
            <w:tcW w:w="80" w:type="dxa"/>
            <w:vAlign w:val="bottom"/>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ind w:left="3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John P. Van Vlack</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AF9E8"/>
          </w:tcPr>
          <w:p>
            <w:pPr>
              <w:spacing w:after="0"/>
              <w:rPr>
                <w:sz w:val="20"/>
                <w:szCs w:val="20"/>
                <w:color w:val="auto"/>
              </w:rPr>
            </w:pPr>
            <w:r>
              <w:rPr>
                <w:rFonts w:ascii="Arial" w:cs="Arial" w:eastAsia="Arial" w:hAnsi="Arial"/>
                <w:sz w:val="18"/>
                <w:szCs w:val="18"/>
                <w:color w:val="auto"/>
              </w:rPr>
              <w:t>Paul A. Koches</w:t>
            </w:r>
          </w:p>
        </w:tc>
        <w:tc>
          <w:tcPr>
            <w:tcW w:w="10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EAF9E8"/>
          </w:tcPr>
          <w:p>
            <w:pPr>
              <w:ind w:left="4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John V. Britti</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Each executive officer’s personal scorecard contains key components of the Company’s strategic initiatives related to the executive’s business or support unit. The weighted value of the various goals in each executive scorecard varies depending upon the relative importance of the goals in and the executive’s relative contribution to the ultimate financial performance of the Company and achievement of the strategic initiatives. Additionally, in developing the goals in the executives’ scorecards, a methodology is used to discourage executives from pursuing short term risks to attain their goals. Within each component of the scorecard, there are three (3) established levels of achievement: Threshold, Target and Outstanding.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results in no compensation to the executive for the associated goal.</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goals and initiatives are further cascaded to all of our other incentive-eligible employees in their personal scorecards. Within this program, all incentive-eligible employees are tied to a personal or business unit scorecard from which to measure performance against goals that are directly linked to corporate profitability and strategy. The scorecards are communicated to all incentive-eligible employees by the Human Resource Department or the employee’s immediate supervisor and are available to employees at all times in our performance management tracking system. Performance against such scorecards is reviewed with senior management on a quarterly basis and after the end of each year. This incentive compensation structure is intended to align the goals of our executives with the overall success of the company while establishing clear performance standards within their respective business or support units.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personal scorecards for our executive officers other than the Executive Chairman and the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272020" cy="763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763206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Name</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Ronald M. Faris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Arial" w:cs="Arial" w:eastAsia="Arial" w:hAnsi="Arial"/>
          <w:sz w:val="16"/>
          <w:szCs w:val="16"/>
          <w:color w:val="auto"/>
        </w:rPr>
        <w:t>John P. Van Vlack</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18"/>
                <w:szCs w:val="18"/>
                <w:b w:val="1"/>
                <w:bCs w:val="1"/>
                <w:color w:val="auto"/>
                <w:w w:val="92"/>
              </w:rPr>
              <w:t>Achievement Levels</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7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2011 Scorecard</w:t>
            </w:r>
          </w:p>
        </w:tc>
        <w:tc>
          <w:tcPr>
            <w:tcW w:w="20" w:type="dxa"/>
            <w:vAlign w:val="bottom"/>
          </w:tcPr>
          <w:p>
            <w:pPr>
              <w:spacing w:after="0"/>
              <w:rPr>
                <w:sz w:val="7"/>
                <w:szCs w:val="7"/>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6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58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4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Elements</w:t>
            </w:r>
          </w:p>
        </w:tc>
        <w:tc>
          <w:tcPr>
            <w:tcW w:w="20" w:type="dxa"/>
            <w:vAlign w:val="bottom"/>
            <w:shd w:val="clear" w:color="auto" w:fill="000000"/>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Target</w:t>
            </w:r>
          </w:p>
        </w:tc>
        <w:tc>
          <w:tcPr>
            <w:tcW w:w="20" w:type="dxa"/>
            <w:vAlign w:val="bottom"/>
            <w:shd w:val="clear" w:color="auto" w:fill="000000"/>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000000"/>
          </w:tcPr>
          <w:p>
            <w:pPr>
              <w:spacing w:after="0"/>
              <w:rPr>
                <w:sz w:val="22"/>
                <w:szCs w:val="22"/>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20%</w:t>
            </w:r>
          </w:p>
        </w:tc>
        <w:tc>
          <w:tcPr>
            <w:tcW w:w="20" w:type="dxa"/>
            <w:vAlign w:val="bottom"/>
            <w:shd w:val="clear" w:color="auto" w:fill="000000"/>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w w:val="94"/>
              </w:rPr>
              <w:t>Achieve Earnings Per</w:t>
            </w:r>
          </w:p>
        </w:tc>
        <w:tc>
          <w:tcPr>
            <w:tcW w:w="20" w:type="dxa"/>
            <w:vAlign w:val="bottom"/>
            <w:shd w:val="clear" w:color="auto" w:fill="000000"/>
          </w:tcPr>
          <w:p>
            <w:pPr>
              <w:spacing w:after="0"/>
              <w:rPr>
                <w:sz w:val="22"/>
                <w:szCs w:val="22"/>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0"/>
              </w:rPr>
              <w:t>$0.319</w:t>
            </w:r>
          </w:p>
        </w:tc>
        <w:tc>
          <w:tcPr>
            <w:tcW w:w="20" w:type="dxa"/>
            <w:vAlign w:val="bottom"/>
            <w:shd w:val="clear" w:color="auto" w:fill="000000"/>
          </w:tcPr>
          <w:p>
            <w:pPr>
              <w:spacing w:after="0"/>
              <w:rPr>
                <w:sz w:val="22"/>
                <w:szCs w:val="22"/>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$0.336</w:t>
            </w:r>
          </w:p>
        </w:tc>
        <w:tc>
          <w:tcPr>
            <w:tcW w:w="20" w:type="dxa"/>
            <w:vAlign w:val="bottom"/>
            <w:shd w:val="clear" w:color="auto" w:fill="000000"/>
          </w:tcPr>
          <w:p>
            <w:pPr>
              <w:spacing w:after="0"/>
              <w:rPr>
                <w:sz w:val="22"/>
                <w:szCs w:val="22"/>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0"/>
              </w:rPr>
              <w:t>$0.353</w:t>
            </w:r>
          </w:p>
        </w:tc>
        <w:tc>
          <w:tcPr>
            <w:tcW w:w="20" w:type="dxa"/>
            <w:vAlign w:val="bottom"/>
            <w:shd w:val="clear" w:color="auto" w:fill="000000"/>
          </w:tcPr>
          <w:p>
            <w:pPr>
              <w:spacing w:after="0"/>
              <w:rPr>
                <w:sz w:val="22"/>
                <w:szCs w:val="22"/>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 target</w:t>
            </w:r>
          </w:p>
        </w:tc>
        <w:tc>
          <w:tcPr>
            <w:tcW w:w="20" w:type="dxa"/>
            <w:vAlign w:val="bottom"/>
            <w:shd w:val="clear" w:color="auto" w:fill="000000"/>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auto"/>
            </w:tcBorders>
            <w:shd w:val="clear" w:color="auto" w:fill="000000"/>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000000"/>
          </w:tcPr>
          <w:p>
            <w:pPr>
              <w:spacing w:after="0"/>
              <w:rPr>
                <w:sz w:val="21"/>
                <w:szCs w:val="21"/>
                <w:color w:val="auto"/>
              </w:rPr>
            </w:pPr>
          </w:p>
        </w:tc>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20" w:type="dxa"/>
            <w:vAlign w:val="bottom"/>
            <w:shd w:val="clear" w:color="auto" w:fill="000000"/>
          </w:tcPr>
          <w:p>
            <w:pPr>
              <w:spacing w:after="0"/>
              <w:rPr>
                <w:sz w:val="21"/>
                <w:szCs w:val="21"/>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Reduce asset intensity</w:t>
            </w:r>
          </w:p>
        </w:tc>
        <w:tc>
          <w:tcPr>
            <w:tcW w:w="20" w:type="dxa"/>
            <w:vAlign w:val="bottom"/>
            <w:shd w:val="clear" w:color="auto" w:fill="000000"/>
          </w:tcPr>
          <w:p>
            <w:pPr>
              <w:spacing w:after="0"/>
              <w:rPr>
                <w:sz w:val="21"/>
                <w:szCs w:val="21"/>
                <w:color w:val="auto"/>
              </w:rPr>
            </w:pPr>
          </w:p>
        </w:tc>
        <w:tc>
          <w:tcPr>
            <w:tcW w:w="1680" w:type="dxa"/>
            <w:vAlign w:val="bottom"/>
            <w:tcBorders>
              <w:left w:val="single" w:sz="8" w:color="auto"/>
              <w:right w:val="single" w:sz="8" w:color="auto"/>
            </w:tcBorders>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700" w:type="dxa"/>
            <w:vAlign w:val="bottom"/>
            <w:tcBorders>
              <w:left w:val="single" w:sz="8" w:color="auto"/>
              <w:right w:val="single" w:sz="8" w:color="auto"/>
            </w:tcBorders>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660" w:type="dxa"/>
            <w:vAlign w:val="bottom"/>
            <w:tcBorders>
              <w:left w:val="single" w:sz="8" w:color="auto"/>
              <w:right w:val="single" w:sz="8" w:color="auto"/>
            </w:tcBorders>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1"/>
              </w:rPr>
              <w:t>by:</w:t>
            </w:r>
          </w:p>
        </w:tc>
        <w:tc>
          <w:tcPr>
            <w:tcW w:w="144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Reducing average</w:t>
            </w: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days loans spend in</w:t>
            </w: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 reduction from</w:t>
            </w: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8% reduction from</w:t>
            </w: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 reduction from</w:t>
            </w:r>
          </w:p>
        </w:tc>
        <w:tc>
          <w:tcPr>
            <w:tcW w:w="20" w:type="dxa"/>
            <w:vAlign w:val="bottom"/>
            <w:shd w:val="clear" w:color="auto" w:fill="000000"/>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90+ contractual</w:t>
            </w: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2010 average</w:t>
            </w: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2010 average</w:t>
            </w: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2010 average</w:t>
            </w: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delinquency</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 w:type="dxa"/>
            <w:vAlign w:val="bottom"/>
            <w:shd w:val="clear" w:color="auto" w:fill="000000"/>
          </w:tcPr>
          <w:p>
            <w:pPr>
              <w:spacing w:after="0"/>
              <w:rPr>
                <w:sz w:val="24"/>
                <w:szCs w:val="24"/>
                <w:color w:val="auto"/>
              </w:rPr>
            </w:pPr>
          </w:p>
        </w:tc>
        <w:tc>
          <w:tcPr>
            <w:tcW w:w="1440" w:type="dxa"/>
            <w:vAlign w:val="bottom"/>
            <w:tcBorders>
              <w:left w:val="single" w:sz="8" w:color="auto"/>
            </w:tcBorders>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Reducing Gross</w:t>
            </w:r>
          </w:p>
        </w:tc>
        <w:tc>
          <w:tcPr>
            <w:tcW w:w="20" w:type="dxa"/>
            <w:vAlign w:val="bottom"/>
            <w:shd w:val="clear" w:color="auto" w:fill="000000"/>
          </w:tcPr>
          <w:p>
            <w:pPr>
              <w:spacing w:after="0"/>
              <w:rPr>
                <w:sz w:val="24"/>
                <w:szCs w:val="24"/>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 reduction</w:t>
            </w:r>
          </w:p>
        </w:tc>
        <w:tc>
          <w:tcPr>
            <w:tcW w:w="20" w:type="dxa"/>
            <w:vAlign w:val="bottom"/>
            <w:shd w:val="clear" w:color="auto" w:fill="000000"/>
          </w:tcPr>
          <w:p>
            <w:pPr>
              <w:spacing w:after="0"/>
              <w:rPr>
                <w:sz w:val="24"/>
                <w:szCs w:val="24"/>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4.7% reduction</w:t>
            </w:r>
          </w:p>
        </w:tc>
        <w:tc>
          <w:tcPr>
            <w:tcW w:w="20" w:type="dxa"/>
            <w:vAlign w:val="bottom"/>
            <w:shd w:val="clear" w:color="auto" w:fill="000000"/>
          </w:tcPr>
          <w:p>
            <w:pPr>
              <w:spacing w:after="0"/>
              <w:rPr>
                <w:sz w:val="24"/>
                <w:szCs w:val="24"/>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6.4% reduction</w:t>
            </w:r>
          </w:p>
        </w:tc>
        <w:tc>
          <w:tcPr>
            <w:tcW w:w="20" w:type="dxa"/>
            <w:vAlign w:val="bottom"/>
            <w:shd w:val="clear" w:color="auto" w:fill="000000"/>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Advances in relation</w:t>
            </w: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18"/>
                <w:szCs w:val="18"/>
                <w:color w:val="auto"/>
              </w:rPr>
              <w:t>from 2010</w:t>
            </w: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to unpaid principal</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8"/>
                <w:szCs w:val="8"/>
                <w:color w:val="auto"/>
              </w:rPr>
            </w:pPr>
          </w:p>
        </w:tc>
        <w:tc>
          <w:tcPr>
            <w:tcW w:w="1440" w:type="dxa"/>
            <w:vAlign w:val="bottom"/>
            <w:tcBorders>
              <w:lef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40" w:type="dxa"/>
            <w:vAlign w:val="bottom"/>
            <w:tcBorders>
              <w:right w:val="single" w:sz="8" w:color="auto"/>
            </w:tcBorders>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8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0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6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20"/>
                <w:szCs w:val="20"/>
                <w:color w:val="auto"/>
              </w:rPr>
            </w:pPr>
          </w:p>
        </w:tc>
        <w:tc>
          <w:tcPr>
            <w:tcW w:w="1440" w:type="dxa"/>
            <w:vAlign w:val="bottom"/>
            <w:tcBorders>
              <w:lef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balance</w:t>
            </w:r>
          </w:p>
        </w:tc>
        <w:tc>
          <w:tcPr>
            <w:tcW w:w="20" w:type="dxa"/>
            <w:vAlign w:val="bottom"/>
            <w:shd w:val="clear" w:color="auto" w:fill="000000"/>
          </w:tcPr>
          <w:p>
            <w:pPr>
              <w:spacing w:after="0"/>
              <w:rPr>
                <w:sz w:val="20"/>
                <w:szCs w:val="20"/>
                <w:color w:val="auto"/>
              </w:rPr>
            </w:pPr>
          </w:p>
        </w:tc>
        <w:tc>
          <w:tcPr>
            <w:tcW w:w="168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0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6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auto"/>
            </w:tcBorders>
            <w:shd w:val="clear" w:color="auto" w:fill="000000"/>
          </w:tcPr>
          <w:p>
            <w:pPr>
              <w:spacing w:after="0"/>
              <w:rPr>
                <w:sz w:val="23"/>
                <w:szCs w:val="23"/>
                <w:color w:val="auto"/>
              </w:rPr>
            </w:pPr>
          </w:p>
        </w:tc>
        <w:tc>
          <w:tcPr>
            <w:tcW w:w="1440" w:type="dxa"/>
            <w:vAlign w:val="bottom"/>
            <w:tcBorders>
              <w:left w:val="single" w:sz="8" w:color="auto"/>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740" w:type="dxa"/>
            <w:vAlign w:val="bottom"/>
            <w:tcBorders>
              <w:bottom w:val="single" w:sz="8" w:color="auto"/>
              <w:right w:val="single" w:sz="8" w:color="auto"/>
            </w:tcBorders>
            <w:gridSpan w:val="2"/>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8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70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6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000000"/>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Implement Home</w:t>
            </w:r>
          </w:p>
        </w:tc>
        <w:tc>
          <w:tcPr>
            <w:tcW w:w="20" w:type="dxa"/>
            <w:vAlign w:val="bottom"/>
            <w:shd w:val="clear" w:color="auto" w:fill="000000"/>
          </w:tcPr>
          <w:p>
            <w:pPr>
              <w:spacing w:after="0"/>
              <w:rPr>
                <w:sz w:val="21"/>
                <w:szCs w:val="21"/>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3"/>
              </w:rPr>
              <w:t>At the Discretion of</w:t>
            </w:r>
          </w:p>
        </w:tc>
        <w:tc>
          <w:tcPr>
            <w:tcW w:w="20" w:type="dxa"/>
            <w:vAlign w:val="bottom"/>
            <w:shd w:val="clear" w:color="auto" w:fill="000000"/>
          </w:tcPr>
          <w:p>
            <w:pPr>
              <w:spacing w:after="0"/>
              <w:rPr>
                <w:sz w:val="21"/>
                <w:szCs w:val="21"/>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4"/>
              </w:rPr>
              <w:t>At the Discretion of</w:t>
            </w:r>
          </w:p>
        </w:tc>
        <w:tc>
          <w:tcPr>
            <w:tcW w:w="20" w:type="dxa"/>
            <w:vAlign w:val="bottom"/>
            <w:shd w:val="clear" w:color="auto" w:fill="000000"/>
          </w:tcPr>
          <w:p>
            <w:pPr>
              <w:spacing w:after="0"/>
              <w:rPr>
                <w:sz w:val="21"/>
                <w:szCs w:val="21"/>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4"/>
              </w:rPr>
              <w:t>At the Discretion of</w:t>
            </w:r>
          </w:p>
        </w:tc>
        <w:tc>
          <w:tcPr>
            <w:tcW w:w="20" w:type="dxa"/>
            <w:vAlign w:val="bottom"/>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15%</w:t>
            </w:r>
          </w:p>
        </w:tc>
        <w:tc>
          <w:tcPr>
            <w:tcW w:w="20" w:type="dxa"/>
            <w:vAlign w:val="bottom"/>
            <w:shd w:val="clear" w:color="auto" w:fill="000000"/>
          </w:tcPr>
          <w:p>
            <w:pPr>
              <w:spacing w:after="0"/>
              <w:rPr>
                <w:sz w:val="9"/>
                <w:szCs w:val="9"/>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Loan Servicing</w:t>
            </w:r>
          </w:p>
        </w:tc>
        <w:tc>
          <w:tcPr>
            <w:tcW w:w="20" w:type="dxa"/>
            <w:vAlign w:val="bottom"/>
            <w:shd w:val="clear" w:color="auto" w:fill="000000"/>
          </w:tcPr>
          <w:p>
            <w:pPr>
              <w:spacing w:after="0"/>
              <w:rPr>
                <w:sz w:val="9"/>
                <w:szCs w:val="9"/>
                <w:color w:val="auto"/>
              </w:rPr>
            </w:pPr>
          </w:p>
        </w:tc>
        <w:tc>
          <w:tcPr>
            <w:tcW w:w="16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Solutions strategy</w:t>
            </w:r>
          </w:p>
        </w:tc>
        <w:tc>
          <w:tcPr>
            <w:tcW w:w="20" w:type="dxa"/>
            <w:vAlign w:val="bottom"/>
            <w:shd w:val="clear" w:color="auto" w:fill="000000"/>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auto"/>
            </w:tcBorders>
            <w:shd w:val="clear" w:color="auto" w:fill="000000"/>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000000"/>
          </w:tcPr>
          <w:p>
            <w:pPr>
              <w:spacing w:after="0"/>
              <w:rPr>
                <w:sz w:val="21"/>
                <w:szCs w:val="21"/>
                <w:color w:val="auto"/>
              </w:rPr>
            </w:pPr>
          </w:p>
        </w:tc>
        <w:tc>
          <w:tcPr>
            <w:tcW w:w="14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20" w:type="dxa"/>
            <w:vAlign w:val="bottom"/>
            <w:shd w:val="clear" w:color="auto" w:fill="000000"/>
          </w:tcPr>
          <w:p>
            <w:pPr>
              <w:spacing w:after="0"/>
              <w:rPr>
                <w:sz w:val="21"/>
                <w:szCs w:val="21"/>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Implement Lenders</w:t>
            </w:r>
          </w:p>
        </w:tc>
        <w:tc>
          <w:tcPr>
            <w:tcW w:w="20" w:type="dxa"/>
            <w:vAlign w:val="bottom"/>
            <w:shd w:val="clear" w:color="auto" w:fill="000000"/>
          </w:tcPr>
          <w:p>
            <w:pPr>
              <w:spacing w:after="0"/>
              <w:rPr>
                <w:sz w:val="21"/>
                <w:szCs w:val="21"/>
                <w:color w:val="auto"/>
              </w:rPr>
            </w:pPr>
          </w:p>
        </w:tc>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At the Discretion of</w:t>
            </w:r>
          </w:p>
        </w:tc>
        <w:tc>
          <w:tcPr>
            <w:tcW w:w="20" w:type="dxa"/>
            <w:vAlign w:val="bottom"/>
            <w:shd w:val="clear" w:color="auto" w:fill="000000"/>
          </w:tcPr>
          <w:p>
            <w:pPr>
              <w:spacing w:after="0"/>
              <w:rPr>
                <w:sz w:val="21"/>
                <w:szCs w:val="21"/>
                <w:color w:val="auto"/>
              </w:rPr>
            </w:pPr>
          </w:p>
        </w:tc>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At the Discretion of</w:t>
            </w:r>
          </w:p>
        </w:tc>
        <w:tc>
          <w:tcPr>
            <w:tcW w:w="20" w:type="dxa"/>
            <w:vAlign w:val="bottom"/>
            <w:shd w:val="clear" w:color="auto" w:fill="000000"/>
          </w:tcPr>
          <w:p>
            <w:pPr>
              <w:spacing w:after="0"/>
              <w:rPr>
                <w:sz w:val="21"/>
                <w:szCs w:val="21"/>
                <w:color w:val="auto"/>
              </w:rPr>
            </w:pPr>
          </w:p>
        </w:tc>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At the Discretion of</w:t>
            </w:r>
          </w:p>
        </w:tc>
        <w:tc>
          <w:tcPr>
            <w:tcW w:w="20" w:type="dxa"/>
            <w:vAlign w:val="bottom"/>
            <w:shd w:val="clear" w:color="auto" w:fill="000000"/>
          </w:tcPr>
          <w:p>
            <w:pPr>
              <w:spacing w:after="0"/>
              <w:rPr>
                <w:sz w:val="21"/>
                <w:szCs w:val="2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One strategy</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auto"/>
            </w:tcBorders>
            <w:shd w:val="clear" w:color="auto" w:fill="000000"/>
          </w:tcPr>
          <w:p>
            <w:pPr>
              <w:spacing w:after="0"/>
              <w:rPr>
                <w:sz w:val="4"/>
                <w:szCs w:val="4"/>
                <w:color w:val="auto"/>
              </w:rPr>
            </w:pPr>
          </w:p>
        </w:tc>
        <w:tc>
          <w:tcPr>
            <w:tcW w:w="144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7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000000"/>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Successfully</w:t>
            </w:r>
          </w:p>
        </w:tc>
        <w:tc>
          <w:tcPr>
            <w:tcW w:w="20" w:type="dxa"/>
            <w:vAlign w:val="bottom"/>
            <w:shd w:val="clear" w:color="auto" w:fill="000000"/>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35%</w:t>
            </w:r>
          </w:p>
        </w:tc>
        <w:tc>
          <w:tcPr>
            <w:tcW w:w="20" w:type="dxa"/>
            <w:vAlign w:val="bottom"/>
            <w:shd w:val="clear" w:color="auto" w:fill="000000"/>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complete the key</w:t>
            </w:r>
          </w:p>
        </w:tc>
        <w:tc>
          <w:tcPr>
            <w:tcW w:w="20" w:type="dxa"/>
            <w:vAlign w:val="bottom"/>
            <w:shd w:val="clear" w:color="auto" w:fill="000000"/>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80% weighted</w:t>
            </w:r>
          </w:p>
        </w:tc>
        <w:tc>
          <w:tcPr>
            <w:tcW w:w="20" w:type="dxa"/>
            <w:vAlign w:val="bottom"/>
            <w:shd w:val="clear" w:color="auto" w:fill="000000"/>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90% weighted</w:t>
            </w:r>
          </w:p>
        </w:tc>
        <w:tc>
          <w:tcPr>
            <w:tcW w:w="20" w:type="dxa"/>
            <w:vAlign w:val="bottom"/>
            <w:shd w:val="clear" w:color="auto" w:fill="000000"/>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 weighted</w:t>
            </w:r>
          </w:p>
        </w:tc>
        <w:tc>
          <w:tcPr>
            <w:tcW w:w="20" w:type="dxa"/>
            <w:vAlign w:val="bottom"/>
            <w:shd w:val="clear" w:color="auto" w:fill="000000"/>
          </w:tcPr>
          <w:p>
            <w:pPr>
              <w:spacing w:after="0"/>
              <w:rPr>
                <w:sz w:val="18"/>
                <w:szCs w:val="18"/>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w w:val="95"/>
              </w:rPr>
              <w:t>Strategic Initiatives of</w:t>
            </w:r>
          </w:p>
        </w:tc>
        <w:tc>
          <w:tcPr>
            <w:tcW w:w="20" w:type="dxa"/>
            <w:vAlign w:val="bottom"/>
            <w:shd w:val="clear" w:color="auto" w:fill="000000"/>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shd w:val="clear" w:color="auto" w:fill="000000"/>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shd w:val="clear" w:color="auto" w:fill="000000"/>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shd w:val="clear" w:color="auto" w:fill="000000"/>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0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shd w:val="clear" w:color="auto" w:fill="000000"/>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the Company</w:t>
            </w:r>
          </w:p>
        </w:tc>
        <w:tc>
          <w:tcPr>
            <w:tcW w:w="20" w:type="dxa"/>
            <w:vAlign w:val="bottom"/>
            <w:tcBorders>
              <w:bottom w:val="single" w:sz="8" w:color="auto"/>
            </w:tcBorders>
            <w:shd w:val="clear" w:color="auto" w:fill="000000"/>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7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25%</w:t>
            </w:r>
          </w:p>
        </w:tc>
        <w:tc>
          <w:tcPr>
            <w:tcW w:w="20" w:type="dxa"/>
            <w:vAlign w:val="bottom"/>
          </w:tcPr>
          <w:p>
            <w:pPr>
              <w:spacing w:after="0"/>
              <w:rPr>
                <w:sz w:val="24"/>
                <w:szCs w:val="24"/>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Achieve Earnings Per</w:t>
            </w:r>
          </w:p>
        </w:tc>
        <w:tc>
          <w:tcPr>
            <w:tcW w:w="20" w:type="dxa"/>
            <w:vAlign w:val="bottom"/>
          </w:tcPr>
          <w:p>
            <w:pPr>
              <w:spacing w:after="0"/>
              <w:rPr>
                <w:sz w:val="24"/>
                <w:szCs w:val="24"/>
                <w:color w:val="auto"/>
              </w:rPr>
            </w:pPr>
          </w:p>
        </w:tc>
        <w:tc>
          <w:tcPr>
            <w:tcW w:w="1680" w:type="dxa"/>
            <w:vAlign w:val="bottom"/>
            <w:vMerge w:val="restart"/>
          </w:tcPr>
          <w:p>
            <w:pPr>
              <w:jc w:val="right"/>
              <w:ind w:right="590"/>
              <w:spacing w:after="0"/>
              <w:rPr>
                <w:sz w:val="20"/>
                <w:szCs w:val="20"/>
                <w:color w:val="auto"/>
              </w:rPr>
            </w:pPr>
            <w:r>
              <w:rPr>
                <w:rFonts w:ascii="Arial" w:cs="Arial" w:eastAsia="Arial" w:hAnsi="Arial"/>
                <w:sz w:val="18"/>
                <w:szCs w:val="18"/>
                <w:color w:val="auto"/>
              </w:rPr>
              <w:t>$0.319</w:t>
            </w:r>
          </w:p>
        </w:tc>
        <w:tc>
          <w:tcPr>
            <w:tcW w:w="20" w:type="dxa"/>
            <w:vAlign w:val="bottom"/>
          </w:tcPr>
          <w:p>
            <w:pPr>
              <w:spacing w:after="0"/>
              <w:rPr>
                <w:sz w:val="24"/>
                <w:szCs w:val="24"/>
                <w:color w:val="auto"/>
              </w:rPr>
            </w:pPr>
          </w:p>
        </w:tc>
        <w:tc>
          <w:tcPr>
            <w:tcW w:w="1700" w:type="dxa"/>
            <w:vAlign w:val="bottom"/>
            <w:vMerge w:val="restart"/>
          </w:tcPr>
          <w:p>
            <w:pPr>
              <w:ind w:left="600"/>
              <w:spacing w:after="0"/>
              <w:rPr>
                <w:sz w:val="20"/>
                <w:szCs w:val="20"/>
                <w:color w:val="auto"/>
              </w:rPr>
            </w:pPr>
            <w:r>
              <w:rPr>
                <w:rFonts w:ascii="Arial" w:cs="Arial" w:eastAsia="Arial" w:hAnsi="Arial"/>
                <w:sz w:val="18"/>
                <w:szCs w:val="18"/>
                <w:color w:val="auto"/>
              </w:rPr>
              <w:t>$0.336</w:t>
            </w:r>
          </w:p>
        </w:tc>
        <w:tc>
          <w:tcPr>
            <w:tcW w:w="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0"/>
              </w:rPr>
              <w:t>$0.353</w:t>
            </w:r>
          </w:p>
        </w:tc>
        <w:tc>
          <w:tcPr>
            <w:tcW w:w="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56"/>
        </w:trPr>
        <w:tc>
          <w:tcPr>
            <w:tcW w:w="20" w:type="dxa"/>
            <w:vAlign w:val="bottom"/>
            <w:shd w:val="clear" w:color="auto" w:fill="000000"/>
          </w:tcPr>
          <w:p>
            <w:pPr>
              <w:spacing w:after="0"/>
              <w:rPr>
                <w:sz w:val="22"/>
                <w:szCs w:val="22"/>
                <w:color w:val="auto"/>
              </w:rPr>
            </w:pPr>
          </w:p>
        </w:tc>
        <w:tc>
          <w:tcPr>
            <w:tcW w:w="144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740" w:type="dxa"/>
            <w:vAlign w:val="bottom"/>
            <w:gridSpan w:val="2"/>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6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7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66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 target</w:t>
            </w:r>
          </w:p>
        </w:tc>
        <w:tc>
          <w:tcPr>
            <w:tcW w:w="20" w:type="dxa"/>
            <w:vAlign w:val="bottom"/>
            <w:shd w:val="clear" w:color="auto" w:fill="000000"/>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auto"/>
            </w:tcBorders>
            <w:shd w:val="clear" w:color="auto" w:fill="000000"/>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7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000000"/>
          </w:tcPr>
          <w:p>
            <w:pPr>
              <w:spacing w:after="0"/>
              <w:rPr>
                <w:sz w:val="20"/>
                <w:szCs w:val="20"/>
                <w:color w:val="auto"/>
              </w:rPr>
            </w:pPr>
          </w:p>
        </w:tc>
        <w:tc>
          <w:tcPr>
            <w:tcW w:w="1440" w:type="dxa"/>
            <w:vAlign w:val="bottom"/>
            <w:tcBorders>
              <w:lef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Reduce asset intensity</w:t>
            </w:r>
          </w:p>
        </w:tc>
        <w:tc>
          <w:tcPr>
            <w:tcW w:w="20" w:type="dxa"/>
            <w:vAlign w:val="bottom"/>
            <w:shd w:val="clear" w:color="auto" w:fill="000000"/>
          </w:tcPr>
          <w:p>
            <w:pPr>
              <w:spacing w:after="0"/>
              <w:rPr>
                <w:sz w:val="20"/>
                <w:szCs w:val="20"/>
                <w:color w:val="auto"/>
              </w:rPr>
            </w:pPr>
          </w:p>
        </w:tc>
        <w:tc>
          <w:tcPr>
            <w:tcW w:w="168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0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6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1"/>
              </w:rPr>
              <w:t>by:</w:t>
            </w:r>
          </w:p>
        </w:tc>
        <w:tc>
          <w:tcPr>
            <w:tcW w:w="1440" w:type="dxa"/>
            <w:vAlign w:val="bottom"/>
            <w:tcBorders>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w:t>
            </w:r>
          </w:p>
        </w:tc>
        <w:tc>
          <w:tcPr>
            <w:tcW w:w="20" w:type="dxa"/>
            <w:vAlign w:val="bottom"/>
            <w:shd w:val="clear" w:color="auto" w:fill="000000"/>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Reducing average</w:t>
            </w: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days loans spend in</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 reduction from</w:t>
            </w: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8% reduction from</w:t>
            </w: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 reduction from</w:t>
            </w:r>
          </w:p>
        </w:tc>
        <w:tc>
          <w:tcPr>
            <w:tcW w:w="20" w:type="dxa"/>
            <w:vAlign w:val="bottom"/>
            <w:shd w:val="clear" w:color="auto" w:fill="000000"/>
          </w:tcPr>
          <w:p>
            <w:pPr>
              <w:spacing w:after="0"/>
              <w:rPr>
                <w:sz w:val="10"/>
                <w:szCs w:val="10"/>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8"/>
                <w:szCs w:val="8"/>
                <w:color w:val="auto"/>
              </w:rPr>
            </w:pPr>
          </w:p>
        </w:tc>
        <w:tc>
          <w:tcPr>
            <w:tcW w:w="1440" w:type="dxa"/>
            <w:vAlign w:val="bottom"/>
            <w:tcBorders>
              <w:lef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40" w:type="dxa"/>
            <w:vAlign w:val="bottom"/>
            <w:tcBorders>
              <w:right w:val="single" w:sz="8" w:color="auto"/>
            </w:tcBorders>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80" w:type="dxa"/>
            <w:vAlign w:val="bottom"/>
            <w:tcBorders>
              <w:left w:val="single" w:sz="8" w:color="auto"/>
              <w:right w:val="single" w:sz="8" w:color="auto"/>
            </w:tcBorders>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00" w:type="dxa"/>
            <w:vAlign w:val="bottom"/>
            <w:tcBorders>
              <w:left w:val="single" w:sz="8" w:color="auto"/>
              <w:right w:val="single" w:sz="8" w:color="auto"/>
            </w:tcBorders>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60" w:type="dxa"/>
            <w:vAlign w:val="bottom"/>
            <w:tcBorders>
              <w:left w:val="single" w:sz="8" w:color="auto"/>
              <w:right w:val="single" w:sz="8" w:color="auto"/>
            </w:tcBorders>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90+ contractual</w:t>
            </w: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2010 average</w:t>
            </w: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2010 average</w:t>
            </w: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2010 average</w:t>
            </w:r>
          </w:p>
        </w:tc>
        <w:tc>
          <w:tcPr>
            <w:tcW w:w="20" w:type="dxa"/>
            <w:vAlign w:val="bottom"/>
            <w:shd w:val="clear" w:color="auto" w:fill="000000"/>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delinquency</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0" w:type="dxa"/>
            <w:vAlign w:val="bottom"/>
            <w:shd w:val="clear" w:color="auto" w:fill="000000"/>
          </w:tcPr>
          <w:p>
            <w:pPr>
              <w:spacing w:after="0"/>
              <w:rPr>
                <w:sz w:val="24"/>
                <w:szCs w:val="24"/>
                <w:color w:val="auto"/>
              </w:rPr>
            </w:pPr>
          </w:p>
        </w:tc>
        <w:tc>
          <w:tcPr>
            <w:tcW w:w="144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20" w:type="dxa"/>
            <w:vAlign w:val="bottom"/>
            <w:shd w:val="clear" w:color="auto" w:fill="000000"/>
          </w:tcPr>
          <w:p>
            <w:pPr>
              <w:spacing w:after="0"/>
              <w:rPr>
                <w:sz w:val="24"/>
                <w:szCs w:val="24"/>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Reducing Gross</w:t>
            </w:r>
          </w:p>
        </w:tc>
        <w:tc>
          <w:tcPr>
            <w:tcW w:w="20" w:type="dxa"/>
            <w:vAlign w:val="bottom"/>
            <w:shd w:val="clear" w:color="auto" w:fill="000000"/>
          </w:tcPr>
          <w:p>
            <w:pPr>
              <w:spacing w:after="0"/>
              <w:rPr>
                <w:sz w:val="24"/>
                <w:szCs w:val="24"/>
                <w:color w:val="auto"/>
              </w:rPr>
            </w:pPr>
          </w:p>
        </w:tc>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 reduction</w:t>
            </w:r>
          </w:p>
        </w:tc>
        <w:tc>
          <w:tcPr>
            <w:tcW w:w="20" w:type="dxa"/>
            <w:vAlign w:val="bottom"/>
            <w:shd w:val="clear" w:color="auto" w:fill="000000"/>
          </w:tcPr>
          <w:p>
            <w:pPr>
              <w:spacing w:after="0"/>
              <w:rPr>
                <w:sz w:val="24"/>
                <w:szCs w:val="24"/>
                <w:color w:val="auto"/>
              </w:rPr>
            </w:pPr>
          </w:p>
        </w:tc>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4.7% reduction</w:t>
            </w:r>
          </w:p>
        </w:tc>
        <w:tc>
          <w:tcPr>
            <w:tcW w:w="20" w:type="dxa"/>
            <w:vAlign w:val="bottom"/>
            <w:shd w:val="clear" w:color="auto" w:fill="000000"/>
          </w:tcPr>
          <w:p>
            <w:pPr>
              <w:spacing w:after="0"/>
              <w:rPr>
                <w:sz w:val="24"/>
                <w:szCs w:val="24"/>
                <w:color w:val="auto"/>
              </w:rPr>
            </w:pPr>
          </w:p>
        </w:tc>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6.4% reduction</w:t>
            </w:r>
          </w:p>
        </w:tc>
        <w:tc>
          <w:tcPr>
            <w:tcW w:w="20" w:type="dxa"/>
            <w:vAlign w:val="bottom"/>
            <w:shd w:val="clear" w:color="auto" w:fill="000000"/>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tcBorders>
              <w:left w:val="single" w:sz="8" w:color="auto"/>
            </w:tcBorders>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300" w:type="dxa"/>
            <w:vAlign w:val="bottom"/>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tcBorders>
              <w:left w:val="single" w:sz="8" w:color="auto"/>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from 2010</w:t>
            </w:r>
          </w:p>
        </w:tc>
        <w:tc>
          <w:tcPr>
            <w:tcW w:w="20" w:type="dxa"/>
            <w:vAlign w:val="bottom"/>
            <w:shd w:val="clear" w:color="auto" w:fill="000000"/>
          </w:tcPr>
          <w:p>
            <w:pPr>
              <w:spacing w:after="0"/>
              <w:rPr>
                <w:sz w:val="9"/>
                <w:szCs w:val="9"/>
                <w:color w:val="auto"/>
              </w:rPr>
            </w:pPr>
          </w:p>
        </w:tc>
        <w:tc>
          <w:tcPr>
            <w:tcW w:w="170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from 2010</w:t>
            </w:r>
          </w:p>
        </w:tc>
        <w:tc>
          <w:tcPr>
            <w:tcW w:w="20" w:type="dxa"/>
            <w:vAlign w:val="bottom"/>
            <w:shd w:val="clear" w:color="auto" w:fill="000000"/>
          </w:tcPr>
          <w:p>
            <w:pPr>
              <w:spacing w:after="0"/>
              <w:rPr>
                <w:sz w:val="9"/>
                <w:szCs w:val="9"/>
                <w:color w:val="auto"/>
              </w:rPr>
            </w:pPr>
          </w:p>
        </w:tc>
        <w:tc>
          <w:tcPr>
            <w:tcW w:w="166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18"/>
                <w:szCs w:val="18"/>
                <w:color w:val="auto"/>
              </w:rPr>
              <w:t>from 2010</w:t>
            </w:r>
          </w:p>
        </w:tc>
        <w:tc>
          <w:tcPr>
            <w:tcW w:w="20" w:type="dxa"/>
            <w:vAlign w:val="bottom"/>
            <w:shd w:val="clear" w:color="auto" w:fill="000000"/>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Borders>
              <w:left w:val="single" w:sz="8" w:color="auto"/>
            </w:tcBorders>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Advances in relation</w:t>
            </w:r>
          </w:p>
        </w:tc>
        <w:tc>
          <w:tcPr>
            <w:tcW w:w="20" w:type="dxa"/>
            <w:vAlign w:val="bottom"/>
            <w:shd w:val="clear" w:color="auto" w:fill="000000"/>
          </w:tcPr>
          <w:p>
            <w:pPr>
              <w:spacing w:after="0"/>
              <w:rPr>
                <w:sz w:val="10"/>
                <w:szCs w:val="10"/>
                <w:color w:val="auto"/>
              </w:rPr>
            </w:pPr>
          </w:p>
        </w:tc>
        <w:tc>
          <w:tcPr>
            <w:tcW w:w="168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tcBorders>
              <w:left w:val="single" w:sz="8" w:color="auto"/>
              <w:right w:val="single" w:sz="8" w:color="auto"/>
            </w:tcBorders>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000000"/>
          </w:tcPr>
          <w:p>
            <w:pPr>
              <w:spacing w:after="0"/>
              <w:rPr>
                <w:sz w:val="8"/>
                <w:szCs w:val="8"/>
                <w:color w:val="auto"/>
              </w:rPr>
            </w:pPr>
          </w:p>
        </w:tc>
        <w:tc>
          <w:tcPr>
            <w:tcW w:w="1440" w:type="dxa"/>
            <w:vAlign w:val="bottom"/>
            <w:tcBorders>
              <w:lef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40" w:type="dxa"/>
            <w:vAlign w:val="bottom"/>
            <w:tcBorders>
              <w:right w:val="single" w:sz="8" w:color="auto"/>
            </w:tcBorders>
            <w:gridSpan w:val="2"/>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8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70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60" w:type="dxa"/>
            <w:vAlign w:val="bottom"/>
            <w:tcBorders>
              <w:left w:val="single" w:sz="8" w:color="auto"/>
              <w:right w:val="single" w:sz="8" w:color="auto"/>
            </w:tcBorders>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1440" w:type="dxa"/>
            <w:vAlign w:val="bottom"/>
            <w:tcBorders>
              <w:lef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to unpaid principal</w:t>
            </w:r>
          </w:p>
        </w:tc>
        <w:tc>
          <w:tcPr>
            <w:tcW w:w="20" w:type="dxa"/>
            <w:vAlign w:val="bottom"/>
            <w:shd w:val="clear" w:color="auto" w:fill="000000"/>
          </w:tcPr>
          <w:p>
            <w:pPr>
              <w:spacing w:after="0"/>
              <w:rPr>
                <w:sz w:val="18"/>
                <w:szCs w:val="18"/>
                <w:color w:val="auto"/>
              </w:rPr>
            </w:pPr>
          </w:p>
        </w:tc>
        <w:tc>
          <w:tcPr>
            <w:tcW w:w="168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70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60" w:type="dxa"/>
            <w:vAlign w:val="bottom"/>
            <w:tcBorders>
              <w:left w:val="single" w:sz="8" w:color="auto"/>
              <w:right w:val="single" w:sz="8" w:color="auto"/>
            </w:tcBorders>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20"/>
                <w:szCs w:val="20"/>
                <w:color w:val="auto"/>
              </w:rPr>
            </w:pPr>
          </w:p>
        </w:tc>
        <w:tc>
          <w:tcPr>
            <w:tcW w:w="1440" w:type="dxa"/>
            <w:vAlign w:val="bottom"/>
            <w:tcBorders>
              <w:lef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balance</w:t>
            </w:r>
          </w:p>
        </w:tc>
        <w:tc>
          <w:tcPr>
            <w:tcW w:w="20" w:type="dxa"/>
            <w:vAlign w:val="bottom"/>
            <w:shd w:val="clear" w:color="auto" w:fill="000000"/>
          </w:tcPr>
          <w:p>
            <w:pPr>
              <w:spacing w:after="0"/>
              <w:rPr>
                <w:sz w:val="20"/>
                <w:szCs w:val="20"/>
                <w:color w:val="auto"/>
              </w:rPr>
            </w:pPr>
          </w:p>
        </w:tc>
        <w:tc>
          <w:tcPr>
            <w:tcW w:w="168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70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660" w:type="dxa"/>
            <w:vAlign w:val="bottom"/>
            <w:tcBorders>
              <w:left w:val="single" w:sz="8" w:color="auto"/>
              <w:right w:val="single" w:sz="8" w:color="auto"/>
            </w:tcBorders>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0" w:type="dxa"/>
            <w:vAlign w:val="bottom"/>
            <w:tcBorders>
              <w:bottom w:val="single" w:sz="8" w:color="auto"/>
            </w:tcBorders>
            <w:shd w:val="clear" w:color="auto" w:fill="000000"/>
          </w:tcPr>
          <w:p>
            <w:pPr>
              <w:spacing w:after="0"/>
              <w:rPr>
                <w:sz w:val="23"/>
                <w:szCs w:val="23"/>
                <w:color w:val="auto"/>
              </w:rPr>
            </w:pPr>
          </w:p>
        </w:tc>
        <w:tc>
          <w:tcPr>
            <w:tcW w:w="1440" w:type="dxa"/>
            <w:vAlign w:val="bottom"/>
            <w:tcBorders>
              <w:left w:val="single" w:sz="8" w:color="auto"/>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740" w:type="dxa"/>
            <w:vAlign w:val="bottom"/>
            <w:tcBorders>
              <w:bottom w:val="single" w:sz="8" w:color="auto"/>
              <w:right w:val="single" w:sz="8" w:color="auto"/>
            </w:tcBorders>
            <w:gridSpan w:val="2"/>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8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70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660" w:type="dxa"/>
            <w:vAlign w:val="bottom"/>
            <w:tcBorders>
              <w:left w:val="single" w:sz="8" w:color="auto"/>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000000"/>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Implement Home</w:t>
            </w:r>
          </w:p>
        </w:tc>
        <w:tc>
          <w:tcPr>
            <w:tcW w:w="20" w:type="dxa"/>
            <w:vAlign w:val="bottom"/>
            <w:shd w:val="clear" w:color="auto" w:fill="000000"/>
          </w:tcPr>
          <w:p>
            <w:pPr>
              <w:spacing w:after="0"/>
              <w:rPr>
                <w:sz w:val="21"/>
                <w:szCs w:val="21"/>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3"/>
              </w:rPr>
              <w:t>At the Discretion of</w:t>
            </w:r>
          </w:p>
        </w:tc>
        <w:tc>
          <w:tcPr>
            <w:tcW w:w="20" w:type="dxa"/>
            <w:vAlign w:val="bottom"/>
            <w:shd w:val="clear" w:color="auto" w:fill="000000"/>
          </w:tcPr>
          <w:p>
            <w:pPr>
              <w:spacing w:after="0"/>
              <w:rPr>
                <w:sz w:val="21"/>
                <w:szCs w:val="21"/>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3"/>
              </w:rPr>
              <w:t>At the Discretion of</w:t>
            </w:r>
          </w:p>
        </w:tc>
        <w:tc>
          <w:tcPr>
            <w:tcW w:w="20" w:type="dxa"/>
            <w:vAlign w:val="bottom"/>
            <w:shd w:val="clear" w:color="auto" w:fill="000000"/>
          </w:tcPr>
          <w:p>
            <w:pPr>
              <w:spacing w:after="0"/>
              <w:rPr>
                <w:sz w:val="21"/>
                <w:szCs w:val="21"/>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94"/>
              </w:rPr>
              <w:t>At the Discretion of</w:t>
            </w:r>
          </w:p>
        </w:tc>
        <w:tc>
          <w:tcPr>
            <w:tcW w:w="20" w:type="dxa"/>
            <w:vAlign w:val="bottom"/>
            <w:shd w:val="clear" w:color="auto" w:fill="000000"/>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35%</w:t>
            </w:r>
          </w:p>
        </w:tc>
        <w:tc>
          <w:tcPr>
            <w:tcW w:w="20" w:type="dxa"/>
            <w:vAlign w:val="bottom"/>
            <w:shd w:val="clear" w:color="auto" w:fill="000000"/>
          </w:tcPr>
          <w:p>
            <w:pPr>
              <w:spacing w:after="0"/>
              <w:rPr>
                <w:sz w:val="9"/>
                <w:szCs w:val="9"/>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Loan Servicing</w:t>
            </w:r>
          </w:p>
        </w:tc>
        <w:tc>
          <w:tcPr>
            <w:tcW w:w="20" w:type="dxa"/>
            <w:vAlign w:val="bottom"/>
            <w:shd w:val="clear" w:color="auto" w:fill="000000"/>
          </w:tcPr>
          <w:p>
            <w:pPr>
              <w:spacing w:after="0"/>
              <w:rPr>
                <w:sz w:val="9"/>
                <w:szCs w:val="9"/>
                <w:color w:val="auto"/>
              </w:rPr>
            </w:pPr>
          </w:p>
        </w:tc>
        <w:tc>
          <w:tcPr>
            <w:tcW w:w="168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0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20" w:type="dxa"/>
            <w:vAlign w:val="bottom"/>
            <w:shd w:val="clear" w:color="auto" w:fill="000000"/>
          </w:tcPr>
          <w:p>
            <w:pPr>
              <w:spacing w:after="0"/>
              <w:rPr>
                <w:sz w:val="9"/>
                <w:szCs w:val="9"/>
                <w:color w:val="auto"/>
              </w:rPr>
            </w:pPr>
          </w:p>
        </w:tc>
        <w:tc>
          <w:tcPr>
            <w:tcW w:w="144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9"/>
              </w:rPr>
              <w:t>the Board</w:t>
            </w:r>
          </w:p>
        </w:tc>
        <w:tc>
          <w:tcPr>
            <w:tcW w:w="20" w:type="dxa"/>
            <w:vAlign w:val="bottom"/>
            <w:shd w:val="clear" w:color="auto" w:fill="000000"/>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000000"/>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rPr>
              <w:t>Solutions strategy</w:t>
            </w:r>
          </w:p>
        </w:tc>
        <w:tc>
          <w:tcPr>
            <w:tcW w:w="20" w:type="dxa"/>
            <w:vAlign w:val="bottom"/>
            <w:shd w:val="clear" w:color="auto" w:fill="000000"/>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7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shd w:val="clear" w:color="auto" w:fill="000000"/>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74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Successfully</w:t>
            </w: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30%</w:t>
            </w:r>
          </w:p>
        </w:tc>
        <w:tc>
          <w:tcPr>
            <w:tcW w:w="2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complete the key</w:t>
            </w:r>
          </w:p>
        </w:tc>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80% weighted</w:t>
            </w: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90% weighted</w:t>
            </w:r>
          </w:p>
        </w:tc>
        <w:tc>
          <w:tcPr>
            <w:tcW w:w="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 weighted</w:t>
            </w:r>
          </w:p>
        </w:tc>
        <w:tc>
          <w:tcPr>
            <w:tcW w:w="2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4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auto"/>
                <w:w w:val="95"/>
              </w:rPr>
              <w:t>Strategic Initiatives of</w:t>
            </w:r>
          </w:p>
        </w:tc>
        <w:tc>
          <w:tcPr>
            <w:tcW w:w="2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ectPr>
          <w:pgSz w:w="11900" w:h="16838" w:orient="portrait"/>
          <w:cols w:equalWidth="0" w:num="2">
            <w:col w:w="1400" w:space="100"/>
            <w:col w:w="9920"/>
          </w:cols>
          <w:pgMar w:left="240" w:top="517" w:right="239" w:bottom="1440" w:gutter="0" w:footer="0" w:header="0"/>
          <w:type w:val="continuous"/>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Name</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Paul A. Koches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Achievement Levels</w:t>
            </w:r>
          </w:p>
        </w:tc>
        <w:tc>
          <w:tcPr>
            <w:tcW w:w="1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2011 Scorecard</w:t>
            </w:r>
          </w:p>
        </w:tc>
        <w:tc>
          <w:tcPr>
            <w:tcW w:w="17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Threshold</w:t>
            </w:r>
          </w:p>
        </w:tc>
        <w:tc>
          <w:tcPr>
            <w:tcW w:w="17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Target</w:t>
            </w:r>
          </w:p>
        </w:tc>
        <w:tc>
          <w:tcPr>
            <w:tcW w:w="1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600" w:type="dxa"/>
            <w:vAlign w:val="bottom"/>
            <w:tcBorders>
              <w:lef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600" w:type="dxa"/>
            <w:vAlign w:val="bottom"/>
          </w:tcPr>
          <w:p>
            <w:pPr>
              <w:ind w:left="320"/>
              <w:spacing w:after="0"/>
              <w:rPr>
                <w:sz w:val="20"/>
                <w:szCs w:val="20"/>
                <w:color w:val="auto"/>
              </w:rPr>
            </w:pPr>
            <w:r>
              <w:rPr>
                <w:rFonts w:ascii="Arial" w:cs="Arial" w:eastAsia="Arial" w:hAnsi="Arial"/>
                <w:sz w:val="18"/>
                <w:szCs w:val="18"/>
                <w:b w:val="1"/>
                <w:bCs w:val="1"/>
                <w:color w:val="auto"/>
              </w:rPr>
              <w:t>Elements</w:t>
            </w:r>
          </w:p>
        </w:tc>
        <w:tc>
          <w:tcPr>
            <w:tcW w:w="17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160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Level Achieved</w:t>
            </w: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1780" w:type="dxa"/>
            <w:vAlign w:val="bottom"/>
            <w:tcBorders>
              <w:bottom w:val="single" w:sz="8" w:color="auto"/>
            </w:tcBorders>
            <w:gridSpan w:val="2"/>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600" w:type="dxa"/>
            <w:vAlign w:val="bottom"/>
            <w:tcBorders>
              <w:left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20%</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w w:val="97"/>
              </w:rPr>
              <w:t>Achieve Earnings Per</w:t>
            </w:r>
          </w:p>
        </w:tc>
        <w:tc>
          <w:tcPr>
            <w:tcW w:w="170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$0.319</w:t>
            </w:r>
          </w:p>
        </w:tc>
        <w:tc>
          <w:tcPr>
            <w:tcW w:w="172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$0.336</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0"/>
              </w:rPr>
              <w:t>$0.353</w:t>
            </w:r>
          </w:p>
        </w:tc>
        <w:tc>
          <w:tcPr>
            <w:tcW w:w="16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22"/>
        </w:trPr>
        <w:tc>
          <w:tcPr>
            <w:tcW w:w="1480" w:type="dxa"/>
            <w:vAlign w:val="bottom"/>
            <w:tcBorders>
              <w:right w:val="single" w:sz="8" w:color="auto"/>
            </w:tcBorders>
            <w:vMerge w:val="continue"/>
          </w:tcPr>
          <w:p>
            <w:pPr>
              <w:spacing w:after="0"/>
              <w:rPr>
                <w:sz w:val="10"/>
                <w:szCs w:val="10"/>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 target</w:t>
            </w:r>
          </w:p>
        </w:tc>
        <w:tc>
          <w:tcPr>
            <w:tcW w:w="17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600" w:type="dxa"/>
            <w:vAlign w:val="bottom"/>
            <w:tcBorders>
              <w:lef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4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00" w:type="dxa"/>
            <w:vAlign w:val="bottom"/>
            <w:tcBorders>
              <w:left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8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Reduce asset intensity</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0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by:</w:t>
            </w: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Reducing average</w:t>
            </w: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days loans spend in</w:t>
            </w:r>
          </w:p>
        </w:tc>
        <w:tc>
          <w:tcPr>
            <w:tcW w:w="17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3"/>
              </w:rPr>
              <w:t>5% reduction from</w:t>
            </w:r>
          </w:p>
        </w:tc>
        <w:tc>
          <w:tcPr>
            <w:tcW w:w="17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8% reduction from</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 reduction from</w:t>
            </w:r>
          </w:p>
        </w:tc>
        <w:tc>
          <w:tcPr>
            <w:tcW w:w="16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1600" w:type="dxa"/>
            <w:vAlign w:val="bottom"/>
            <w:tcBorders>
              <w:lef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90+ contractual</w:t>
            </w:r>
          </w:p>
        </w:tc>
        <w:tc>
          <w:tcPr>
            <w:tcW w:w="17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17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8"/>
              </w:rPr>
              <w:t>2010 average</w:t>
            </w:r>
          </w:p>
        </w:tc>
        <w:tc>
          <w:tcPr>
            <w:tcW w:w="17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7"/>
              </w:rPr>
              <w:t>2010 average</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2010 average</w:t>
            </w:r>
          </w:p>
        </w:tc>
        <w:tc>
          <w:tcPr>
            <w:tcW w:w="16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delinquency</w:t>
            </w: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00" w:type="dxa"/>
            <w:vAlign w:val="bottom"/>
            <w:tcBorders>
              <w:lef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6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Reducing Gross</w:t>
            </w:r>
          </w:p>
        </w:tc>
        <w:tc>
          <w:tcPr>
            <w:tcW w:w="17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2.4% reduction</w:t>
            </w:r>
          </w:p>
        </w:tc>
        <w:tc>
          <w:tcPr>
            <w:tcW w:w="17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4.7% reduction</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6.4% reduction</w:t>
            </w:r>
          </w:p>
        </w:tc>
        <w:tc>
          <w:tcPr>
            <w:tcW w:w="16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tcPr>
          <w:p>
            <w:pPr>
              <w:spacing w:after="0"/>
              <w:rPr>
                <w:sz w:val="9"/>
                <w:szCs w:val="9"/>
                <w:color w:val="auto"/>
              </w:rPr>
            </w:pPr>
          </w:p>
        </w:tc>
        <w:tc>
          <w:tcPr>
            <w:tcW w:w="180" w:type="dxa"/>
            <w:vAlign w:val="bottom"/>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from 2010</w:t>
            </w:r>
          </w:p>
        </w:tc>
        <w:tc>
          <w:tcPr>
            <w:tcW w:w="17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3"/>
              </w:rPr>
              <w:t>from 2010</w:t>
            </w:r>
          </w:p>
        </w:tc>
        <w:tc>
          <w:tcPr>
            <w:tcW w:w="16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from 2010</w:t>
            </w:r>
          </w:p>
        </w:tc>
        <w:tc>
          <w:tcPr>
            <w:tcW w:w="160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Advances in relation</w:t>
            </w: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00" w:type="dxa"/>
            <w:vAlign w:val="bottom"/>
            <w:tcBorders>
              <w:lef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1600" w:type="dxa"/>
            <w:vAlign w:val="bottom"/>
            <w:tcBorders>
              <w:lef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to unpaid principal</w:t>
            </w:r>
          </w:p>
        </w:tc>
        <w:tc>
          <w:tcPr>
            <w:tcW w:w="1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balance</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0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80" w:type="dxa"/>
            <w:vAlign w:val="bottom"/>
            <w:tcBorders>
              <w:left w:val="single" w:sz="8" w:color="auto"/>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gridSpan w:val="2"/>
          </w:tcPr>
          <w:p>
            <w:pPr>
              <w:spacing w:after="0"/>
              <w:rPr>
                <w:sz w:val="23"/>
                <w:szCs w:val="23"/>
                <w:color w:val="auto"/>
              </w:rPr>
            </w:pPr>
          </w:p>
        </w:tc>
        <w:tc>
          <w:tcPr>
            <w:tcW w:w="170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1640" w:type="dxa"/>
            <w:vAlign w:val="bottom"/>
            <w:tcBorders>
              <w:bottom w:val="single" w:sz="8" w:color="auto"/>
              <w:right w:val="single" w:sz="8" w:color="auto"/>
            </w:tcBorders>
          </w:tcPr>
          <w:p>
            <w:pPr>
              <w:spacing w:after="0"/>
              <w:rPr>
                <w:sz w:val="23"/>
                <w:szCs w:val="23"/>
                <w:color w:val="auto"/>
              </w:rPr>
            </w:pPr>
          </w:p>
        </w:tc>
        <w:tc>
          <w:tcPr>
            <w:tcW w:w="1600" w:type="dxa"/>
            <w:vAlign w:val="bottom"/>
            <w:tcBorders>
              <w:left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80" w:type="dxa"/>
            <w:vAlign w:val="bottom"/>
            <w:tcBorders>
              <w:right w:val="single" w:sz="8" w:color="auto"/>
            </w:tcBorders>
          </w:tcPr>
          <w:p>
            <w:pPr>
              <w:spacing w:after="0"/>
              <w:rPr>
                <w:sz w:val="21"/>
                <w:szCs w:val="21"/>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Implement Home</w:t>
            </w:r>
          </w:p>
        </w:tc>
        <w:tc>
          <w:tcPr>
            <w:tcW w:w="170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At the Discretion of</w:t>
            </w:r>
          </w:p>
        </w:tc>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93"/>
              </w:rPr>
              <w:t>At the Discretion of</w:t>
            </w:r>
          </w:p>
        </w:tc>
        <w:tc>
          <w:tcPr>
            <w:tcW w:w="164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At the Discretion of</w:t>
            </w:r>
          </w:p>
        </w:tc>
        <w:tc>
          <w:tcPr>
            <w:tcW w:w="1600" w:type="dxa"/>
            <w:vAlign w:val="bottom"/>
            <w:tcBorders>
              <w:lef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color w:val="auto"/>
              </w:rPr>
              <w:t>Loan Servicing</w:t>
            </w:r>
          </w:p>
        </w:tc>
        <w:tc>
          <w:tcPr>
            <w:tcW w:w="17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6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700" w:type="dxa"/>
            <w:vAlign w:val="bottom"/>
            <w:vMerge w:val="restart"/>
          </w:tcPr>
          <w:p>
            <w:pPr>
              <w:jc w:val="center"/>
              <w:ind w:right="150"/>
              <w:spacing w:after="0"/>
              <w:rPr>
                <w:sz w:val="20"/>
                <w:szCs w:val="20"/>
                <w:color w:val="auto"/>
              </w:rPr>
            </w:pPr>
            <w:r>
              <w:rPr>
                <w:rFonts w:ascii="Arial" w:cs="Arial" w:eastAsia="Arial" w:hAnsi="Arial"/>
                <w:sz w:val="18"/>
                <w:szCs w:val="18"/>
                <w:color w:val="auto"/>
                <w:w w:val="89"/>
              </w:rPr>
              <w:t>the Board</w:t>
            </w:r>
          </w:p>
        </w:tc>
        <w:tc>
          <w:tcPr>
            <w:tcW w:w="1720" w:type="dxa"/>
            <w:vAlign w:val="bottom"/>
            <w:vMerge w:val="restart"/>
          </w:tcPr>
          <w:p>
            <w:pPr>
              <w:jc w:val="center"/>
              <w:ind w:right="130"/>
              <w:spacing w:after="0"/>
              <w:rPr>
                <w:sz w:val="20"/>
                <w:szCs w:val="20"/>
                <w:color w:val="auto"/>
              </w:rPr>
            </w:pPr>
            <w:r>
              <w:rPr>
                <w:rFonts w:ascii="Arial" w:cs="Arial" w:eastAsia="Arial" w:hAnsi="Arial"/>
                <w:sz w:val="18"/>
                <w:szCs w:val="18"/>
                <w:color w:val="auto"/>
                <w:w w:val="89"/>
              </w:rPr>
              <w:t>the Board</w:t>
            </w:r>
          </w:p>
        </w:tc>
        <w:tc>
          <w:tcPr>
            <w:tcW w:w="1640" w:type="dxa"/>
            <w:vAlign w:val="bottom"/>
            <w:vMerge w:val="restart"/>
          </w:tcPr>
          <w:p>
            <w:pPr>
              <w:jc w:val="center"/>
              <w:ind w:right="90"/>
              <w:spacing w:after="0"/>
              <w:rPr>
                <w:sz w:val="20"/>
                <w:szCs w:val="20"/>
                <w:color w:val="auto"/>
              </w:rPr>
            </w:pPr>
            <w:r>
              <w:rPr>
                <w:rFonts w:ascii="Arial" w:cs="Arial" w:eastAsia="Arial" w:hAnsi="Arial"/>
                <w:sz w:val="18"/>
                <w:szCs w:val="18"/>
                <w:color w:val="auto"/>
                <w:w w:val="89"/>
              </w:rPr>
              <w:t>the Board</w:t>
            </w:r>
          </w:p>
        </w:tc>
        <w:tc>
          <w:tcPr>
            <w:tcW w:w="160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Borders>
              <w:right w:val="single" w:sz="8" w:color="auto"/>
            </w:tcBorders>
          </w:tcPr>
          <w:p>
            <w:pPr>
              <w:spacing w:after="0"/>
              <w:rPr>
                <w:sz w:val="10"/>
                <w:szCs w:val="10"/>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color w:val="auto"/>
              </w:rPr>
              <w:t>Solutions strategy</w:t>
            </w:r>
          </w:p>
        </w:tc>
        <w:tc>
          <w:tcPr>
            <w:tcW w:w="17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600" w:type="dxa"/>
            <w:vAlign w:val="bottom"/>
            <w:tcBorders>
              <w:lef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Borders>
              <w:lef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48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tcBorders>
            <w:gridSpan w:val="2"/>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00" w:type="dxa"/>
            <w:vAlign w:val="bottom"/>
            <w:tcBorders>
              <w:left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8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Grow the Unpaid</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0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Principal Balance</w:t>
            </w:r>
          </w:p>
        </w:tc>
        <w:tc>
          <w:tcPr>
            <w:tcW w:w="17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15.0% to 19.9%</w:t>
            </w:r>
          </w:p>
        </w:tc>
        <w:tc>
          <w:tcPr>
            <w:tcW w:w="1720" w:type="dxa"/>
            <w:vAlign w:val="bottom"/>
            <w:tcBorders>
              <w:right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91"/>
              </w:rPr>
              <w:t>20.0% to 24.9%</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25.0% increase or</w:t>
            </w:r>
          </w:p>
        </w:tc>
        <w:tc>
          <w:tcPr>
            <w:tcW w:w="1600" w:type="dxa"/>
            <w:vAlign w:val="bottom"/>
            <w:tcBorders>
              <w:lef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10%</w:t>
            </w: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serviced from</w:t>
            </w:r>
          </w:p>
        </w:tc>
        <w:tc>
          <w:tcPr>
            <w:tcW w:w="17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60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08"/>
        </w:trPr>
        <w:tc>
          <w:tcPr>
            <w:tcW w:w="148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17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9"/>
              </w:rPr>
              <w:t>increase from 2010</w:t>
            </w:r>
          </w:p>
        </w:tc>
        <w:tc>
          <w:tcPr>
            <w:tcW w:w="172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9"/>
              </w:rPr>
              <w:t>increase from 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greater from 2010</w:t>
            </w:r>
          </w:p>
        </w:tc>
        <w:tc>
          <w:tcPr>
            <w:tcW w:w="1600" w:type="dxa"/>
            <w:vAlign w:val="bottom"/>
            <w:tcBorders>
              <w:lef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12/31/10 to 12/31/11</w:t>
            </w: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00" w:type="dxa"/>
            <w:vAlign w:val="bottom"/>
            <w:tcBorders>
              <w:lef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8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gridSpan w:val="2"/>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1600" w:type="dxa"/>
            <w:vAlign w:val="bottom"/>
            <w:tcBorders>
              <w:lef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by 20%</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0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600" w:type="dxa"/>
            <w:vAlign w:val="bottom"/>
            <w:tcBorders>
              <w:left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92"/>
              </w:rPr>
              <w:t>At the discretion of</w:t>
            </w:r>
          </w:p>
        </w:tc>
        <w:tc>
          <w:tcPr>
            <w:tcW w:w="1720" w:type="dxa"/>
            <w:vAlign w:val="bottom"/>
          </w:tcPr>
          <w:p>
            <w:pPr>
              <w:jc w:val="center"/>
              <w:ind w:right="30"/>
              <w:spacing w:after="0"/>
              <w:rPr>
                <w:sz w:val="20"/>
                <w:szCs w:val="20"/>
                <w:color w:val="auto"/>
              </w:rPr>
            </w:pPr>
            <w:r>
              <w:rPr>
                <w:rFonts w:ascii="Arial" w:cs="Arial" w:eastAsia="Arial" w:hAnsi="Arial"/>
                <w:sz w:val="18"/>
                <w:szCs w:val="18"/>
                <w:color w:val="auto"/>
                <w:w w:val="93"/>
              </w:rPr>
              <w:t>At the discretion of</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At the discretion of</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Improve brand</w:t>
            </w: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90"/>
              </w:rPr>
              <w:t>the Executive</w:t>
            </w: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90"/>
              </w:rPr>
              <w:t>the Executive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the Executive</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89"/>
              </w:rPr>
              <w:t>Chairman</w:t>
            </w:r>
          </w:p>
        </w:tc>
        <w:tc>
          <w:tcPr>
            <w:tcW w:w="1720" w:type="dxa"/>
            <w:vAlign w:val="bottom"/>
          </w:tcPr>
          <w:p>
            <w:pPr>
              <w:jc w:val="center"/>
              <w:ind w:right="10"/>
              <w:spacing w:after="0"/>
              <w:rPr>
                <w:sz w:val="20"/>
                <w:szCs w:val="20"/>
                <w:color w:val="auto"/>
              </w:rPr>
            </w:pPr>
            <w:r>
              <w:rPr>
                <w:rFonts w:ascii="Arial" w:cs="Arial" w:eastAsia="Arial" w:hAnsi="Arial"/>
                <w:sz w:val="18"/>
                <w:szCs w:val="18"/>
                <w:color w:val="auto"/>
                <w:w w:val="89"/>
              </w:rPr>
              <w:t>Chairman</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80" w:type="dxa"/>
            <w:vAlign w:val="bottom"/>
          </w:tcPr>
          <w:p>
            <w:pPr>
              <w:spacing w:after="0"/>
              <w:rPr>
                <w:sz w:val="21"/>
                <w:szCs w:val="21"/>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Reduce professional</w:t>
            </w:r>
          </w:p>
        </w:tc>
        <w:tc>
          <w:tcPr>
            <w:tcW w:w="1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fees</w:t>
            </w:r>
          </w:p>
        </w:tc>
        <w:tc>
          <w:tcPr>
            <w:tcW w:w="1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1600" w:type="dxa"/>
            <w:vAlign w:val="bottom"/>
          </w:tcPr>
          <w:p>
            <w:pPr>
              <w:ind w:left="120"/>
              <w:spacing w:after="0"/>
              <w:rPr>
                <w:sz w:val="20"/>
                <w:szCs w:val="20"/>
                <w:color w:val="auto"/>
              </w:rPr>
            </w:pPr>
            <w:r>
              <w:rPr>
                <w:rFonts w:ascii="Arial" w:cs="Arial" w:eastAsia="Arial" w:hAnsi="Arial"/>
                <w:sz w:val="18"/>
                <w:szCs w:val="18"/>
                <w:color w:val="auto"/>
              </w:rPr>
              <w:t>Third party legal</w:t>
            </w:r>
          </w:p>
        </w:tc>
        <w:tc>
          <w:tcPr>
            <w:tcW w:w="170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10% reduction in</w:t>
            </w:r>
          </w:p>
        </w:tc>
        <w:tc>
          <w:tcPr>
            <w:tcW w:w="172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15% reduction in</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2"/>
              </w:rPr>
              <w:t>20% reduction in</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color w:val="auto"/>
              </w:rPr>
              <w:t>fees</w:t>
            </w:r>
          </w:p>
        </w:tc>
        <w:tc>
          <w:tcPr>
            <w:tcW w:w="17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8"/>
              </w:rPr>
              <w:t>33%</w:t>
            </w:r>
          </w:p>
        </w:tc>
        <w:tc>
          <w:tcPr>
            <w:tcW w:w="1780" w:type="dxa"/>
            <w:vAlign w:val="bottom"/>
            <w:gridSpan w:val="2"/>
            <w:vMerge w:val="continue"/>
          </w:tcPr>
          <w:p>
            <w:pPr>
              <w:spacing w:after="0"/>
              <w:rPr>
                <w:sz w:val="9"/>
                <w:szCs w:val="9"/>
                <w:color w:val="auto"/>
              </w:rPr>
            </w:pPr>
          </w:p>
        </w:tc>
        <w:tc>
          <w:tcPr>
            <w:tcW w:w="1700" w:type="dxa"/>
            <w:vAlign w:val="bottom"/>
            <w:vMerge w:val="restart"/>
          </w:tcPr>
          <w:p>
            <w:pPr>
              <w:jc w:val="center"/>
              <w:ind w:right="30"/>
              <w:spacing w:after="0"/>
              <w:rPr>
                <w:sz w:val="20"/>
                <w:szCs w:val="20"/>
                <w:color w:val="auto"/>
              </w:rPr>
            </w:pPr>
            <w:r>
              <w:rPr>
                <w:rFonts w:ascii="Arial" w:cs="Arial" w:eastAsia="Arial" w:hAnsi="Arial"/>
                <w:sz w:val="18"/>
                <w:szCs w:val="18"/>
                <w:color w:val="auto"/>
                <w:w w:val="86"/>
              </w:rPr>
              <w:t>each category</w:t>
            </w:r>
          </w:p>
        </w:tc>
        <w:tc>
          <w:tcPr>
            <w:tcW w:w="1720" w:type="dxa"/>
            <w:vAlign w:val="bottom"/>
            <w:vMerge w:val="restart"/>
          </w:tcPr>
          <w:p>
            <w:pPr>
              <w:jc w:val="center"/>
              <w:ind w:right="10"/>
              <w:spacing w:after="0"/>
              <w:rPr>
                <w:sz w:val="20"/>
                <w:szCs w:val="20"/>
                <w:color w:val="auto"/>
              </w:rPr>
            </w:pPr>
            <w:r>
              <w:rPr>
                <w:rFonts w:ascii="Arial" w:cs="Arial" w:eastAsia="Arial" w:hAnsi="Arial"/>
                <w:sz w:val="18"/>
                <w:szCs w:val="18"/>
                <w:color w:val="auto"/>
                <w:w w:val="86"/>
              </w:rPr>
              <w:t>each category</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8"/>
              </w:rPr>
              <w:t>each category</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2"/>
              </w:rPr>
              <w:t>Threshold</w:t>
            </w: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ind w:left="120"/>
              <w:spacing w:after="0"/>
              <w:rPr>
                <w:sz w:val="20"/>
                <w:szCs w:val="20"/>
                <w:color w:val="auto"/>
              </w:rPr>
            </w:pPr>
            <w:r>
              <w:rPr>
                <w:rFonts w:ascii="Arial" w:cs="Arial" w:eastAsia="Arial" w:hAnsi="Arial"/>
                <w:sz w:val="18"/>
                <w:szCs w:val="18"/>
                <w:color w:val="auto"/>
              </w:rPr>
              <w:t>Deal related legal</w:t>
            </w:r>
          </w:p>
        </w:tc>
        <w:tc>
          <w:tcPr>
            <w:tcW w:w="17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70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from 2010</w:t>
            </w:r>
          </w:p>
        </w:tc>
        <w:tc>
          <w:tcPr>
            <w:tcW w:w="1720" w:type="dxa"/>
            <w:vAlign w:val="bottom"/>
            <w:vMerge w:val="restart"/>
          </w:tcPr>
          <w:p>
            <w:pPr>
              <w:jc w:val="center"/>
              <w:ind w:right="30"/>
              <w:spacing w:after="0"/>
              <w:rPr>
                <w:sz w:val="20"/>
                <w:szCs w:val="20"/>
                <w:color w:val="auto"/>
              </w:rPr>
            </w:pPr>
            <w:r>
              <w:rPr>
                <w:rFonts w:ascii="Arial" w:cs="Arial" w:eastAsia="Arial" w:hAnsi="Arial"/>
                <w:sz w:val="18"/>
                <w:szCs w:val="18"/>
                <w:color w:val="auto"/>
                <w:w w:val="93"/>
              </w:rPr>
              <w:t>from 2010</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3"/>
              </w:rPr>
              <w:t>from 2010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8"/>
                <w:szCs w:val="18"/>
                <w:color w:val="auto"/>
              </w:rPr>
              <w:t>fees</w:t>
            </w:r>
          </w:p>
        </w:tc>
        <w:tc>
          <w:tcPr>
            <w:tcW w:w="170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-5337810</wp:posOffset>
            </wp:positionV>
            <wp:extent cx="7272020" cy="5882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882640"/>
                    </a:xfrm>
                    <a:prstGeom prst="rect">
                      <a:avLst/>
                    </a:prstGeom>
                    <a:noFill/>
                  </pic:spPr>
                </pic:pic>
              </a:graphicData>
            </a:graphic>
          </wp:anchor>
        </w:drawing>
      </w:r>
    </w:p>
    <w:p>
      <w:pPr>
        <w:ind w:left="1540" w:right="6900" w:hanging="7"/>
        <w:spacing w:after="0" w:line="261" w:lineRule="auto"/>
        <w:tabs>
          <w:tab w:leader="none" w:pos="17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related legal fees</w:t>
      </w:r>
    </w:p>
    <w:p>
      <w:pPr>
        <w:spacing w:after="0" w:line="200" w:lineRule="exact"/>
        <w:rPr>
          <w:sz w:val="20"/>
          <w:szCs w:val="20"/>
          <w:color w:val="auto"/>
        </w:rPr>
      </w:pPr>
    </w:p>
    <w:p>
      <w:pPr>
        <w:sectPr>
          <w:pgSz w:w="11900" w:h="16838" w:orient="portrait"/>
          <w:cols w:equalWidth="0" w:num="2">
            <w:col w:w="1220" w:space="280"/>
            <w:col w:w="9920"/>
          </w:cols>
          <w:pgMar w:left="240" w:top="607" w:right="239" w:bottom="1440" w:gutter="0" w:footer="0" w:header="0"/>
        </w:sectPr>
      </w:pP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John V. Britti</w:t>
            </w:r>
          </w:p>
        </w:tc>
        <w:tc>
          <w:tcPr>
            <w:tcW w:w="14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25%</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Achieve Earnings Per</w:t>
            </w:r>
          </w:p>
        </w:tc>
        <w:tc>
          <w:tcPr>
            <w:tcW w:w="17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0"/>
              </w:rPr>
              <w:t>$0.319</w:t>
            </w:r>
          </w:p>
        </w:tc>
        <w:tc>
          <w:tcPr>
            <w:tcW w:w="17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0"/>
              </w:rPr>
              <w:t>$0.336</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$0.353</w:t>
            </w:r>
          </w:p>
        </w:tc>
        <w:tc>
          <w:tcPr>
            <w:tcW w:w="15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Share target</w:t>
            </w: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1560" w:type="dxa"/>
            <w:vAlign w:val="bottom"/>
            <w:tcBorders>
              <w:left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56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Grow the Unpaid</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Principal Balance</w:t>
            </w:r>
          </w:p>
        </w:tc>
        <w:tc>
          <w:tcPr>
            <w:tcW w:w="170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1"/>
              </w:rPr>
              <w:t>15.0% to 19.9%</w:t>
            </w:r>
          </w:p>
        </w:tc>
        <w:tc>
          <w:tcPr>
            <w:tcW w:w="17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20.0% to 24.9%</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25.0% increase or</w:t>
            </w: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25%</w:t>
            </w:r>
          </w:p>
        </w:tc>
        <w:tc>
          <w:tcPr>
            <w:tcW w:w="1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serviced from</w:t>
            </w:r>
          </w:p>
        </w:tc>
        <w:tc>
          <w:tcPr>
            <w:tcW w:w="17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9"/>
              </w:rPr>
              <w:t>increase from 2010</w:t>
            </w:r>
          </w:p>
        </w:tc>
        <w:tc>
          <w:tcPr>
            <w:tcW w:w="17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9"/>
              </w:rPr>
              <w:t>increase from 2010</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greater from 2010</w:t>
            </w: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12/31/10 to 12/31/11</w:t>
            </w:r>
          </w:p>
        </w:tc>
        <w:tc>
          <w:tcPr>
            <w:tcW w:w="170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60" w:type="dxa"/>
            <w:vAlign w:val="bottom"/>
            <w:tcBorders>
              <w:left w:val="single" w:sz="8" w:color="auto"/>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by 20%</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560" w:type="dxa"/>
            <w:vAlign w:val="bottom"/>
            <w:tcBorders>
              <w:left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156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Successfully</w:t>
            </w:r>
          </w:p>
        </w:tc>
        <w:tc>
          <w:tcPr>
            <w:tcW w:w="170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50%</w:t>
            </w: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complete the key</w:t>
            </w:r>
          </w:p>
        </w:tc>
        <w:tc>
          <w:tcPr>
            <w:tcW w:w="17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80% weighted</w:t>
            </w:r>
          </w:p>
        </w:tc>
        <w:tc>
          <w:tcPr>
            <w:tcW w:w="17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90% weighted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 weighted</w:t>
            </w:r>
          </w:p>
        </w:tc>
        <w:tc>
          <w:tcPr>
            <w:tcW w:w="15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8"/>
              </w:rPr>
              <w:t>Strategic Initiatives of</w:t>
            </w:r>
          </w:p>
        </w:tc>
        <w:tc>
          <w:tcPr>
            <w:tcW w:w="170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85"/>
              </w:rPr>
              <w:t>average score</w:t>
            </w:r>
          </w:p>
        </w:tc>
        <w:tc>
          <w:tcPr>
            <w:tcW w:w="172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85"/>
              </w:rPr>
              <w:t>average score</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average score</w:t>
            </w: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560" w:type="dxa"/>
            <w:vAlign w:val="bottom"/>
            <w:tcBorders>
              <w:left w:val="single" w:sz="8" w:color="auto"/>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6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w:t>
            </w: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560" w:type="dxa"/>
            <w:vAlign w:val="bottom"/>
            <w:tcBorders>
              <w:left w:val="single" w:sz="8" w:color="auto"/>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Executive Chairman presents the performance appraisal scores and personal scorecard performance to the Compensation Committee and makes recommendations as to the incentive compensation for each executive officer.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Generally, at the first Board of Directors meeting of the fiscal year, the Compensation Committee approves the corporate scorecard and annual incentive components for the Executive Chairman, Chief Executive Officer and other executive officers for that fiscal year. Key performance indicators for the Company for 2012 have been developed.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25" w:name="page26"/>
    <w:bookmarkEnd w:id="25"/>
    <w:p>
      <w:pPr>
        <w:ind w:right="300"/>
        <w:spacing w:after="0" w:line="259" w:lineRule="auto"/>
        <w:rPr>
          <w:sz w:val="20"/>
          <w:szCs w:val="20"/>
          <w:color w:val="auto"/>
        </w:rPr>
      </w:pPr>
      <w:r>
        <w:rPr>
          <w:rFonts w:ascii="Arial" w:cs="Arial" w:eastAsia="Arial" w:hAnsi="Arial"/>
          <w:sz w:val="18"/>
          <w:szCs w:val="18"/>
          <w:color w:val="auto"/>
        </w:rPr>
        <w:t>The Compensation Committee has approved the 2012 corporate scorecard which includes achieving an earnings per share target, reducing gross advances associated with the servicing business and continuing to build long-term capacity for growth. In addition, the Compensation Committee approved a component of the corporate scorecard that provides for successful completion of key strategic initiatives established to enhance long-term corporate and shareholder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2012 corporate strategic initiatives relate to:</w:t>
      </w:r>
    </w:p>
    <w:p>
      <w:pPr>
        <w:spacing w:after="0" w:line="252" w:lineRule="exact"/>
        <w:rPr>
          <w:sz w:val="20"/>
          <w:szCs w:val="20"/>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Securing sustainable growth both organically and through further acquisitions;</w:t>
      </w:r>
    </w:p>
    <w:p>
      <w:pPr>
        <w:spacing w:after="0" w:line="23" w:lineRule="exact"/>
        <w:rPr>
          <w:rFonts w:ascii="Arial" w:cs="Arial" w:eastAsia="Arial" w:hAnsi="Arial"/>
          <w:sz w:val="18"/>
          <w:szCs w:val="18"/>
          <w:color w:val="auto"/>
        </w:rPr>
      </w:pPr>
    </w:p>
    <w:p>
      <w:pPr>
        <w:ind w:left="820" w:right="240" w:hanging="407"/>
        <w:spacing w:after="0" w:line="180" w:lineRule="auto"/>
        <w:tabs>
          <w:tab w:leader="none" w:pos="820" w:val="left"/>
        </w:tabs>
        <w:numPr>
          <w:ilvl w:val="0"/>
          <w:numId w:val="18"/>
        </w:numPr>
        <w:rPr>
          <w:rFonts w:ascii="Arial" w:cs="Arial" w:eastAsia="Arial" w:hAnsi="Arial"/>
          <w:sz w:val="33"/>
          <w:szCs w:val="33"/>
          <w:color w:val="auto"/>
          <w:vertAlign w:val="subscript"/>
        </w:rPr>
      </w:pPr>
      <w:r>
        <w:rPr>
          <w:rFonts w:ascii="Arial" w:cs="Arial" w:eastAsia="Arial" w:hAnsi="Arial"/>
          <w:sz w:val="17"/>
          <w:szCs w:val="17"/>
          <w:color w:val="auto"/>
        </w:rPr>
        <w:t>Continuing to lower operating costs by implementing a new data strategy, introducing process and technology improvements and implementing borrower self service capabilities;</w:t>
      </w: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Remaining a high quality servicer and improving customer service and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infrastructure improvements and deploying a strategic growth management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the Company will conduct benchmarking on Executive Chairman, President and Chief Executive Officer and other executive officer compensation among peer companies of comparable size, industry, location and similar attributes that compete with Ocwen for qualified management. A benchmarking analysis was last conducted in 2008 using peer companies such as: Americredit Corp., Commerce Bancorp., Inc., First Horizon National Corp., Indymac Bancorp., Inc., KFORCE, Inc., LandAmerica Financial Group Inc., R. H. Donnelly, Corp., Raymond James Financial, Inc. and Webster Financial Corp.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21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 believes our executive compensation programs are effectively designed, are in alignment with the interests of our shareholders and are instrumental to achieving our business strategy. In determining executive compensation for fiscal year 2011, the Compensation Committee considered the overwhelming shareholder support that the “Say-on-Pay” proposal received at our May 12, 2011 Annual Meeting of Shareholders. As a result, the Compensation Committee continued to apply the same effective principles and philosophy it has used in previous years in determining executive compensation levels and will continue to consider shareholder concerns and feedback in the future.</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2009, the Compensation Committee determined that a salary plan freeze should be implemented. Only under certain circumstances would salary increases be provided. Those circumstances included promotions or extraordinary contributions to the Company. The Company maintained this salary plan freeze in place during 2011.</w:t>
      </w:r>
    </w:p>
    <w:p>
      <w:pPr>
        <w:spacing w:after="0" w:line="20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Based on benchmarking, performance, retention and other the relevant considerations, the Compensation Committee reviews recommendations and determines appropriate base salary and annual incentive compensation targets for the Executive Chairman and other executive officers. The Compensation Committee generally makes its determinations during the second quarter of the year; however, they may make adjustments at other times as appropriate. To date, no executive officers have received increases in their target compensation for 2012. This is in line with the salary plan freeze that was implemented in 2009 and maintained in 2010 and 2011.</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Currently, no changes to Executive Chairman, President and Chief Executive Officer or executive officer compensation are recommended for 2012.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2007 Equity Incentive Plan is administered by the Compensation Committee and authorizes the grant of restricted stock, options, stock appreciation rights, stock purchase rights or other equity-based awards to our employees. The Compensation Committee, in cooperation with senior management, implemented the 2007 Equity Incentive Plan to motivate employees to make extraordinary efforts to achieve significant improvements to shareholder value, boost retention of key employees and align the interests of our employees with the interests of our shareholders. Options granted under the plan may be either “incentive stock options” as defined in Section 422 of the Internal Revenue Code of 1986, as amended, (the “Code”) or nonqualified stock options as determined by the Compensation Committee.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As the Company considered potential opportunities to restructure its businesses to increase shareholder value in 2008, the Compensation Committee sought a method of increasing the incentive for executives to make extraordinary efforts to achieve significant improvements to shareholder value. As a result, in 2008 the Compensation Committee recommended and the Board of Directors approved the Senior Management Equity Incentive Program as a highly shareholder-aligned incentive award opportunity for key members of senior management to receive long-term equity compensation based on share-value performance criteria.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incentive plan is adequate to achieve this philosophy. We maintain an insider trading policy and a management directive detailing our window period policy governing the timing of transactions in securities of the Company by Directors and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5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executive officers, that are comparable to benefits offered by companies of a similar size to ours. A competitive comprehensive benefit program is essential to achieving the goal of attracting and retaining highly qualified employees.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we have no employment agreements with our executive officers other than the restrictive covenants noted below, we handle each termination as appropriate in light of the circumstances. Without any special agreement related to termination, an executive officer would typically receive his or her base salary and applicable employee benefit plans and programs through the date of termination as well as a severance payment of two (2) months base salary for each year of service with the Company capped at six (6) months. In addition, the executive officer would typically retain any vested portion of prior equity awards granted through the 1998 Annual Incentive Plan, the 1991 Non-Qualified Stock Option Plan, the 2007 Equity Incentive Plan and the 2008 Senior Management Equity Incentive Program. For termination not due to death, disability or retirement, the executive officer has six (6) months within which to exercise stock options pursuant to our stock option agreements. Any portion of an equity award not vested will be forfeited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94"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executive options agreements permitting accelerated vesting of options upon a change in control were designed to provide the executives with the same opportunities as shareholders, who are free to sell their equity at the time of the change in control event and thereby realize the value created at the time of the transaction. In addition, we believe that this vesting provision supports the compelling business need to retain key employees during the uncertain times preceding a change in control.</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8"/>
          <w:szCs w:val="18"/>
          <w:color w:val="auto"/>
        </w:rPr>
        <w:t>As of December 31, 2011, upon his retirement, disability, death, termination by the Company without “cause” or termination by Mr. Erbey for “good reason,” Mr. Erbey would receive $1,448,958 from the accelerated vesting of options. Upon a “change in control,” Mr. Erbey would receive $8,693,748 from the accelerated vesting of options.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2011, upon his retirement, disability, death, termination by the Company without “cause” or termination by Mr. Faris for “good reason,” Mr. Faris would receive $748,628 from the accelerated vesting of options. Upon a “change in control,” Mr. Faris would receive $4,491,770 from the accelerated vesting of options.</w:t>
      </w:r>
    </w:p>
    <w:p>
      <w:pPr>
        <w:spacing w:after="0" w:line="20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December 31, 2011, upon his retirement, disability, death, termination by the Company without “cause” or termination by Mr. Koches for “good reason,” Mr. Koches would receive $374,314 from the accelerated vesting of options. Upon a “change in control,” Mr. Koches would receive $2,245,884 from the accelerated vesting of options.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2011, upon his retirement, disability or death, Mr. Van Vlack would receive $262,913 from the accelerated vesting of options.</w:t>
      </w:r>
    </w:p>
    <w:p>
      <w:pPr>
        <w:spacing w:after="0" w:line="26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do not have a formal severance plan or policy. When an executive officer separates from the Company as a result of a reduction in work force, we typically provide the executive with a lump sum of two (2) months salary for each year of service to the Company up to a maximum of six (6) months salary in exchange for a separation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of our executive officers execute an intellectual property and non-disclosure agreement upon commencement of their employment. This agreement requires the executive officer to hold all “confidential information” in trust for us and prohibits 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timing of compensation decisions is driven by a variety of tax considerations. Under Section 162(m) of the Code, tax deductibility by corporate taxpayers is limited with respect to compensation of certain executive officers to $1,000,000 per covered executive unless such compensation is based upon the attainment of performance objectives meeting certain regulatory criteria or is otherwise excluded from the limitation. We obtained shareholder approval of the 2007 Equity Incentive Plan and all amendments thereto in order to qualify awards under such plans as performance-based compensation under Section 162(m) of the Code. It is the Compensation Committee’s intention to qualify all compensation for performance-based deductibility under Section 162(m), except in situations where qualifying compensation for the exclusion would be inconsistent with our overall best interest.</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order to satisfy the deductibility requirements under Section 162(m) of the Code, performance objectives must be established in the first ninety (90) days of the performance period and the outcome of said objectives is still uncertain. For annual incentive awards, this generally means performance objectives must be established no later than the end of March of each year. In addition, in order to avoid being considered deferred compensation under Section 409A of the Code and to be deductible for the prior tax year, our annual incentive awards with respect to the prior year must be paid by March 15 of each year.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discloses compensation received by our current Chief Executive Officer, former Chief Financial Officer and three (3) other most highly compensated executive officers for fiscal years 2011, 2010 and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Non-Equity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Salary</w:t>
            </w:r>
            <w:r>
              <w:rPr>
                <w:rFonts w:ascii="Arial" w:cs="Arial" w:eastAsia="Arial" w:hAnsi="Arial"/>
                <w:sz w:val="25"/>
                <w:szCs w:val="25"/>
                <w:color w:val="auto"/>
                <w:vertAlign w:val="superscript"/>
              </w:rPr>
              <w:t>(1)</w:t>
            </w:r>
          </w:p>
        </w:tc>
        <w:tc>
          <w:tcPr>
            <w:tcW w:w="1480" w:type="dxa"/>
            <w:vAlign w:val="bottom"/>
            <w:gridSpan w:val="3"/>
          </w:tcPr>
          <w:p>
            <w:pPr>
              <w:jc w:val="right"/>
              <w:ind w:right="180"/>
              <w:spacing w:after="0" w:line="234" w:lineRule="exact"/>
              <w:rPr>
                <w:sz w:val="20"/>
                <w:szCs w:val="20"/>
                <w:color w:val="auto"/>
              </w:rPr>
            </w:pPr>
            <w:r>
              <w:rPr>
                <w:rFonts w:ascii="Arial" w:cs="Arial" w:eastAsia="Arial" w:hAnsi="Arial"/>
                <w:sz w:val="18"/>
                <w:szCs w:val="18"/>
                <w:b w:val="1"/>
                <w:bCs w:val="1"/>
                <w:color w:val="auto"/>
                <w:w w:val="91"/>
              </w:rPr>
              <w:t>Stock Awards</w:t>
            </w:r>
            <w:r>
              <w:rPr>
                <w:rFonts w:ascii="Arial" w:cs="Arial" w:eastAsia="Arial" w:hAnsi="Arial"/>
                <w:sz w:val="25"/>
                <w:szCs w:val="25"/>
                <w:color w:val="auto"/>
                <w:w w:val="91"/>
                <w:vertAlign w:val="superscript"/>
              </w:rPr>
              <w:t>(2)</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Incentive Plan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80" w:type="dxa"/>
            <w:vAlign w:val="bottom"/>
            <w:gridSpan w:val="2"/>
          </w:tcPr>
          <w:p>
            <w:pPr>
              <w:jc w:val="right"/>
              <w:ind w:right="430"/>
              <w:spacing w:after="0"/>
              <w:rPr>
                <w:sz w:val="20"/>
                <w:szCs w:val="20"/>
                <w:color w:val="auto"/>
              </w:rPr>
            </w:pPr>
            <w:r>
              <w:rPr>
                <w:rFonts w:ascii="Arial" w:cs="Arial" w:eastAsia="Arial" w:hAnsi="Arial"/>
                <w:sz w:val="13"/>
                <w:szCs w:val="13"/>
                <w:color w:val="auto"/>
              </w:rPr>
              <w:t>(3)</w:t>
            </w:r>
          </w:p>
        </w:tc>
        <w:tc>
          <w:tcPr>
            <w:tcW w:w="200" w:type="dxa"/>
            <w:vAlign w:val="bottom"/>
          </w:tcPr>
          <w:p>
            <w:pPr>
              <w:spacing w:after="0"/>
              <w:rPr>
                <w:sz w:val="17"/>
                <w:szCs w:val="17"/>
                <w:color w:val="auto"/>
              </w:rPr>
            </w:pPr>
          </w:p>
        </w:tc>
        <w:tc>
          <w:tcPr>
            <w:tcW w:w="980" w:type="dxa"/>
            <w:vAlign w:val="bottom"/>
            <w:gridSpan w:val="2"/>
          </w:tcPr>
          <w:p>
            <w:pPr>
              <w:jc w:val="center"/>
              <w:ind w:right="100"/>
              <w:spacing w:after="0" w:line="198" w:lineRule="exact"/>
              <w:rPr>
                <w:sz w:val="20"/>
                <w:szCs w:val="20"/>
                <w:color w:val="auto"/>
              </w:rPr>
            </w:pPr>
            <w:r>
              <w:rPr>
                <w:rFonts w:ascii="Arial" w:cs="Arial" w:eastAsia="Arial" w:hAnsi="Arial"/>
                <w:sz w:val="16"/>
                <w:szCs w:val="16"/>
                <w:b w:val="1"/>
                <w:bCs w:val="1"/>
                <w:color w:val="auto"/>
                <w:w w:val="93"/>
              </w:rPr>
              <w:t>Awards</w:t>
            </w:r>
            <w:r>
              <w:rPr>
                <w:rFonts w:ascii="Arial" w:cs="Arial" w:eastAsia="Arial" w:hAnsi="Arial"/>
                <w:sz w:val="22"/>
                <w:szCs w:val="22"/>
                <w:color w:val="auto"/>
                <w:w w:val="93"/>
                <w:vertAlign w:val="superscript"/>
              </w:rPr>
              <w:t>(2)(3)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260"/>
              <w:spacing w:after="0" w:line="198"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2"/>
                <w:szCs w:val="22"/>
                <w:color w:val="auto"/>
                <w:w w:val="97"/>
                <w:vertAlign w:val="superscript"/>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40"/>
              <w:spacing w:after="0" w:line="198"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2"/>
                <w:szCs w:val="22"/>
                <w:color w:val="auto"/>
                <w:w w:val="97"/>
                <w:vertAlign w:val="superscript"/>
              </w:rPr>
              <w:t>(5)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William C. Erbey</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1,369,644</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1,874,544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Executive Chairman</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2010</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500,000</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1,358,038</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1,862,938</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2009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500,000</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1,304,644</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1,809,544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Ronald M. Faris</w:t>
            </w:r>
          </w:p>
        </w:tc>
        <w:tc>
          <w:tcPr>
            <w:tcW w:w="76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2011</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449,999</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985,500</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1,440,399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w w:val="91"/>
              </w:rPr>
              <w:t>President and Chief Executive Officer</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2010</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449,999</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742,770</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1,197,669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2009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449,999</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924,750</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1,379,649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John P. Van Vlack</w:t>
            </w:r>
          </w:p>
        </w:tc>
        <w:tc>
          <w:tcPr>
            <w:tcW w:w="76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2011</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290,000</w:t>
            </w:r>
          </w:p>
        </w:tc>
        <w:tc>
          <w:tcPr>
            <w:tcW w:w="1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0"/>
              </w:rPr>
              <w:t>$ 2,577,850</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500,500</w:t>
            </w:r>
            <w:r>
              <w:rPr>
                <w:rFonts w:ascii="Arial" w:cs="Arial" w:eastAsia="Arial" w:hAnsi="Arial"/>
                <w:sz w:val="12"/>
                <w:szCs w:val="12"/>
                <w:color w:val="auto"/>
              </w:rPr>
              <w:t>(6)</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3,373,250</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Former Executive Vice President,</w:t>
            </w:r>
          </w:p>
        </w:tc>
        <w:tc>
          <w:tcPr>
            <w:tcW w:w="10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Chief</w:t>
            </w:r>
          </w:p>
        </w:tc>
        <w:tc>
          <w:tcPr>
            <w:tcW w:w="100" w:type="dxa"/>
            <w:vAlign w:val="bottom"/>
            <w:shd w:val="clear" w:color="auto" w:fill="EAF9E8"/>
          </w:tcPr>
          <w:p>
            <w:pPr>
              <w:spacing w:after="0"/>
              <w:rPr>
                <w:sz w:val="20"/>
                <w:szCs w:val="20"/>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2010</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260,769</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365,438</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631,107</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Financial Officer and Chief</w:t>
            </w:r>
          </w:p>
        </w:tc>
        <w:tc>
          <w:tcPr>
            <w:tcW w:w="10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Accounting Officer</w:t>
            </w:r>
          </w:p>
        </w:tc>
        <w:tc>
          <w:tcPr>
            <w:tcW w:w="100" w:type="dxa"/>
            <w:vAlign w:val="bottom"/>
            <w:shd w:val="clear" w:color="auto" w:fill="EAF9E8"/>
          </w:tcPr>
          <w:p>
            <w:pPr>
              <w:spacing w:after="0"/>
              <w:rPr>
                <w:sz w:val="20"/>
                <w:szCs w:val="20"/>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2009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200,731</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5"/>
              </w:rPr>
              <w:t>$   306,800</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195,103</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707,534</w:t>
            </w: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Paul A. Koches</w:t>
            </w:r>
          </w:p>
        </w:tc>
        <w:tc>
          <w:tcPr>
            <w:tcW w:w="76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2011</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358,065</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497,153</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860,118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2010</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358,065</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468,269</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831,234</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General Counsel and Secretary</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2009</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358,065</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564,549</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150,095</w:t>
            </w:r>
            <w:r>
              <w:rPr>
                <w:rFonts w:ascii="Arial" w:cs="Arial" w:eastAsia="Arial" w:hAnsi="Arial"/>
                <w:sz w:val="12"/>
                <w:szCs w:val="12"/>
                <w:color w:val="auto"/>
              </w:rPr>
              <w:t>(7)</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1,072,709</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John V. Britti</w:t>
            </w:r>
          </w:p>
        </w:tc>
        <w:tc>
          <w:tcPr>
            <w:tcW w:w="760" w:type="dxa"/>
            <w:vAlign w:val="bottom"/>
            <w:gridSpan w:val="2"/>
            <w:shd w:val="clear" w:color="auto" w:fill="EAF9E8"/>
          </w:tcPr>
          <w:p>
            <w:pPr>
              <w:ind w:left="260"/>
              <w:spacing w:after="0"/>
              <w:rPr>
                <w:sz w:val="20"/>
                <w:szCs w:val="20"/>
                <w:color w:val="auto"/>
              </w:rPr>
            </w:pPr>
            <w:r>
              <w:rPr>
                <w:rFonts w:ascii="Arial" w:cs="Arial" w:eastAsia="Arial" w:hAnsi="Arial"/>
                <w:sz w:val="18"/>
                <w:szCs w:val="18"/>
                <w:color w:val="auto"/>
              </w:rPr>
              <w:t>2011</w:t>
            </w: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347,981</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513,230</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4,900</w:t>
            </w:r>
          </w:p>
        </w:tc>
        <w:tc>
          <w:tcPr>
            <w:tcW w:w="1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Executive Vice President and</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EAF9E8"/>
          </w:tcPr>
          <w:p>
            <w:pPr>
              <w:spacing w:after="0"/>
              <w:rPr>
                <w:sz w:val="20"/>
                <w:szCs w:val="20"/>
                <w:color w:val="auto"/>
              </w:rPr>
            </w:pPr>
            <w:r>
              <w:rPr>
                <w:rFonts w:ascii="Arial" w:cs="Arial" w:eastAsia="Arial" w:hAnsi="Arial"/>
                <w:sz w:val="18"/>
                <w:szCs w:val="18"/>
                <w:color w:val="auto"/>
              </w:rPr>
              <w:t>current Chief Financial Officer</w:t>
            </w:r>
          </w:p>
        </w:tc>
        <w:tc>
          <w:tcPr>
            <w:tcW w:w="100" w:type="dxa"/>
            <w:vAlign w:val="bottom"/>
            <w:shd w:val="clear" w:color="auto" w:fill="EAF9E8"/>
          </w:tcPr>
          <w:p>
            <w:pPr>
              <w:spacing w:after="0"/>
              <w:rPr>
                <w:sz w:val="18"/>
                <w:szCs w:val="18"/>
                <w:color w:val="auto"/>
              </w:rPr>
            </w:pPr>
          </w:p>
        </w:tc>
        <w:tc>
          <w:tcPr>
            <w:tcW w:w="6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amounts earned in corresponding year.</w:t>
      </w:r>
    </w:p>
    <w:p>
      <w:pPr>
        <w:spacing w:after="0" w:line="228" w:lineRule="exact"/>
        <w:rPr>
          <w:rFonts w:ascii="Arial" w:cs="Arial" w:eastAsia="Arial" w:hAnsi="Arial"/>
          <w:sz w:val="25"/>
          <w:szCs w:val="25"/>
          <w:color w:val="auto"/>
          <w:vertAlign w:val="superscript"/>
        </w:rPr>
      </w:pPr>
    </w:p>
    <w:p>
      <w:pPr>
        <w:ind w:left="500" w:right="40" w:hanging="492"/>
        <w:spacing w:after="0" w:line="216" w:lineRule="auto"/>
        <w:tabs>
          <w:tab w:leader="none" w:pos="50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grant date fair value of stock options and stock awards. These amounts do not represent the actual amounts paid to or realized by the executive.</w:t>
      </w:r>
    </w:p>
    <w:p>
      <w:pPr>
        <w:spacing w:after="0" w:line="230" w:lineRule="exact"/>
        <w:rPr>
          <w:rFonts w:ascii="Arial" w:cs="Arial" w:eastAsia="Arial" w:hAnsi="Arial"/>
          <w:sz w:val="25"/>
          <w:szCs w:val="25"/>
          <w:color w:val="auto"/>
          <w:vertAlign w:val="superscript"/>
        </w:rPr>
      </w:pPr>
    </w:p>
    <w:p>
      <w:pPr>
        <w:jc w:val="both"/>
        <w:ind w:left="540" w:hanging="532"/>
        <w:spacing w:after="0" w:line="232" w:lineRule="auto"/>
        <w:tabs>
          <w:tab w:leader="none" w:pos="5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awards of options, the amount disclosed represents the aggregate grant date fair value computed in accordance with Financial Accounting Standards Board (“FASB”) Accounting Standards Codification (“ASC”) Topic 718. We based the grant date fair value of stock awards on the closing price of our common stock. We estimated the grant date fair value of stock option awards using a Black-Scholes option-pricing model and a binomial option pricing model utilizing the following assumptions:</w:t>
      </w:r>
    </w:p>
    <w:p>
      <w:pPr>
        <w:spacing w:after="0" w:line="377"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Service Condition Awards - Black-Scholes Option 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220"/>
              <w:spacing w:after="0" w:line="205" w:lineRule="exact"/>
              <w:rPr>
                <w:sz w:val="20"/>
                <w:szCs w:val="20"/>
                <w:color w:val="auto"/>
              </w:rPr>
            </w:pPr>
            <w:r>
              <w:rPr>
                <w:rFonts w:ascii="Arial" w:cs="Arial" w:eastAsia="Arial" w:hAnsi="Arial"/>
                <w:sz w:val="18"/>
                <w:szCs w:val="18"/>
                <w:b w:val="1"/>
                <w:bCs w:val="1"/>
                <w:color w:val="auto"/>
              </w:rPr>
              <w:t>Expected</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Expected</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Risk-Free</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Expected</w:t>
            </w:r>
          </w:p>
        </w:tc>
      </w:tr>
      <w:tr>
        <w:trPr>
          <w:trHeight w:val="216"/>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Volatility</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Dividend</w:t>
            </w:r>
          </w:p>
        </w:tc>
        <w:tc>
          <w:tcPr>
            <w:tcW w:w="10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Exercise 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Term in</w:t>
            </w:r>
          </w:p>
        </w:tc>
      </w:tr>
      <w:tr>
        <w:trPr>
          <w:trHeight w:val="241"/>
        </w:trPr>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 (%)</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4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2002</w:t>
            </w:r>
          </w:p>
        </w:tc>
        <w:tc>
          <w:tcPr>
            <w:tcW w:w="122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4"/>
              </w:rPr>
              <w:t>62%</w:t>
            </w:r>
          </w:p>
        </w:tc>
        <w:tc>
          <w:tcPr>
            <w:tcW w:w="124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1.87</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2.73%</w:t>
            </w:r>
          </w:p>
        </w:tc>
        <w:tc>
          <w:tcPr>
            <w:tcW w:w="126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3.25%</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2004</w:t>
            </w:r>
          </w:p>
        </w:tc>
        <w:tc>
          <w:tcPr>
            <w:tcW w:w="122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4"/>
              </w:rPr>
              <w:t>43%</w:t>
            </w:r>
          </w:p>
        </w:tc>
        <w:tc>
          <w:tcPr>
            <w:tcW w:w="124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6.57</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3.61%</w:t>
            </w:r>
          </w:p>
        </w:tc>
        <w:tc>
          <w:tcPr>
            <w:tcW w:w="126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36%</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4.35%</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2006</w:t>
            </w:r>
          </w:p>
        </w:tc>
        <w:tc>
          <w:tcPr>
            <w:tcW w:w="122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4"/>
              </w:rPr>
              <w:t>33%</w:t>
            </w:r>
          </w:p>
        </w:tc>
        <w:tc>
          <w:tcPr>
            <w:tcW w:w="124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11.88</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4.78%</w:t>
            </w:r>
          </w:p>
        </w:tc>
        <w:tc>
          <w:tcPr>
            <w:tcW w:w="126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38%</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3.48%</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16"/>
        </w:trPr>
        <w:tc>
          <w:tcPr>
            <w:tcW w:w="49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2009</w:t>
            </w:r>
          </w:p>
        </w:tc>
        <w:tc>
          <w:tcPr>
            <w:tcW w:w="122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4"/>
              </w:rPr>
              <w:t>38%</w:t>
            </w:r>
          </w:p>
        </w:tc>
        <w:tc>
          <w:tcPr>
            <w:tcW w:w="124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10.67</w:t>
            </w: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2.51%</w:t>
            </w:r>
          </w:p>
        </w:tc>
        <w:tc>
          <w:tcPr>
            <w:tcW w:w="126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5</w:t>
            </w:r>
          </w:p>
        </w:tc>
      </w:tr>
      <w:tr>
        <w:trPr>
          <w:trHeight w:val="230"/>
        </w:trPr>
        <w:tc>
          <w:tcPr>
            <w:tcW w:w="49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41%</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1.57%</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6.5</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Condition Awards - Binomial Option Pricing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Expected</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Expected</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Risk-Free</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2"/>
              </w:rPr>
              <w:t>Contract Term</w:t>
            </w:r>
          </w:p>
        </w:tc>
      </w:tr>
      <w:tr>
        <w:trPr>
          <w:trHeight w:val="216"/>
        </w:trPr>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20" w:type="dxa"/>
            <w:vAlign w:val="bottom"/>
          </w:tcPr>
          <w:p>
            <w:pPr>
              <w:spacing w:after="0"/>
              <w:rPr>
                <w:sz w:val="18"/>
                <w:szCs w:val="18"/>
                <w:color w:val="auto"/>
              </w:rPr>
            </w:pPr>
          </w:p>
        </w:tc>
        <w:tc>
          <w:tcPr>
            <w:tcW w:w="1180" w:type="dxa"/>
            <w:vAlign w:val="bottom"/>
          </w:tcPr>
          <w:p>
            <w:pPr>
              <w:ind w:left="240"/>
              <w:spacing w:after="0"/>
              <w:rPr>
                <w:sz w:val="20"/>
                <w:szCs w:val="20"/>
                <w:color w:val="auto"/>
              </w:rPr>
            </w:pPr>
            <w:r>
              <w:rPr>
                <w:rFonts w:ascii="Arial" w:cs="Arial" w:eastAsia="Arial" w:hAnsi="Arial"/>
                <w:sz w:val="18"/>
                <w:szCs w:val="18"/>
                <w:b w:val="1"/>
                <w:bCs w:val="1"/>
                <w:color w:val="auto"/>
              </w:rPr>
              <w:t>Volatility</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Dividend Yield</w:t>
            </w:r>
          </w:p>
        </w:tc>
        <w:tc>
          <w:tcPr>
            <w:tcW w:w="10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Exercise Price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in</w:t>
            </w:r>
          </w:p>
        </w:tc>
      </w:tr>
      <w:tr>
        <w:trPr>
          <w:trHeight w:val="241"/>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 (%)</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4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38% – 46%</w:t>
            </w:r>
          </w:p>
        </w:tc>
        <w:tc>
          <w:tcPr>
            <w:tcW w:w="13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8.00</w:t>
            </w:r>
          </w:p>
        </w:tc>
        <w:tc>
          <w:tcPr>
            <w:tcW w:w="12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2.15% – 4.28%</w:t>
            </w:r>
          </w:p>
        </w:tc>
        <w:tc>
          <w:tcPr>
            <w:tcW w:w="1320" w:type="dxa"/>
            <w:vAlign w:val="bottom"/>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47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38% – 46%</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0.38% – 3.94%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47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30% – 41%</w:t>
            </w:r>
          </w:p>
        </w:tc>
        <w:tc>
          <w:tcPr>
            <w:tcW w:w="1300" w:type="dxa"/>
            <w:vAlign w:val="bottom"/>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9"/>
              </w:rPr>
              <w:t>0</w:t>
            </w:r>
          </w:p>
        </w:tc>
        <w:tc>
          <w:tcPr>
            <w:tcW w:w="40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12.83</w:t>
            </w:r>
          </w:p>
        </w:tc>
        <w:tc>
          <w:tcPr>
            <w:tcW w:w="12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0.35% – 2.74%</w:t>
            </w:r>
          </w:p>
        </w:tc>
        <w:tc>
          <w:tcPr>
            <w:tcW w:w="1320" w:type="dxa"/>
            <w:vAlign w:val="bottom"/>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10</w:t>
            </w:r>
          </w:p>
        </w:tc>
      </w:tr>
    </w:tbl>
    <w:p>
      <w:pPr>
        <w:spacing w:after="0" w:line="206"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Consists of the cash portion of incentive compensation bonus awarded in the first quarter of the year following the year in which services are rendered.</w:t>
      </w:r>
    </w:p>
    <w:p>
      <w:pPr>
        <w:spacing w:after="0" w:line="171"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salary adjustments and any relocation expenses.</w:t>
      </w:r>
    </w:p>
    <w:p>
      <w:pPr>
        <w:spacing w:after="0" w:line="171" w:lineRule="exact"/>
        <w:rPr>
          <w:rFonts w:ascii="Arial" w:cs="Arial" w:eastAsia="Arial" w:hAnsi="Arial"/>
          <w:sz w:val="25"/>
          <w:szCs w:val="25"/>
          <w:color w:val="auto"/>
          <w:vertAlign w:val="superscript"/>
        </w:rPr>
      </w:pPr>
    </w:p>
    <w:p>
      <w:pPr>
        <w:ind w:left="460" w:hanging="452"/>
        <w:spacing w:after="0"/>
        <w:tabs>
          <w:tab w:leader="none" w:pos="4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$80,000 awarded to Mr. Van Vlack by the Compensation Committee on a discretionary basis.</w:t>
      </w:r>
    </w:p>
    <w:p>
      <w:pPr>
        <w:spacing w:after="0" w:line="171" w:lineRule="exact"/>
        <w:rPr>
          <w:rFonts w:ascii="Arial" w:cs="Arial" w:eastAsia="Arial" w:hAnsi="Arial"/>
          <w:sz w:val="25"/>
          <w:szCs w:val="25"/>
          <w:color w:val="auto"/>
          <w:vertAlign w:val="superscript"/>
        </w:rPr>
      </w:pPr>
    </w:p>
    <w:p>
      <w:pPr>
        <w:ind w:left="480" w:hanging="472"/>
        <w:spacing w:after="0"/>
        <w:tabs>
          <w:tab w:leader="none" w:pos="4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$145,195 in relocation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Grants of Plan-Based Awards for 2011</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information related to non-equity incentive compensation pursuant to our annual incentive plan for services rendered in fiscal year 2011 by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All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Stock</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Date Fair</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Estimated Future Payouts</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or Base</w:t>
            </w: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9"/>
              </w:rPr>
              <w:t>Estimated Future Payouts</w:t>
            </w:r>
          </w:p>
        </w:tc>
        <w:tc>
          <w:tcPr>
            <w:tcW w:w="2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3"/>
              </w:rPr>
              <w:t>Under Equity Incentive Plan</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Stocks</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Price of</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Stock and</w:t>
            </w:r>
          </w:p>
        </w:tc>
      </w:tr>
      <w:tr>
        <w:trPr>
          <w:trHeight w:val="241"/>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Under Non-Equity</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Awards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or</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9"/>
              </w:rPr>
              <w:t>Grant</w:t>
            </w:r>
          </w:p>
        </w:tc>
        <w:tc>
          <w:tcPr>
            <w:tcW w:w="80" w:type="dxa"/>
            <w:vAlign w:val="bottom"/>
          </w:tcPr>
          <w:p>
            <w:pPr>
              <w:spacing w:after="0"/>
              <w:rPr>
                <w:sz w:val="17"/>
                <w:szCs w:val="17"/>
                <w:color w:val="auto"/>
              </w:rPr>
            </w:pPr>
          </w:p>
        </w:tc>
        <w:tc>
          <w:tcPr>
            <w:tcW w:w="8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8"/>
              </w:rPr>
              <w:t>Threshold</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Target</w:t>
            </w:r>
          </w:p>
        </w:tc>
        <w:tc>
          <w:tcPr>
            <w:tcW w:w="84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6"/>
              </w:rPr>
              <w:t>Maximum</w:t>
            </w:r>
          </w:p>
        </w:tc>
        <w:tc>
          <w:tcPr>
            <w:tcW w:w="20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180"/>
              <w:spacing w:after="0" w:line="198" w:lineRule="exact"/>
              <w:rPr>
                <w:sz w:val="20"/>
                <w:szCs w:val="20"/>
                <w:color w:val="auto"/>
              </w:rPr>
            </w:pPr>
            <w:r>
              <w:rPr>
                <w:rFonts w:ascii="Arial" w:cs="Arial" w:eastAsia="Arial" w:hAnsi="Arial"/>
                <w:sz w:val="18"/>
                <w:szCs w:val="18"/>
                <w:b w:val="1"/>
                <w:bCs w:val="1"/>
                <w:color w:val="auto"/>
                <w:w w:val="87"/>
              </w:rPr>
              <w:t>Threshold</w:t>
            </w:r>
          </w:p>
        </w:tc>
        <w:tc>
          <w:tcPr>
            <w:tcW w:w="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Target</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Maximum</w:t>
            </w:r>
          </w:p>
        </w:tc>
        <w:tc>
          <w:tcPr>
            <w:tcW w:w="200" w:type="dxa"/>
            <w:vAlign w:val="bottom"/>
          </w:tcPr>
          <w:p>
            <w:pPr>
              <w:spacing w:after="0"/>
              <w:rPr>
                <w:sz w:val="17"/>
                <w:szCs w:val="17"/>
                <w:color w:val="auto"/>
              </w:rPr>
            </w:pPr>
          </w:p>
        </w:tc>
        <w:tc>
          <w:tcPr>
            <w:tcW w:w="8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Units</w:t>
            </w:r>
          </w:p>
        </w:tc>
        <w:tc>
          <w:tcPr>
            <w:tcW w:w="11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1"/>
              </w:rPr>
              <w:t>Options</w:t>
            </w:r>
          </w:p>
        </w:tc>
        <w:tc>
          <w:tcPr>
            <w:tcW w:w="88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9"/>
              </w:rPr>
              <w:t>Awards</w:t>
            </w:r>
          </w:p>
        </w:tc>
      </w:tr>
      <w:tr>
        <w:trPr>
          <w:trHeight w:val="241"/>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80" w:type="dxa"/>
            <w:vAlign w:val="bottom"/>
          </w:tcPr>
          <w:p>
            <w:pPr>
              <w:spacing w:after="0"/>
              <w:rPr>
                <w:sz w:val="20"/>
                <w:szCs w:val="20"/>
                <w:color w:val="auto"/>
              </w:rPr>
            </w:pPr>
          </w:p>
        </w:tc>
        <w:tc>
          <w:tcPr>
            <w:tcW w:w="900" w:type="dxa"/>
            <w:vAlign w:val="bottom"/>
          </w:tcPr>
          <w:p>
            <w:pPr>
              <w:jc w:val="center"/>
              <w:spacing w:after="0" w:line="234"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(2)</w:t>
            </w: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920" w:type="dxa"/>
            <w:vAlign w:val="bottom"/>
            <w:gridSpan w:val="2"/>
          </w:tcPr>
          <w:p>
            <w:pPr>
              <w:jc w:val="center"/>
              <w:spacing w:after="0" w:line="234"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(3)</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0" w:type="dxa"/>
            <w:vAlign w:val="bottom"/>
            <w:tcBorders>
              <w:top w:val="single" w:sz="8" w:color="auto"/>
            </w:tcBorders>
            <w:shd w:val="clear" w:color="auto" w:fill="EAF9E8"/>
          </w:tcPr>
          <w:p>
            <w:pPr>
              <w:spacing w:after="0" w:line="201" w:lineRule="exact"/>
              <w:rPr>
                <w:sz w:val="20"/>
                <w:szCs w:val="20"/>
                <w:color w:val="auto"/>
              </w:rPr>
            </w:pPr>
            <w:r>
              <w:rPr>
                <w:rFonts w:ascii="Arial" w:cs="Arial" w:eastAsia="Arial" w:hAnsi="Arial"/>
                <w:sz w:val="18"/>
                <w:szCs w:val="18"/>
                <w:color w:val="auto"/>
              </w:rPr>
              <w:t>William C.</w:t>
            </w:r>
          </w:p>
        </w:tc>
        <w:tc>
          <w:tcPr>
            <w:tcW w:w="100" w:type="dxa"/>
            <w:vAlign w:val="bottom"/>
            <w:shd w:val="clear" w:color="auto" w:fill="EAF9E8"/>
          </w:tcPr>
          <w:p>
            <w:pPr>
              <w:spacing w:after="0"/>
              <w:rPr>
                <w:sz w:val="17"/>
                <w:szCs w:val="17"/>
                <w:color w:val="auto"/>
              </w:rPr>
            </w:pPr>
          </w:p>
        </w:tc>
        <w:tc>
          <w:tcPr>
            <w:tcW w:w="60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tcBorders>
              <w:top w:val="single" w:sz="8" w:color="auto"/>
            </w:tcBorders>
            <w:shd w:val="clear" w:color="auto" w:fill="EAF9E8"/>
          </w:tcPr>
          <w:p>
            <w:pPr>
              <w:spacing w:after="0"/>
              <w:rPr>
                <w:sz w:val="17"/>
                <w:szCs w:val="17"/>
                <w:color w:val="auto"/>
              </w:rPr>
            </w:pPr>
          </w:p>
        </w:tc>
        <w:tc>
          <w:tcPr>
            <w:tcW w:w="6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0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2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62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0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4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EAF9E8"/>
          </w:tcPr>
          <w:p>
            <w:pPr>
              <w:spacing w:after="0"/>
              <w:rPr>
                <w:sz w:val="20"/>
                <w:szCs w:val="20"/>
                <w:color w:val="auto"/>
              </w:rPr>
            </w:pPr>
            <w:r>
              <w:rPr>
                <w:rFonts w:ascii="Arial" w:cs="Arial" w:eastAsia="Arial" w:hAnsi="Arial"/>
                <w:sz w:val="18"/>
                <w:szCs w:val="18"/>
                <w:color w:val="auto"/>
              </w:rPr>
              <w:t>Erbey</w:t>
            </w:r>
          </w:p>
        </w:tc>
        <w:tc>
          <w:tcPr>
            <w:tcW w:w="8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5"/>
              </w:rPr>
              <w:t>464,286</w:t>
            </w:r>
          </w:p>
        </w:tc>
        <w:tc>
          <w:tcPr>
            <w:tcW w:w="980" w:type="dxa"/>
            <w:vAlign w:val="bottom"/>
            <w:gridSpan w:val="3"/>
            <w:shd w:val="clear" w:color="auto" w:fill="EAF9E8"/>
          </w:tcPr>
          <w:p>
            <w:pPr>
              <w:jc w:val="center"/>
              <w:ind w:right="80"/>
              <w:spacing w:after="0"/>
              <w:rPr>
                <w:sz w:val="20"/>
                <w:szCs w:val="20"/>
                <w:color w:val="auto"/>
              </w:rPr>
            </w:pPr>
            <w:r>
              <w:rPr>
                <w:rFonts w:ascii="Arial" w:cs="Arial" w:eastAsia="Arial" w:hAnsi="Arial"/>
                <w:sz w:val="18"/>
                <w:szCs w:val="18"/>
                <w:color w:val="auto"/>
                <w:w w:val="87"/>
              </w:rPr>
              <w:t>$ 928,571</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87"/>
              </w:rPr>
              <w:t>1,392,857</w:t>
            </w: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Ronald M.</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Faris</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337,500</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$ 675,000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1,012,500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7"/>
              </w:rPr>
              <w:t>John P. Van</w:t>
            </w:r>
          </w:p>
        </w:tc>
        <w:tc>
          <w:tcPr>
            <w:tcW w:w="1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6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EAF9E8"/>
          </w:tcPr>
          <w:p>
            <w:pPr>
              <w:spacing w:after="0"/>
              <w:rPr>
                <w:sz w:val="20"/>
                <w:szCs w:val="20"/>
                <w:color w:val="auto"/>
              </w:rPr>
            </w:pPr>
            <w:r>
              <w:rPr>
                <w:rFonts w:ascii="Arial" w:cs="Arial" w:eastAsia="Arial" w:hAnsi="Arial"/>
                <w:sz w:val="18"/>
                <w:szCs w:val="18"/>
                <w:color w:val="auto"/>
              </w:rPr>
              <w:t>Vlack</w:t>
            </w:r>
          </w:p>
        </w:tc>
        <w:tc>
          <w:tcPr>
            <w:tcW w:w="8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5"/>
              </w:rPr>
              <w:t>145,000</w:t>
            </w:r>
          </w:p>
        </w:tc>
        <w:tc>
          <w:tcPr>
            <w:tcW w:w="980" w:type="dxa"/>
            <w:vAlign w:val="bottom"/>
            <w:gridSpan w:val="3"/>
            <w:shd w:val="clear" w:color="auto" w:fill="EAF9E8"/>
          </w:tcPr>
          <w:p>
            <w:pPr>
              <w:jc w:val="center"/>
              <w:ind w:right="80"/>
              <w:spacing w:after="0"/>
              <w:rPr>
                <w:sz w:val="20"/>
                <w:szCs w:val="20"/>
                <w:color w:val="auto"/>
              </w:rPr>
            </w:pPr>
            <w:r>
              <w:rPr>
                <w:rFonts w:ascii="Arial" w:cs="Arial" w:eastAsia="Arial" w:hAnsi="Arial"/>
                <w:sz w:val="18"/>
                <w:szCs w:val="18"/>
                <w:color w:val="auto"/>
                <w:w w:val="87"/>
              </w:rPr>
              <w:t>$ 290,000</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435,000</w:t>
            </w: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545,000</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4"/>
              </w:rPr>
              <w:t>$ 12.83000</w:t>
            </w: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4"/>
              </w:rPr>
              <w:t>$ 2,577,850</w:t>
            </w:r>
          </w:p>
        </w:tc>
        <w:tc>
          <w:tcPr>
            <w:tcW w:w="100" w:type="dxa"/>
            <w:vAlign w:val="bottom"/>
            <w:shd w:val="clear" w:color="auto" w:fill="EAF9E8"/>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Paul A.</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Koches</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218,818</w:t>
            </w: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$ 437,635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656,453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EAF9E8"/>
          </w:tcPr>
          <w:p>
            <w:pPr>
              <w:spacing w:after="0"/>
              <w:rPr>
                <w:sz w:val="20"/>
                <w:szCs w:val="20"/>
                <w:color w:val="auto"/>
              </w:rPr>
            </w:pPr>
            <w:r>
              <w:rPr>
                <w:rFonts w:ascii="Arial" w:cs="Arial" w:eastAsia="Arial" w:hAnsi="Arial"/>
                <w:sz w:val="18"/>
                <w:szCs w:val="18"/>
                <w:color w:val="auto"/>
                <w:w w:val="94"/>
              </w:rPr>
              <w:t>John V. Britti</w:t>
            </w:r>
          </w:p>
        </w:tc>
        <w:tc>
          <w:tcPr>
            <w:tcW w:w="8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5"/>
              </w:rPr>
              <w:t>176,976</w:t>
            </w:r>
          </w:p>
        </w:tc>
        <w:tc>
          <w:tcPr>
            <w:tcW w:w="980" w:type="dxa"/>
            <w:vAlign w:val="bottom"/>
            <w:gridSpan w:val="3"/>
            <w:shd w:val="clear" w:color="auto" w:fill="EAF9E8"/>
          </w:tcPr>
          <w:p>
            <w:pPr>
              <w:jc w:val="center"/>
              <w:ind w:right="80"/>
              <w:spacing w:after="0"/>
              <w:rPr>
                <w:sz w:val="20"/>
                <w:szCs w:val="20"/>
                <w:color w:val="auto"/>
              </w:rPr>
            </w:pPr>
            <w:r>
              <w:rPr>
                <w:rFonts w:ascii="Arial" w:cs="Arial" w:eastAsia="Arial" w:hAnsi="Arial"/>
                <w:sz w:val="18"/>
                <w:szCs w:val="18"/>
                <w:color w:val="auto"/>
                <w:w w:val="87"/>
              </w:rPr>
              <w:t>$ 353,952</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530,928</w:t>
            </w: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r>
    </w:tbl>
    <w:p>
      <w:pPr>
        <w:spacing w:after="0" w:line="229" w:lineRule="exact"/>
        <w:rPr>
          <w:sz w:val="20"/>
          <w:szCs w:val="20"/>
          <w:color w:val="auto"/>
        </w:rPr>
      </w:pPr>
    </w:p>
    <w:p>
      <w:pPr>
        <w:jc w:val="both"/>
        <w:ind w:left="500" w:hanging="492"/>
        <w:spacing w:after="0" w:line="253" w:lineRule="auto"/>
        <w:tabs>
          <w:tab w:leader="none" w:pos="50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These figures represent the potential non-equity compensation that may have been earned by each respective executive officer in 2011 under the different achievement levels presented on their personal scorecards which are more fully discussed in our Compensation Discussion and Analysis. The Compensation Committee is also authorized to make discretionary awards in excess of the maximum amounts indicated above.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in 2011 is set forth in the “Non-Equity Incentive Plan Compensation” column of the “Summary Compensation Table” above.</w:t>
      </w:r>
    </w:p>
    <w:p>
      <w:pPr>
        <w:spacing w:after="0" w:line="218" w:lineRule="exact"/>
        <w:rPr>
          <w:rFonts w:ascii="Arial" w:cs="Arial" w:eastAsia="Arial" w:hAnsi="Arial"/>
          <w:sz w:val="24"/>
          <w:szCs w:val="24"/>
          <w:color w:val="auto"/>
          <w:vertAlign w:val="superscript"/>
        </w:rPr>
      </w:pPr>
    </w:p>
    <w:p>
      <w:pPr>
        <w:ind w:left="500" w:hanging="492"/>
        <w:spacing w:after="0" w:line="216" w:lineRule="auto"/>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amount represents shares underlying options awarded, a portion of which are time-based option awards and a portion of which are market-based option awards, as described in the footnotes to the “Outstanding Equity Awards at Fiscal Year-End” table below.</w:t>
      </w:r>
    </w:p>
    <w:p>
      <w:pPr>
        <w:spacing w:after="0" w:line="230" w:lineRule="exact"/>
        <w:rPr>
          <w:rFonts w:ascii="Arial" w:cs="Arial" w:eastAsia="Arial" w:hAnsi="Arial"/>
          <w:sz w:val="25"/>
          <w:szCs w:val="25"/>
          <w:color w:val="auto"/>
          <w:vertAlign w:val="superscript"/>
        </w:rPr>
      </w:pPr>
    </w:p>
    <w:p>
      <w:pPr>
        <w:jc w:val="both"/>
        <w:ind w:left="500" w:hanging="492"/>
        <w:spacing w:after="0" w:line="226" w:lineRule="auto"/>
        <w:tabs>
          <w:tab w:leader="none" w:pos="5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amount represents the fair value of the awards on the date of grant, as computed in accordance with FASB ASC Topic 718 and the assumptions stated in footnote #3 to the “Summary Compensation Table” above and in Note #26 to the consolidated financial statements in of our Form 10-K filed on February 29, 2012.</w:t>
      </w:r>
    </w:p>
    <w:p>
      <w:pPr>
        <w:spacing w:after="0" w:line="379"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2011 for the individuals named in the Summary Compensation Table.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Incentive Plan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Awards: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Securities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Underlying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Options</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Unexercised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Unexercisable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Unearned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Exercisable</w:t>
            </w: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Options(2)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Price(3)</w:t>
            </w:r>
          </w:p>
        </w:tc>
        <w:tc>
          <w:tcPr>
            <w:tcW w:w="3000" w:type="dxa"/>
            <w:vAlign w:val="bottom"/>
          </w:tcPr>
          <w:p>
            <w:pPr>
              <w:jc w:val="right"/>
              <w:ind w:right="113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000" w:type="dxa"/>
            <w:vAlign w:val="bottom"/>
          </w:tcPr>
          <w:p>
            <w:pPr>
              <w:jc w:val="right"/>
              <w:ind w:right="79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84,885</w:t>
            </w:r>
          </w:p>
        </w:tc>
        <w:tc>
          <w:tcPr>
            <w:tcW w:w="220" w:type="dxa"/>
            <w:vAlign w:val="bottom"/>
            <w:shd w:val="clear" w:color="auto" w:fill="EAF9E8"/>
          </w:tcPr>
          <w:p>
            <w:pPr>
              <w:spacing w:after="0"/>
              <w:rPr>
                <w:sz w:val="18"/>
                <w:szCs w:val="18"/>
                <w:color w:val="auto"/>
              </w:rPr>
            </w:pP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3.48808</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56,590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4.21775</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01/31/12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33,875</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1.12674</w:t>
            </w:r>
          </w:p>
        </w:tc>
        <w:tc>
          <w:tcPr>
            <w:tcW w:w="30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50,813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1.69312</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12,736</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3.72367</w:t>
            </w:r>
          </w:p>
        </w:tc>
        <w:tc>
          <w:tcPr>
            <w:tcW w:w="30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50,943</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6.46521</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47,872</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4.84438</w:t>
            </w:r>
          </w:p>
        </w:tc>
        <w:tc>
          <w:tcPr>
            <w:tcW w:w="30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69,805</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5.80844</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01/31/16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102,821</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7.15812</w:t>
            </w:r>
          </w:p>
        </w:tc>
        <w:tc>
          <w:tcPr>
            <w:tcW w:w="30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05/10/17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450,000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150,000</w:t>
            </w:r>
            <w:r>
              <w:rPr>
                <w:rFonts w:ascii="Arial" w:cs="Arial" w:eastAsia="Arial" w:hAnsi="Arial"/>
                <w:sz w:val="12"/>
                <w:szCs w:val="12"/>
                <w:color w:val="auto"/>
              </w:rPr>
              <w:t>(4)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900,000</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300,000</w:t>
            </w:r>
            <w:r>
              <w:rPr>
                <w:rFonts w:ascii="Arial" w:cs="Arial" w:eastAsia="Arial" w:hAnsi="Arial"/>
                <w:sz w:val="12"/>
                <w:szCs w:val="12"/>
                <w:color w:val="auto"/>
              </w:rPr>
              <w:t>(5)</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150,000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450,000</w:t>
            </w:r>
            <w:r>
              <w:rPr>
                <w:rFonts w:ascii="Arial" w:cs="Arial" w:eastAsia="Arial" w:hAnsi="Arial"/>
                <w:sz w:val="12"/>
                <w:szCs w:val="12"/>
                <w:color w:val="auto"/>
              </w:rPr>
              <w:t>(6)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tcPr>
          <w:p>
            <w:pPr>
              <w:jc w:val="right"/>
              <w:ind w:right="11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Ronald M. Faris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31,781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1.12674</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47,672</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1.69312</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01/31/13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13,390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3.72367</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53,560</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6.46521</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01/31/14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37,301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4.84438</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01/31/15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60,504</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5.80844</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01/31/16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84,861</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7.15812</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05/10/17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232,000</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77,500</w:t>
            </w:r>
            <w:r>
              <w:rPr>
                <w:rFonts w:ascii="Arial" w:cs="Arial" w:eastAsia="Arial" w:hAnsi="Arial"/>
                <w:sz w:val="12"/>
                <w:szCs w:val="12"/>
                <w:color w:val="auto"/>
              </w:rPr>
              <w:t>(4)</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465,000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155,000</w:t>
            </w:r>
            <w:r>
              <w:rPr>
                <w:rFonts w:ascii="Arial" w:cs="Arial" w:eastAsia="Arial" w:hAnsi="Arial"/>
                <w:sz w:val="12"/>
                <w:szCs w:val="12"/>
                <w:color w:val="auto"/>
              </w:rPr>
              <w:t>(5)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77,500</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232,000</w:t>
            </w:r>
            <w:r>
              <w:rPr>
                <w:rFonts w:ascii="Arial" w:cs="Arial" w:eastAsia="Arial" w:hAnsi="Arial"/>
                <w:sz w:val="12"/>
                <w:szCs w:val="12"/>
                <w:color w:val="auto"/>
              </w:rPr>
              <w:t>(6)</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10,000</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10,000</w:t>
            </w:r>
            <w:r>
              <w:rPr>
                <w:rFonts w:ascii="Arial" w:cs="Arial" w:eastAsia="Arial" w:hAnsi="Arial"/>
                <w:sz w:val="12"/>
                <w:szCs w:val="12"/>
                <w:color w:val="auto"/>
              </w:rPr>
              <w:t>(7)</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10.67000</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r>
              <w:rPr>
                <w:rFonts w:ascii="Arial" w:cs="Arial" w:eastAsia="Arial" w:hAnsi="Arial"/>
                <w:sz w:val="12"/>
                <w:szCs w:val="12"/>
                <w:color w:val="auto"/>
              </w:rPr>
              <w:t>(8)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10.67000</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20,000</w:t>
            </w:r>
            <w:r>
              <w:rPr>
                <w:rFonts w:ascii="Arial" w:cs="Arial" w:eastAsia="Arial" w:hAnsi="Arial"/>
                <w:sz w:val="12"/>
                <w:szCs w:val="12"/>
                <w:color w:val="auto"/>
              </w:rPr>
              <w:t>(9)</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10.67000</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136,250</w:t>
            </w:r>
            <w:r>
              <w:rPr>
                <w:rFonts w:ascii="Arial" w:cs="Arial" w:eastAsia="Arial" w:hAnsi="Arial"/>
                <w:sz w:val="12"/>
                <w:szCs w:val="12"/>
                <w:color w:val="auto"/>
              </w:rPr>
              <w:t>(10)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12.83000</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272,500</w:t>
            </w:r>
            <w:r>
              <w:rPr>
                <w:rFonts w:ascii="Arial" w:cs="Arial" w:eastAsia="Arial" w:hAnsi="Arial"/>
                <w:sz w:val="12"/>
                <w:szCs w:val="12"/>
                <w:color w:val="auto"/>
              </w:rPr>
              <w:t>(11)</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12.83000</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136,250</w:t>
            </w:r>
            <w:r>
              <w:rPr>
                <w:rFonts w:ascii="Arial" w:cs="Arial" w:eastAsia="Arial" w:hAnsi="Arial"/>
                <w:sz w:val="12"/>
                <w:szCs w:val="12"/>
                <w:color w:val="auto"/>
              </w:rPr>
              <w:t>(12)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12.83000</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10/07/21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Paul A. Koches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116,250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38,750</w:t>
            </w:r>
            <w:r>
              <w:rPr>
                <w:rFonts w:ascii="Arial" w:cs="Arial" w:eastAsia="Arial" w:hAnsi="Arial"/>
                <w:sz w:val="12"/>
                <w:szCs w:val="12"/>
                <w:color w:val="auto"/>
              </w:rPr>
              <w:t>(4)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AF9E8"/>
          </w:tcPr>
          <w:p>
            <w:pPr>
              <w:spacing w:after="0"/>
              <w:rPr>
                <w:sz w:val="18"/>
                <w:szCs w:val="18"/>
                <w:color w:val="auto"/>
              </w:rPr>
            </w:pPr>
          </w:p>
        </w:tc>
        <w:tc>
          <w:tcPr>
            <w:tcW w:w="14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232,500</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77,500</w:t>
            </w:r>
            <w:r>
              <w:rPr>
                <w:rFonts w:ascii="Arial" w:cs="Arial" w:eastAsia="Arial" w:hAnsi="Arial"/>
                <w:sz w:val="12"/>
                <w:szCs w:val="12"/>
                <w:color w:val="auto"/>
              </w:rPr>
              <w:t>(5)</w:t>
            </w:r>
          </w:p>
        </w:tc>
        <w:tc>
          <w:tcPr>
            <w:tcW w:w="14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38,750</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116,250</w:t>
            </w:r>
            <w:r>
              <w:rPr>
                <w:rFonts w:ascii="Arial" w:cs="Arial" w:eastAsia="Arial" w:hAnsi="Arial"/>
                <w:sz w:val="12"/>
                <w:szCs w:val="12"/>
                <w:color w:val="auto"/>
              </w:rPr>
              <w:t>(6)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4.82028</w:t>
            </w:r>
          </w:p>
        </w:tc>
        <w:tc>
          <w:tcPr>
            <w:tcW w:w="3000" w:type="dxa"/>
            <w:vAlign w:val="bottom"/>
          </w:tcPr>
          <w:p>
            <w:pPr>
              <w:jc w:val="right"/>
              <w:ind w:right="90"/>
              <w:spacing w:after="0"/>
              <w:rPr>
                <w:sz w:val="20"/>
                <w:szCs w:val="20"/>
                <w:color w:val="auto"/>
              </w:rPr>
            </w:pPr>
            <w:r>
              <w:rPr>
                <w:rFonts w:ascii="Arial" w:cs="Arial" w:eastAsia="Arial" w:hAnsi="Arial"/>
                <w:sz w:val="18"/>
                <w:szCs w:val="18"/>
                <w:color w:val="auto"/>
              </w:rPr>
              <w:t>07/14/18</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- 29 -</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jc w:val="center"/>
        <w:ind w:right="100"/>
        <w:spacing w:after="0"/>
        <w:rPr>
          <w:sz w:val="20"/>
          <w:szCs w:val="20"/>
          <w:color w:val="auto"/>
        </w:rPr>
      </w:pPr>
      <w:r>
        <w:rPr>
          <w:rFonts w:ascii="Arial" w:cs="Arial" w:eastAsia="Arial" w:hAnsi="Arial"/>
          <w:sz w:val="18"/>
          <w:szCs w:val="18"/>
          <w:b w:val="1"/>
          <w:bCs w:val="1"/>
          <w:color w:val="auto"/>
        </w:rPr>
        <w:t>Option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Equity</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2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Unexercisable</w:t>
            </w: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Unearned</w:t>
            </w: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Exercisable</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Options(2)</w:t>
            </w: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 (3)</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EAF9E8"/>
          </w:tcPr>
          <w:p>
            <w:pPr>
              <w:spacing w:after="0"/>
              <w:rPr>
                <w:sz w:val="20"/>
                <w:szCs w:val="20"/>
                <w:color w:val="auto"/>
              </w:rPr>
            </w:pPr>
            <w:r>
              <w:rPr>
                <w:rFonts w:ascii="Arial" w:cs="Arial" w:eastAsia="Arial" w:hAnsi="Arial"/>
                <w:sz w:val="18"/>
                <w:szCs w:val="18"/>
                <w:color w:val="auto"/>
              </w:rPr>
              <w:t>John V. Britti</w:t>
            </w:r>
          </w:p>
        </w:tc>
        <w:tc>
          <w:tcPr>
            <w:tcW w:w="1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02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awarded where the performance hurdles have been hit but remain subject to additional time based criteria.</w:t>
      </w:r>
    </w:p>
    <w:p>
      <w:pPr>
        <w:spacing w:after="0" w:line="171"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awarded where the performance hurdles have not been hit.</w:t>
      </w:r>
    </w:p>
    <w:p>
      <w:pPr>
        <w:spacing w:after="0" w:line="228" w:lineRule="exact"/>
        <w:rPr>
          <w:rFonts w:ascii="Arial" w:cs="Arial" w:eastAsia="Arial" w:hAnsi="Arial"/>
          <w:sz w:val="25"/>
          <w:szCs w:val="25"/>
          <w:color w:val="auto"/>
          <w:vertAlign w:val="superscript"/>
        </w:rPr>
      </w:pPr>
    </w:p>
    <w:p>
      <w:pPr>
        <w:ind w:left="500" w:right="20" w:hanging="492"/>
        <w:spacing w:after="0" w:line="216" w:lineRule="auto"/>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 exercise prices were adjusted for Ocwen stock options outstanding on or before the Altisource spin-off transaction completed on August 10, 2009 to reflect the value of Altisource stock distributed to Ocwen shareholders.</w:t>
      </w:r>
    </w:p>
    <w:p>
      <w:pPr>
        <w:spacing w:after="0" w:line="173"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on 07/14/12.</w:t>
      </w:r>
    </w:p>
    <w:p>
      <w:pPr>
        <w:spacing w:after="0" w:line="171"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on 8/10/12.</w:t>
      </w:r>
    </w:p>
    <w:p>
      <w:pPr>
        <w:spacing w:after="0" w:line="171"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three equal installments on 10/27/12, 10/27/13 and 10/27/14.</w:t>
      </w:r>
    </w:p>
    <w:p>
      <w:pPr>
        <w:spacing w:after="0" w:line="171" w:lineRule="exact"/>
        <w:rPr>
          <w:rFonts w:ascii="Arial" w:cs="Arial" w:eastAsia="Arial" w:hAnsi="Arial"/>
          <w:sz w:val="25"/>
          <w:szCs w:val="25"/>
          <w:color w:val="auto"/>
          <w:vertAlign w:val="superscript"/>
        </w:rPr>
      </w:pPr>
    </w:p>
    <w:p>
      <w:pPr>
        <w:ind w:left="500" w:hanging="492"/>
        <w:spacing w:after="0"/>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two equal installments on 11/04/12 and 11/04/13.</w:t>
      </w:r>
    </w:p>
    <w:p>
      <w:pPr>
        <w:spacing w:after="0" w:line="228" w:lineRule="exact"/>
        <w:rPr>
          <w:rFonts w:ascii="Arial" w:cs="Arial" w:eastAsia="Arial" w:hAnsi="Arial"/>
          <w:sz w:val="25"/>
          <w:szCs w:val="25"/>
          <w:color w:val="auto"/>
          <w:vertAlign w:val="superscript"/>
        </w:rPr>
      </w:pPr>
    </w:p>
    <w:p>
      <w:pPr>
        <w:ind w:left="500" w:hanging="492"/>
        <w:spacing w:after="0" w:line="216" w:lineRule="auto"/>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$21.34 and compounded annual gain of 20% over the exercise price with the balance vesting one-fourth each subsequent year.</w:t>
      </w:r>
    </w:p>
    <w:p>
      <w:pPr>
        <w:spacing w:after="0" w:line="230" w:lineRule="exact"/>
        <w:rPr>
          <w:rFonts w:ascii="Arial" w:cs="Arial" w:eastAsia="Arial" w:hAnsi="Arial"/>
          <w:sz w:val="25"/>
          <w:szCs w:val="25"/>
          <w:color w:val="auto"/>
          <w:vertAlign w:val="superscript"/>
        </w:rPr>
      </w:pPr>
    </w:p>
    <w:p>
      <w:pPr>
        <w:ind w:left="500" w:hanging="492"/>
        <w:spacing w:after="0" w:line="216" w:lineRule="auto"/>
        <w:tabs>
          <w:tab w:leader="none" w:pos="50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$32.01 and compounded annual gain of 25% over the exercise price with the balance vesting one-fourth each subsequent year.</w:t>
      </w:r>
    </w:p>
    <w:p>
      <w:pPr>
        <w:spacing w:after="0" w:line="173" w:lineRule="exact"/>
        <w:rPr>
          <w:rFonts w:ascii="Arial" w:cs="Arial" w:eastAsia="Arial" w:hAnsi="Arial"/>
          <w:sz w:val="25"/>
          <w:szCs w:val="25"/>
          <w:color w:val="auto"/>
          <w:vertAlign w:val="superscript"/>
        </w:rPr>
      </w:pPr>
    </w:p>
    <w:p>
      <w:pPr>
        <w:ind w:left="540" w:hanging="532"/>
        <w:spacing w:after="0"/>
        <w:tabs>
          <w:tab w:leader="none" w:pos="5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Options vest in four equal installments on 10/07/12, 10/07/13, 10/07/14 and 10/07/15.</w:t>
      </w:r>
    </w:p>
    <w:p>
      <w:pPr>
        <w:spacing w:after="0" w:line="228" w:lineRule="exact"/>
        <w:rPr>
          <w:rFonts w:ascii="Arial" w:cs="Arial" w:eastAsia="Arial" w:hAnsi="Arial"/>
          <w:sz w:val="25"/>
          <w:szCs w:val="25"/>
          <w:color w:val="auto"/>
          <w:vertAlign w:val="superscript"/>
        </w:rPr>
      </w:pPr>
    </w:p>
    <w:p>
      <w:pPr>
        <w:ind w:left="540" w:hanging="532"/>
        <w:spacing w:after="0" w:line="216" w:lineRule="auto"/>
        <w:tabs>
          <w:tab w:leader="none" w:pos="5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$25.66 and compounded annual gain of 20% over the exercise price with the balance vesting one-fourth each subsequent year.</w:t>
      </w:r>
    </w:p>
    <w:p>
      <w:pPr>
        <w:spacing w:after="0" w:line="230" w:lineRule="exact"/>
        <w:rPr>
          <w:rFonts w:ascii="Arial" w:cs="Arial" w:eastAsia="Arial" w:hAnsi="Arial"/>
          <w:sz w:val="25"/>
          <w:szCs w:val="25"/>
          <w:color w:val="auto"/>
          <w:vertAlign w:val="superscript"/>
        </w:rPr>
      </w:pPr>
    </w:p>
    <w:p>
      <w:pPr>
        <w:ind w:left="540" w:hanging="532"/>
        <w:spacing w:after="0" w:line="216" w:lineRule="auto"/>
        <w:tabs>
          <w:tab w:leader="none" w:pos="5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$38.49 and compounded annual gain of 25% over the exercise price with the balance vesting one-fourth each subsequent year.</w:t>
      </w:r>
    </w:p>
    <w:p>
      <w:pPr>
        <w:spacing w:after="0" w:line="378" w:lineRule="exact"/>
        <w:rPr>
          <w:rFonts w:ascii="Arial" w:cs="Arial" w:eastAsia="Arial" w:hAnsi="Arial"/>
          <w:sz w:val="25"/>
          <w:szCs w:val="25"/>
          <w:color w:val="auto"/>
          <w:vertAlign w:val="superscript"/>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2011 for the individuals named in the 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6"/>
          </w:tcPr>
          <w:p>
            <w:pPr>
              <w:ind w:left="680"/>
              <w:spacing w:after="0"/>
              <w:rPr>
                <w:sz w:val="20"/>
                <w:szCs w:val="20"/>
                <w:color w:val="auto"/>
              </w:rPr>
            </w:pPr>
            <w:r>
              <w:rPr>
                <w:rFonts w:ascii="Arial" w:cs="Arial" w:eastAsia="Arial" w:hAnsi="Arial"/>
                <w:sz w:val="18"/>
                <w:szCs w:val="18"/>
                <w:b w:val="1"/>
                <w:bCs w:val="1"/>
                <w:color w:val="auto"/>
              </w:rPr>
              <w:t>Option Awards</w:t>
            </w:r>
          </w:p>
        </w:tc>
        <w:tc>
          <w:tcPr>
            <w:tcW w:w="2600" w:type="dxa"/>
            <w:vAlign w:val="bottom"/>
            <w:gridSpan w:val="4"/>
          </w:tcPr>
          <w:p>
            <w:pPr>
              <w:ind w:left="72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Acquired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Realized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Acquired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 Exercise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on Exercise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on Vesting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on Vesting</w:t>
            </w:r>
          </w:p>
        </w:tc>
        <w:tc>
          <w:tcPr>
            <w:tcW w:w="0" w:type="dxa"/>
            <w:vAlign w:val="bottom"/>
          </w:tcPr>
          <w:p>
            <w:pPr>
              <w:spacing w:after="0"/>
              <w:rPr>
                <w:sz w:val="1"/>
                <w:szCs w:val="1"/>
                <w:color w:val="auto"/>
              </w:rPr>
            </w:pPr>
          </w:p>
        </w:tc>
      </w:tr>
      <w:tr>
        <w:trPr>
          <w:trHeight w:val="23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EAF9E8"/>
          </w:tcPr>
          <w:p>
            <w:pPr>
              <w:spacing w:after="0"/>
              <w:rPr>
                <w:sz w:val="20"/>
                <w:szCs w:val="20"/>
                <w:color w:val="auto"/>
              </w:rPr>
            </w:pPr>
            <w:r>
              <w:rPr>
                <w:rFonts w:ascii="Arial" w:cs="Arial" w:eastAsia="Arial" w:hAnsi="Arial"/>
                <w:sz w:val="18"/>
                <w:szCs w:val="18"/>
                <w:color w:val="auto"/>
              </w:rPr>
              <w:t>William C. Erbey</w:t>
            </w: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Ronald M. Faris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319,981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1,772,393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John P. Van Vlack</w:t>
            </w: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Paul A. Koches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John V. Britti</w:t>
            </w:r>
          </w:p>
        </w:tc>
        <w:tc>
          <w:tcPr>
            <w:tcW w:w="1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15 through 25 of this proxy statement with management.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29, 2012</w:t>
      </w:r>
      <w:r>
        <w:rPr>
          <w:sz w:val="20"/>
          <w:szCs w:val="20"/>
          <w:color w:val="auto"/>
        </w:rPr>
        <w:tab/>
      </w:r>
      <w:r>
        <w:rPr>
          <w:rFonts w:ascii="Arial" w:cs="Arial" w:eastAsia="Arial" w:hAnsi="Arial"/>
          <w:sz w:val="16"/>
          <w:szCs w:val="16"/>
          <w:color w:val="auto"/>
        </w:rPr>
        <w:t>William H. Lacy,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Ronald J. Korn,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N. Wish,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(Proposal Two)</w:t>
      </w:r>
    </w:p>
    <w:p>
      <w:pPr>
        <w:spacing w:after="0" w:line="2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Audit Committee of our Board of Directors has appointed Deloitte &amp; Touche LLP, independent registered public accountants, to be our independent registered public accounting firm for the year ending December 31, 2012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193" w:lineRule="exact"/>
        <w:rPr>
          <w:sz w:val="20"/>
          <w:szCs w:val="20"/>
          <w:color w:val="auto"/>
        </w:rPr>
      </w:pPr>
    </w:p>
    <w:p>
      <w:pPr>
        <w:jc w:val="center"/>
        <w:ind w:left="440" w:right="1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DELOITTE &amp; TOUCHE LLP AS THE INDEPENDENT REGISTERED PUBLIC ACCOUNTING FIRM FOR 2012.</w:t>
      </w: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52" w:lineRule="exact"/>
        <w:rPr>
          <w:sz w:val="20"/>
          <w:szCs w:val="20"/>
          <w:color w:val="auto"/>
        </w:rPr>
      </w:pPr>
    </w:p>
    <w:p>
      <w:pPr>
        <w:ind w:left="460" w:hanging="128"/>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2011;</w:t>
      </w:r>
    </w:p>
    <w:p>
      <w:pPr>
        <w:spacing w:after="0" w:line="225" w:lineRule="exact"/>
        <w:rPr>
          <w:rFonts w:ascii="Arial" w:cs="Arial" w:eastAsia="Arial" w:hAnsi="Arial"/>
          <w:sz w:val="18"/>
          <w:szCs w:val="18"/>
          <w:color w:val="auto"/>
        </w:rPr>
      </w:pPr>
    </w:p>
    <w:p>
      <w:pPr>
        <w:ind w:left="460" w:right="40" w:hanging="128"/>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181" w:lineRule="exact"/>
        <w:rPr>
          <w:rFonts w:ascii="Arial" w:cs="Arial" w:eastAsia="Arial" w:hAnsi="Arial"/>
          <w:sz w:val="18"/>
          <w:szCs w:val="18"/>
          <w:color w:val="auto"/>
        </w:rPr>
      </w:pPr>
    </w:p>
    <w:p>
      <w:pPr>
        <w:ind w:left="460" w:right="40" w:hanging="128"/>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2011.</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February 21, 2012</w:t>
      </w:r>
      <w:r>
        <w:rPr>
          <w:sz w:val="20"/>
          <w:szCs w:val="20"/>
          <w:color w:val="auto"/>
        </w:rPr>
        <w:tab/>
      </w:r>
      <w:r>
        <w:rPr>
          <w:rFonts w:ascii="Arial" w:cs="Arial" w:eastAsia="Arial" w:hAnsi="Arial"/>
          <w:sz w:val="16"/>
          <w:szCs w:val="16"/>
          <w:color w:val="auto"/>
        </w:rPr>
        <w:t>Ronald J. Korn,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B. Reiner,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A. Salcetti,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N. Wish,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2011 and 2010: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Audit Fees</w:t>
            </w:r>
          </w:p>
        </w:tc>
        <w:tc>
          <w:tcPr>
            <w:tcW w:w="3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1,564,779</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Tax Fees</w:t>
            </w:r>
          </w:p>
        </w:tc>
        <w:tc>
          <w:tcPr>
            <w:tcW w:w="3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16,882</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1,586,658</w:t>
            </w:r>
          </w:p>
        </w:tc>
        <w:tc>
          <w:tcPr>
            <w:tcW w:w="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1,591,873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EAF9E8"/>
            </w:tcBorders>
            <w:shd w:val="clear" w:color="auto" w:fill="EAF9E8"/>
          </w:tcPr>
          <w:p>
            <w:pPr>
              <w:spacing w:after="0" w:line="20" w:lineRule="exact"/>
              <w:rPr>
                <w:sz w:val="1"/>
                <w:szCs w:val="1"/>
                <w:color w:val="auto"/>
              </w:rPr>
            </w:pPr>
          </w:p>
        </w:tc>
        <w:tc>
          <w:tcPr>
            <w:tcW w:w="36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2010 and 2011, for the reviews of the financial statements included in Ocwen’s quarterly reports on Form 10-Q during fiscal years 2011 and 2010 and for services that are normally provided by the independent registered public accounting firm in connection with statutory and regulatory filings or engagements for the relevant fiscal years.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in each of the last two (2) fiscal years for assurance and 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(2) fiscal years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for tax compliance, tax planning and tax advice.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(2)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2011 and the proposed services for 2012 and determined that such services and fees are compatible with the independence of Deloitte &amp; Touche LLP.</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Pre-Approval Policy. </w:t>
      </w:r>
      <w:r>
        <w:rPr>
          <w:rFonts w:ascii="Arial" w:cs="Arial" w:eastAsia="Arial" w:hAnsi="Arial"/>
          <w:sz w:val="18"/>
          <w:szCs w:val="18"/>
          <w:color w:val="auto"/>
        </w:rPr>
        <w:t>The Audit Committee is required to pre-approve the audit and non-audit services performed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in order to assure that the provision of such services does not impair the independent registered public accounting firm’s independence. Unless a type of service to be provided by the independent registered public accounting firm has received general pre-approval, it will require specific pre-approval by the Audit Committee. In 2011, less than 1% of the fees associated with the independent registered public accounting firm services were not pre-approved by the Audit Committee.</w:t>
      </w:r>
    </w:p>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(Proposal Three)</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named executive officers.</w:t>
      </w:r>
    </w:p>
    <w:p>
      <w:pPr>
        <w:spacing w:after="0" w:line="19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described in detail under the heading “Executive Compensation – Compensation Discussion and Analysis,” our executive compensation programs are designed to attract, incentivize and retain our named executive officers, who are critical to our success. Pursuant to these programs, the Company seeks to compensate the named executive officers for achieving strategic business goals. Please read the “Compensation Discussion and Analysis” for additional details about our executive compensation programs including information about the fiscal year 2011 compensation of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2012 Annual Meeting of Shareholders pursuant to the compensation disclosure rules of the SEC including the Compensation Discussion and Analysis, the compensation tables and any related material.”</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the proposal, the final vote will not be binding on us and is advisory in nature.</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vote for or against or abstain from the approval of the compensation of the Company’s named executive officers as disclosed in the Compensation Discussion and Analysis, the compensation tables and any related material contained in this proxy statement.</w:t>
      </w:r>
    </w:p>
    <w:p>
      <w:pPr>
        <w:spacing w:after="0" w:line="193" w:lineRule="exact"/>
        <w:rPr>
          <w:sz w:val="20"/>
          <w:szCs w:val="20"/>
          <w:color w:val="auto"/>
        </w:rPr>
      </w:pPr>
    </w:p>
    <w:p>
      <w:pPr>
        <w:ind w:left="580" w:right="120" w:firstLine="101"/>
        <w:spacing w:after="0" w:line="261"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w:t>
      </w:r>
    </w:p>
    <w:p>
      <w:pPr>
        <w:jc w:val="center"/>
        <w:ind w:right="-59"/>
        <w:spacing w:after="0"/>
        <w:rPr>
          <w:sz w:val="20"/>
          <w:szCs w:val="20"/>
          <w:color w:val="auto"/>
        </w:rPr>
      </w:pPr>
      <w:r>
        <w:rPr>
          <w:rFonts w:ascii="Arial" w:cs="Arial" w:eastAsia="Arial" w:hAnsi="Arial"/>
          <w:sz w:val="18"/>
          <w:szCs w:val="18"/>
          <w:b w:val="1"/>
          <w:bCs w:val="1"/>
          <w:color w:val="auto"/>
        </w:rPr>
        <w:t>STATEMENT.</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Board of Directors has adopted a policy and procedure for the review, approval and monitoring of transactions involving Ocwen and related persons (Directors and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policy and procedure are not limited to related person transactions that meet the threshold for disclosure under the relevant Securities and Exchange Commission as they broadly cover any situation in which a conflict of interest may arise.</w:t>
      </w:r>
    </w:p>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situation that potentially involves a conflict of interest is to be immediately disclosed to the Company’s General Counsel who must assess the nature and extent of any concern and then recommend any follow up action, as needed. The General Counsel will notify the Chairman of the Board if any such situation requires notice to or approval of the Board of Directors.</w:t>
      </w:r>
    </w:p>
    <w:p>
      <w:pPr>
        <w:spacing w:after="0" w:line="2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Ocwen; (ii) alternatives to the related person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Committee will periodically monitor any approved transactions to ensure that there are no changed circumstances that would render it advisable for the Company to amend or terminate the transaction.</w:t>
      </w:r>
    </w:p>
    <w:p>
      <w:pPr>
        <w:spacing w:after="0" w:line="19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Mr. Erbey currently serves as Executive Chairman of Ocwen and Chairman of Altisource. As a result, he has obligations to the Company as well as to Altisource. As of December 31, 2011, Mr. Erbey owned or controlled more than 13.68% of Ocwen’s common stock and 23.34% of Altisource’s common stock.</w:t>
      </w:r>
    </w:p>
    <w:p>
      <w:pPr>
        <w:spacing w:after="0" w:line="20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For the year ended December 31, 2011, the Company generated revenues of $12.2 million under our agreements with Altisource principally from fees for providing referral services to Altisource. We also paid expenses of $23 million to Altisource during 2011 principally for technology products and support services including the REAL suite of products that support our servicing business. At December 31, 2011, the net amount payable to Altisource was $1.9 million.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Any proposal which a shareholder desires to have considered for inclusion in our proxy materials relating to our next Annual Meeting of Shareholders, which is currently scheduled to be held on May 8, 2013, must be received at our executive offices no later than December 5, 2012.</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2013 Annual Meeting, we must receive written notice of the proposal or nomination no earlier than December 5, 2012 and no later than January 4, 2013, which notice must meet the requirements set forth in our Bylaws.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-445135</wp:posOffset>
            </wp:positionV>
            <wp:extent cx="285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2013 proxy materials and notices of intent to present a proposal or nomination directly at the our 2013 Annual Meeting should be directed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21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did not receive notice of any shareholder proposals relating to the 2012 Annual Meeting. At the 2012 Annual Meeting, our management may exercise discretionary authority when voting on any properly presented shareholder proposal that is not included as an agenda item in this proxy statement.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5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2011 was mailed on or about April 4, 2012 to shareholders of record as of March 15, 2012.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2011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2011 annual report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(1) for the nominees for Director named earlier in this proxy statement, (2) for the ratification of the selection of the independent auditor and (3) for the approval, on an advisory basis, of the compensation of Ocwen’s named executive officers. Should any matter not described above be properly presented at the meeting, the persons named in the proxy form will vote in accordance with their judgment.</w:t>
      </w:r>
    </w:p>
    <w:p>
      <w:pPr>
        <w:spacing w:after="0" w:line="2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or other nominee may only deliver one (1) copy of this proxy statement and 2011 annual report to multiple shareholders who share an address, unless that nominee has received contrary instructions from one</w:t>
      </w:r>
    </w:p>
    <w:p>
      <w:pPr>
        <w:ind w:right="40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or more of the shareholders. Shareholders at an address to which a single copy of this proxy statement and 2011 annual report was sent may request a separate copy by contacting Shareholder Relations, Ocwen Financial Corporation, 1661 Worthington Road, Suite 100, West Palm Beach, Florida</w:t>
      </w:r>
    </w:p>
    <w:p>
      <w:pPr>
        <w:spacing w:after="0" w:line="1" w:lineRule="exact"/>
        <w:rPr>
          <w:rFonts w:ascii="Arial" w:cs="Arial" w:eastAsia="Arial" w:hAnsi="Arial"/>
          <w:sz w:val="16"/>
          <w:szCs w:val="16"/>
          <w:color w:val="auto"/>
        </w:rPr>
      </w:pPr>
    </w:p>
    <w:p>
      <w:pPr>
        <w:ind w:right="160"/>
        <w:spacing w:after="0" w:line="323" w:lineRule="auto"/>
        <w:rPr>
          <w:rFonts w:ascii="Arial" w:cs="Arial" w:eastAsia="Arial" w:hAnsi="Arial"/>
          <w:sz w:val="16"/>
          <w:szCs w:val="16"/>
          <w:color w:val="auto"/>
        </w:rPr>
      </w:pPr>
      <w:r>
        <w:rPr>
          <w:rFonts w:ascii="Arial" w:cs="Arial" w:eastAsia="Arial" w:hAnsi="Arial"/>
          <w:sz w:val="16"/>
          <w:szCs w:val="16"/>
          <w:color w:val="auto"/>
        </w:rPr>
        <w:t>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This proxy statement and our 2011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if you vote by Internet or by telephone.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80415" cy="831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804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40"/>
        <w:spacing w:after="0" w:line="227" w:lineRule="auto"/>
        <w:rPr>
          <w:sz w:val="20"/>
          <w:szCs w:val="20"/>
          <w:color w:val="auto"/>
        </w:rPr>
      </w:pPr>
      <w:r>
        <w:rPr>
          <w:rFonts w:ascii="Arial" w:cs="Arial" w:eastAsia="Arial" w:hAnsi="Arial"/>
          <w:sz w:val="14"/>
          <w:szCs w:val="14"/>
          <w:b w:val="1"/>
          <w:bCs w:val="1"/>
          <w:i w:val="1"/>
          <w:iCs w:val="1"/>
          <w:color w:val="auto"/>
        </w:rPr>
        <w:t>OCWEN FINANCIAL CORPORATION 1661 WORTHINGTON ROAD SUITE 100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WEST PALM BEACH, FL 33409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ind w:right="1140"/>
        <w:spacing w:after="0" w:line="229" w:lineRule="auto"/>
        <w:rPr>
          <w:sz w:val="20"/>
          <w:szCs w:val="20"/>
          <w:color w:val="auto"/>
        </w:rPr>
      </w:pPr>
      <w:r>
        <w:rPr>
          <w:rFonts w:ascii="Arial" w:cs="Arial" w:eastAsia="Arial" w:hAnsi="Arial"/>
          <w:sz w:val="14"/>
          <w:szCs w:val="14"/>
          <w:color w:val="auto"/>
        </w:rPr>
        <w:t>Use the lnternet to transmit your voting instructions and for electronic delivery of information up until 11:59 P.M. Eastern Time on May 8, 2012. Have your proxy card in hand when you access the web site and follow the instructions to obtain your records and to create an electronic voting instruction form.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108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960"/>
        <w:spacing w:after="0" w:line="271" w:lineRule="auto"/>
        <w:rPr>
          <w:sz w:val="20"/>
          <w:szCs w:val="20"/>
          <w:color w:val="auto"/>
        </w:rPr>
      </w:pPr>
      <w:r>
        <w:rPr>
          <w:rFonts w:ascii="Arial" w:cs="Arial" w:eastAsia="Arial" w:hAnsi="Arial"/>
          <w:sz w:val="13"/>
          <w:szCs w:val="13"/>
          <w:color w:val="auto"/>
        </w:rPr>
        <w:t>Use any touch-tone telephone to transmit your voting instructions up until 11:59 PM, Eastern Time on May 8, 2012. Have your proxy card in hand when you call, and then follow the instructions.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21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860" w:space="720"/>
            <w:col w:w="6840"/>
          </w:cols>
          <w:pgMar w:left="240" w:top="5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rPr>
          <w:sz w:val="20"/>
          <w:szCs w:val="20"/>
          <w:color w:val="auto"/>
        </w:rPr>
      </w:pPr>
      <w:r>
        <w:rPr>
          <w:rFonts w:ascii="Arial" w:cs="Arial" w:eastAsia="Arial" w:hAnsi="Arial"/>
          <w:sz w:val="14"/>
          <w:szCs w:val="14"/>
          <w:color w:val="auto"/>
        </w:rPr>
        <w:t>KEEP THIS PORTION FOR YOUR RECORDS</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51841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518414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 the following:</w:t>
      </w:r>
    </w:p>
    <w:p>
      <w:pPr>
        <w:spacing w:after="0" w:line="191" w:lineRule="exact"/>
        <w:rPr>
          <w:sz w:val="20"/>
          <w:szCs w:val="20"/>
          <w:color w:val="auto"/>
        </w:rPr>
      </w:pPr>
    </w:p>
    <w:p>
      <w:pPr>
        <w:ind w:left="420" w:hanging="331"/>
        <w:spacing w:after="0"/>
        <w:tabs>
          <w:tab w:leader="none" w:pos="420" w:val="left"/>
        </w:tabs>
        <w:numPr>
          <w:ilvl w:val="0"/>
          <w:numId w:val="25"/>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ind w:left="4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01</w:t>
            </w:r>
          </w:p>
        </w:tc>
        <w:tc>
          <w:tcPr>
            <w:tcW w:w="1760" w:type="dxa"/>
            <w:vAlign w:val="bottom"/>
          </w:tcPr>
          <w:p>
            <w:pPr>
              <w:ind w:left="100"/>
              <w:spacing w:after="0"/>
              <w:rPr>
                <w:sz w:val="20"/>
                <w:szCs w:val="20"/>
                <w:color w:val="auto"/>
              </w:rPr>
            </w:pPr>
            <w:r>
              <w:rPr>
                <w:rFonts w:ascii="Arial" w:cs="Arial" w:eastAsia="Arial" w:hAnsi="Arial"/>
                <w:sz w:val="14"/>
                <w:szCs w:val="14"/>
                <w:color w:val="auto"/>
              </w:rPr>
              <w:t>William C. Erbey</w:t>
            </w:r>
          </w:p>
        </w:tc>
        <w:tc>
          <w:tcPr>
            <w:tcW w:w="1940" w:type="dxa"/>
            <w:vAlign w:val="bottom"/>
          </w:tcPr>
          <w:p>
            <w:pPr>
              <w:ind w:left="660"/>
              <w:spacing w:after="0"/>
              <w:rPr>
                <w:sz w:val="20"/>
                <w:szCs w:val="20"/>
                <w:color w:val="auto"/>
              </w:rPr>
            </w:pPr>
            <w:r>
              <w:rPr>
                <w:rFonts w:ascii="Arial" w:cs="Arial" w:eastAsia="Arial" w:hAnsi="Arial"/>
                <w:sz w:val="14"/>
                <w:szCs w:val="14"/>
                <w:color w:val="auto"/>
                <w:w w:val="99"/>
              </w:rPr>
              <w:t>02   Ronald M. Faris</w:t>
            </w:r>
          </w:p>
        </w:tc>
      </w:tr>
      <w:tr>
        <w:trPr>
          <w:trHeight w:val="182"/>
        </w:trPr>
        <w:tc>
          <w:tcPr>
            <w:tcW w:w="240" w:type="dxa"/>
            <w:vAlign w:val="bottom"/>
          </w:tcPr>
          <w:p>
            <w:pPr>
              <w:jc w:val="right"/>
              <w:ind w:right="8"/>
              <w:spacing w:after="0"/>
              <w:rPr>
                <w:sz w:val="20"/>
                <w:szCs w:val="20"/>
                <w:color w:val="auto"/>
              </w:rPr>
            </w:pPr>
            <w:r>
              <w:rPr>
                <w:rFonts w:ascii="Arial" w:cs="Arial" w:eastAsia="Arial" w:hAnsi="Arial"/>
                <w:sz w:val="14"/>
                <w:szCs w:val="14"/>
                <w:color w:val="auto"/>
                <w:w w:val="89"/>
              </w:rPr>
              <w:t>06</w:t>
            </w:r>
          </w:p>
        </w:tc>
        <w:tc>
          <w:tcPr>
            <w:tcW w:w="1760" w:type="dxa"/>
            <w:vAlign w:val="bottom"/>
          </w:tcPr>
          <w:p>
            <w:pPr>
              <w:ind w:left="100"/>
              <w:spacing w:after="0"/>
              <w:rPr>
                <w:sz w:val="20"/>
                <w:szCs w:val="20"/>
                <w:color w:val="auto"/>
              </w:rPr>
            </w:pPr>
            <w:r>
              <w:rPr>
                <w:rFonts w:ascii="Arial" w:cs="Arial" w:eastAsia="Arial" w:hAnsi="Arial"/>
                <w:sz w:val="14"/>
                <w:szCs w:val="14"/>
                <w:color w:val="auto"/>
              </w:rPr>
              <w:t>Barry N. Wish</w:t>
            </w:r>
          </w:p>
        </w:tc>
        <w:tc>
          <w:tcPr>
            <w:tcW w:w="19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For All</w:t>
            </w:r>
          </w:p>
        </w:tc>
        <w:tc>
          <w:tcPr>
            <w:tcW w:w="3840" w:type="dxa"/>
            <w:vAlign w:val="bottom"/>
            <w:gridSpan w:val="2"/>
          </w:tcPr>
          <w:p>
            <w:pPr>
              <w:spacing w:after="0"/>
              <w:rPr>
                <w:sz w:val="20"/>
                <w:szCs w:val="20"/>
                <w:color w:val="auto"/>
              </w:rPr>
            </w:pPr>
            <w:r>
              <w:rPr>
                <w:rFonts w:ascii="Arial" w:cs="Arial" w:eastAsia="Arial" w:hAnsi="Arial"/>
                <w:sz w:val="14"/>
                <w:szCs w:val="14"/>
                <w:color w:val="auto"/>
              </w:rPr>
              <w:t>To withhold authority to vote for any individual</w:t>
            </w:r>
          </w:p>
        </w:tc>
      </w:tr>
      <w:tr>
        <w:trPr>
          <w:trHeight w:val="153"/>
        </w:trPr>
        <w:tc>
          <w:tcPr>
            <w:tcW w:w="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9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1"/>
              </w:rPr>
              <w:t>Except</w:t>
            </w:r>
          </w:p>
        </w:tc>
        <w:tc>
          <w:tcPr>
            <w:tcW w:w="3840" w:type="dxa"/>
            <w:vAlign w:val="bottom"/>
            <w:gridSpan w:val="2"/>
          </w:tcPr>
          <w:p>
            <w:pPr>
              <w:spacing w:after="0" w:line="153" w:lineRule="exact"/>
              <w:rPr>
                <w:sz w:val="20"/>
                <w:szCs w:val="20"/>
                <w:color w:val="auto"/>
              </w:rPr>
            </w:pPr>
            <w:r>
              <w:rPr>
                <w:rFonts w:ascii="Arial" w:cs="Arial" w:eastAsia="Arial" w:hAnsi="Arial"/>
                <w:sz w:val="14"/>
                <w:szCs w:val="14"/>
                <w:color w:val="auto"/>
              </w:rPr>
              <w:t>nominee(s), mark “For All Except” and write</w:t>
            </w:r>
          </w:p>
        </w:tc>
      </w:tr>
      <w:tr>
        <w:trPr>
          <w:trHeight w:val="149"/>
        </w:trPr>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the number(s) of the nominee(s) on the line</w:t>
            </w:r>
          </w:p>
        </w:tc>
      </w:tr>
      <w:tr>
        <w:trPr>
          <w:trHeight w:val="182"/>
        </w:trPr>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below.</w:t>
            </w:r>
          </w:p>
        </w:tc>
        <w:tc>
          <w:tcPr>
            <w:tcW w:w="1580" w:type="dxa"/>
            <w:vAlign w:val="bottom"/>
          </w:tcPr>
          <w:p>
            <w:pPr>
              <w:spacing w:after="0"/>
              <w:rPr>
                <w:sz w:val="15"/>
                <w:szCs w:val="15"/>
                <w:color w:val="auto"/>
              </w:rPr>
            </w:pPr>
          </w:p>
        </w:tc>
      </w:tr>
      <w:tr>
        <w:trPr>
          <w:trHeight w:val="262"/>
        </w:trPr>
        <w:tc>
          <w:tcPr>
            <w:tcW w:w="30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920" w:type="dxa"/>
            <w:vAlign w:val="bottom"/>
          </w:tcPr>
          <w:p>
            <w:pPr>
              <w:jc w:val="center"/>
              <w:spacing w:after="0"/>
              <w:rPr>
                <w:sz w:val="20"/>
                <w:szCs w:val="20"/>
                <w:color w:val="auto"/>
              </w:rPr>
            </w:pPr>
            <w:r>
              <w:rPr>
                <w:rFonts w:ascii="Arial" w:cs="Arial" w:eastAsia="Arial" w:hAnsi="Arial"/>
                <w:sz w:val="22"/>
                <w:szCs w:val="22"/>
                <w:color w:val="auto"/>
                <w:w w:val="81"/>
              </w:rPr>
              <w:t>o</w:t>
            </w:r>
          </w:p>
        </w:tc>
        <w:tc>
          <w:tcPr>
            <w:tcW w:w="920" w:type="dxa"/>
            <w:vAlign w:val="bottom"/>
          </w:tcPr>
          <w:p>
            <w:pPr>
              <w:jc w:val="center"/>
              <w:ind w:right="96"/>
              <w:spacing w:after="0"/>
              <w:rPr>
                <w:sz w:val="20"/>
                <w:szCs w:val="20"/>
                <w:color w:val="auto"/>
              </w:rPr>
            </w:pPr>
            <w:r>
              <w:rPr>
                <w:rFonts w:ascii="Arial" w:cs="Arial" w:eastAsia="Arial" w:hAnsi="Arial"/>
                <w:sz w:val="22"/>
                <w:szCs w:val="22"/>
                <w:color w:val="auto"/>
                <w:w w:val="81"/>
              </w:rPr>
              <w:t>o</w:t>
            </w:r>
          </w:p>
        </w:tc>
        <w:tc>
          <w:tcPr>
            <w:tcW w:w="2260" w:type="dxa"/>
            <w:vAlign w:val="bottom"/>
            <w:tcBorders>
              <w:bottom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825"/>
        </w:trPr>
        <w:tc>
          <w:tcPr>
            <w:tcW w:w="30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color w:val="auto"/>
              </w:rPr>
              <w:t>03   Ronald J. Korn</w:t>
            </w:r>
          </w:p>
        </w:tc>
        <w:tc>
          <w:tcPr>
            <w:tcW w:w="2260" w:type="dxa"/>
            <w:vAlign w:val="bottom"/>
          </w:tcPr>
          <w:p>
            <w:pPr>
              <w:ind w:left="500"/>
              <w:spacing w:after="0"/>
              <w:rPr>
                <w:sz w:val="20"/>
                <w:szCs w:val="20"/>
                <w:color w:val="auto"/>
              </w:rPr>
            </w:pPr>
            <w:r>
              <w:rPr>
                <w:rFonts w:ascii="Arial" w:cs="Arial" w:eastAsia="Arial" w:hAnsi="Arial"/>
                <w:sz w:val="14"/>
                <w:szCs w:val="14"/>
                <w:color w:val="auto"/>
              </w:rPr>
              <w:t>04  William H. Lacy</w:t>
            </w:r>
          </w:p>
        </w:tc>
        <w:tc>
          <w:tcPr>
            <w:tcW w:w="1580" w:type="dxa"/>
            <w:vAlign w:val="bottom"/>
          </w:tcPr>
          <w:p>
            <w:pPr>
              <w:ind w:left="220"/>
              <w:spacing w:after="0"/>
              <w:rPr>
                <w:sz w:val="20"/>
                <w:szCs w:val="20"/>
                <w:color w:val="auto"/>
              </w:rPr>
            </w:pPr>
            <w:r>
              <w:rPr>
                <w:rFonts w:ascii="Arial" w:cs="Arial" w:eastAsia="Arial" w:hAnsi="Arial"/>
                <w:sz w:val="14"/>
                <w:szCs w:val="14"/>
                <w:color w:val="auto"/>
                <w:w w:val="98"/>
              </w:rPr>
              <w:t>05   Robert A. Salcetti</w:t>
            </w:r>
          </w:p>
        </w:tc>
      </w:tr>
    </w:tbl>
    <w:p>
      <w:pPr>
        <w:spacing w:after="0" w:line="348" w:lineRule="exact"/>
        <w:rPr>
          <w:sz w:val="20"/>
          <w:szCs w:val="20"/>
          <w:color w:val="auto"/>
        </w:rPr>
      </w:pPr>
    </w:p>
    <w:p>
      <w:pPr>
        <w:sectPr>
          <w:pgSz w:w="11900" w:h="16838" w:orient="portrait"/>
          <w:cols w:equalWidth="0" w:num="2">
            <w:col w:w="4020" w:space="420"/>
            <w:col w:w="6980"/>
          </w:cols>
          <w:pgMar w:left="240" w:top="508" w:right="239" w:bottom="1440" w:gutter="0" w:footer="0" w:header="0"/>
          <w:type w:val="continuous"/>
        </w:sectPr>
      </w:pPr>
    </w:p>
    <w:p>
      <w:pPr>
        <w:spacing w:after="0" w:line="7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40" w:lineRule="exact"/>
        <w:rPr>
          <w:sz w:val="20"/>
          <w:szCs w:val="20"/>
          <w:color w:val="auto"/>
        </w:rPr>
      </w:pPr>
    </w:p>
    <w:p>
      <w:pPr>
        <w:ind w:left="420" w:hanging="331"/>
        <w:spacing w:after="0" w:line="253" w:lineRule="auto"/>
        <w:tabs>
          <w:tab w:leader="none" w:pos="420"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Deloitte &amp; Touche LLP as our independent registered public accounting firm for the fiscal year ending December 31, 2012</w:t>
      </w:r>
    </w:p>
    <w:p>
      <w:pPr>
        <w:spacing w:after="0" w:line="106" w:lineRule="exact"/>
        <w:rPr>
          <w:rFonts w:ascii="Arial" w:cs="Arial" w:eastAsia="Arial" w:hAnsi="Arial"/>
          <w:sz w:val="14"/>
          <w:szCs w:val="14"/>
          <w:b w:val="1"/>
          <w:bCs w:val="1"/>
          <w:color w:val="auto"/>
        </w:rPr>
      </w:pPr>
    </w:p>
    <w:p>
      <w:pPr>
        <w:ind w:left="420" w:hanging="331"/>
        <w:spacing w:after="0"/>
        <w:tabs>
          <w:tab w:leader="none" w:pos="420" w:val="left"/>
        </w:tabs>
        <w:numPr>
          <w:ilvl w:val="0"/>
          <w:numId w:val="26"/>
        </w:numPr>
        <w:rPr>
          <w:rFonts w:ascii="Arial" w:cs="Arial" w:eastAsia="Arial" w:hAnsi="Arial"/>
          <w:sz w:val="14"/>
          <w:szCs w:val="14"/>
          <w:b w:val="1"/>
          <w:bCs w:val="1"/>
          <w:color w:val="auto"/>
        </w:rPr>
      </w:pPr>
      <w:r>
        <w:rPr>
          <w:rFonts w:ascii="Arial" w:cs="Arial" w:eastAsia="Arial" w:hAnsi="Arial"/>
          <w:sz w:val="14"/>
          <w:szCs w:val="14"/>
          <w:color w:val="auto"/>
        </w:rPr>
        <w:t>An advisory vote to approve executive compensation</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820" w:val="left"/>
          <w:tab w:leader="none" w:pos="18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137" w:lineRule="exact"/>
        <w:rPr>
          <w:sz w:val="20"/>
          <w:szCs w:val="20"/>
          <w:color w:val="auto"/>
        </w:rPr>
      </w:pPr>
    </w:p>
    <w:p>
      <w:pPr>
        <w:ind w:left="60"/>
        <w:spacing w:after="0"/>
        <w:tabs>
          <w:tab w:leader="none" w:pos="1000" w:val="left"/>
          <w:tab w:leader="none" w:pos="19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193" w:lineRule="exact"/>
        <w:rPr>
          <w:sz w:val="20"/>
          <w:szCs w:val="20"/>
          <w:color w:val="auto"/>
        </w:rPr>
      </w:pPr>
    </w:p>
    <w:p>
      <w:pPr>
        <w:ind w:left="60"/>
        <w:spacing w:after="0"/>
        <w:tabs>
          <w:tab w:leader="none" w:pos="1000" w:val="left"/>
          <w:tab w:leader="none" w:pos="19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22"/>
          <w:szCs w:val="22"/>
          <w:color w:val="auto"/>
        </w:rPr>
        <w:t>o</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ectPr>
          <w:pgSz w:w="11900" w:h="16838" w:orient="portrait"/>
          <w:cols w:equalWidth="0" w:num="2">
            <w:col w:w="7780" w:space="680"/>
            <w:col w:w="2960"/>
          </w:cols>
          <w:pgMar w:left="240" w:top="508" w:right="239" w:bottom="1440" w:gutter="0" w:footer="0" w:header="0"/>
          <w:type w:val="continuous"/>
        </w:sectPr>
      </w:pPr>
    </w:p>
    <w:p>
      <w:pPr>
        <w:spacing w:after="0" w:line="3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218"/>
        </w:trPr>
        <w:tc>
          <w:tcPr>
            <w:tcW w:w="3580" w:type="dxa"/>
            <w:vAlign w:val="bottom"/>
          </w:tcPr>
          <w:p>
            <w:pPr>
              <w:spacing w:after="0"/>
              <w:rPr>
                <w:sz w:val="20"/>
                <w:szCs w:val="20"/>
                <w:color w:val="auto"/>
              </w:rPr>
            </w:pPr>
            <w:r>
              <w:rPr>
                <w:rFonts w:ascii="Arial" w:cs="Arial" w:eastAsia="Arial" w:hAnsi="Arial"/>
                <w:sz w:val="14"/>
                <w:szCs w:val="14"/>
                <w:color w:val="auto"/>
              </w:rPr>
              <w:t>For address change/comments, mark here.</w:t>
            </w:r>
          </w:p>
        </w:tc>
        <w:tc>
          <w:tcPr>
            <w:tcW w:w="1200" w:type="dxa"/>
            <w:vAlign w:val="bottom"/>
            <w:vMerge w:val="restart"/>
          </w:tcPr>
          <w:p>
            <w:pPr>
              <w:jc w:val="center"/>
              <w:ind w:left="430"/>
              <w:spacing w:after="0"/>
              <w:rPr>
                <w:sz w:val="20"/>
                <w:szCs w:val="20"/>
                <w:color w:val="auto"/>
              </w:rPr>
            </w:pPr>
            <w:r>
              <w:rPr>
                <w:rFonts w:ascii="Arial" w:cs="Arial" w:eastAsia="Arial" w:hAnsi="Arial"/>
                <w:sz w:val="14"/>
                <w:szCs w:val="14"/>
                <w:b w:val="1"/>
                <w:bCs w:val="1"/>
                <w:color w:val="auto"/>
                <w:w w:val="80"/>
              </w:rPr>
              <w:t>Yes</w:t>
            </w:r>
          </w:p>
        </w:tc>
        <w:tc>
          <w:tcPr>
            <w:tcW w:w="76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6"/>
              </w:rPr>
              <w:t>No</w:t>
            </w:r>
          </w:p>
        </w:tc>
        <w:tc>
          <w:tcPr>
            <w:tcW w:w="440" w:type="dxa"/>
            <w:vAlign w:val="bottom"/>
          </w:tcPr>
          <w:p>
            <w:pPr>
              <w:ind w:left="340"/>
              <w:spacing w:after="0"/>
              <w:rPr>
                <w:sz w:val="20"/>
                <w:szCs w:val="20"/>
                <w:color w:val="auto"/>
              </w:rPr>
            </w:pPr>
            <w:r>
              <w:rPr>
                <w:rFonts w:ascii="Arial" w:cs="Arial" w:eastAsia="Arial" w:hAnsi="Arial"/>
                <w:sz w:val="19"/>
                <w:szCs w:val="19"/>
                <w:color w:val="auto"/>
                <w:w w:val="75"/>
              </w:rPr>
              <w:t>o</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20"/>
                <w:szCs w:val="20"/>
                <w:color w:val="auto"/>
              </w:rPr>
            </w:pPr>
            <w:r>
              <w:rPr>
                <w:rFonts w:ascii="Arial" w:cs="Arial" w:eastAsia="Arial" w:hAnsi="Arial"/>
                <w:sz w:val="14"/>
                <w:szCs w:val="14"/>
                <w:color w:val="auto"/>
              </w:rPr>
              <w:t>(see reverse for instructions)</w:t>
            </w:r>
          </w:p>
        </w:tc>
        <w:tc>
          <w:tcPr>
            <w:tcW w:w="12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358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1200" w:type="dxa"/>
            <w:vAlign w:val="bottom"/>
          </w:tcPr>
          <w:p>
            <w:pPr>
              <w:jc w:val="center"/>
              <w:ind w:left="450"/>
              <w:spacing w:after="0"/>
              <w:rPr>
                <w:sz w:val="20"/>
                <w:szCs w:val="20"/>
                <w:color w:val="auto"/>
              </w:rPr>
            </w:pPr>
            <w:r>
              <w:rPr>
                <w:rFonts w:ascii="Arial" w:cs="Arial" w:eastAsia="Arial" w:hAnsi="Arial"/>
                <w:sz w:val="22"/>
                <w:szCs w:val="22"/>
                <w:color w:val="auto"/>
                <w:w w:val="81"/>
              </w:rPr>
              <w:t>o</w:t>
            </w:r>
          </w:p>
        </w:tc>
        <w:tc>
          <w:tcPr>
            <w:tcW w:w="760" w:type="dxa"/>
            <w:vAlign w:val="bottom"/>
          </w:tcPr>
          <w:p>
            <w:pPr>
              <w:jc w:val="center"/>
              <w:ind w:right="10"/>
              <w:spacing w:after="0"/>
              <w:rPr>
                <w:sz w:val="20"/>
                <w:szCs w:val="20"/>
                <w:color w:val="auto"/>
              </w:rPr>
            </w:pPr>
            <w:r>
              <w:rPr>
                <w:rFonts w:ascii="Arial" w:cs="Arial" w:eastAsia="Arial" w:hAnsi="Arial"/>
                <w:sz w:val="22"/>
                <w:szCs w:val="22"/>
                <w:color w:val="auto"/>
                <w:w w:val="81"/>
              </w:rPr>
              <w:t>o</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80"/>
        <w:spacing w:after="0"/>
        <w:rPr>
          <w:sz w:val="20"/>
          <w:szCs w:val="20"/>
          <w:color w:val="auto"/>
        </w:rPr>
      </w:pPr>
      <w:r>
        <w:rPr>
          <w:rFonts w:ascii="Arial" w:cs="Arial" w:eastAsia="Arial" w:hAnsi="Arial"/>
          <w:sz w:val="14"/>
          <w:szCs w:val="14"/>
          <w:color w:val="auto"/>
        </w:rPr>
        <w:t>Please sign exactly as your name(s) appear(s) on this proxy. When signing as attorney,</w:t>
      </w:r>
    </w:p>
    <w:p>
      <w:pPr>
        <w:ind w:left="80"/>
        <w:spacing w:after="0" w:line="221" w:lineRule="auto"/>
        <w:rPr>
          <w:sz w:val="20"/>
          <w:szCs w:val="20"/>
          <w:color w:val="auto"/>
        </w:rPr>
      </w:pPr>
      <w:r>
        <w:rPr>
          <w:rFonts w:ascii="Arial" w:cs="Arial" w:eastAsia="Arial" w:hAnsi="Arial"/>
          <w:sz w:val="14"/>
          <w:szCs w:val="14"/>
          <w:color w:val="auto"/>
        </w:rPr>
        <w:t>executor, administrator, or other fiduciary, please give full title as such. Joint owners should</w:t>
      </w:r>
    </w:p>
    <w:p>
      <w:pPr>
        <w:ind w:left="80"/>
        <w:spacing w:after="0" w:line="221" w:lineRule="auto"/>
        <w:rPr>
          <w:sz w:val="20"/>
          <w:szCs w:val="20"/>
          <w:color w:val="auto"/>
        </w:rPr>
      </w:pPr>
      <w:r>
        <w:rPr>
          <w:rFonts w:ascii="Arial" w:cs="Arial" w:eastAsia="Arial" w:hAnsi="Arial"/>
          <w:sz w:val="14"/>
          <w:szCs w:val="14"/>
          <w:color w:val="auto"/>
        </w:rPr>
        <w:t>each sign personally. All holders must sign. If a corporation or partnership, please sign in full</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or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
        <w:spacing w:after="0"/>
        <w:tabs>
          <w:tab w:leader="none" w:pos="3900" w:val="left"/>
          <w:tab w:leader="none" w:pos="5980" w:val="left"/>
          <w:tab w:leader="none" w:pos="98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525145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type w:val="continuous"/>
        </w:sectPr>
      </w:pPr>
    </w:p>
    <w:bookmarkStart w:id="41" w:name="page42"/>
    <w:bookmarkEnd w:id="41"/>
    <w:p>
      <w:pPr>
        <w:ind w:left="4140"/>
        <w:spacing w:after="0"/>
        <w:rPr>
          <w:sz w:val="20"/>
          <w:szCs w:val="20"/>
          <w:color w:val="auto"/>
        </w:rPr>
      </w:pPr>
      <w:r>
        <w:rPr>
          <w:rFonts w:ascii="Arial" w:cs="Arial" w:eastAsia="Arial" w:hAnsi="Arial"/>
          <w:sz w:val="18"/>
          <w:szCs w:val="18"/>
          <w:b w:val="1"/>
          <w:bCs w:val="1"/>
          <w:color w:val="auto"/>
        </w:rPr>
        <w:t>OCWEN FINANCIAL CORPORATION</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2002 Summit Boulevard,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Atlanta, GA 30319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9, 2012, AND AT ANY ADJOURNMENT THEREOF.</w:t>
      </w:r>
    </w:p>
    <w:p>
      <w:pPr>
        <w:spacing w:after="0" w:line="211" w:lineRule="exact"/>
        <w:rPr>
          <w:sz w:val="20"/>
          <w:szCs w:val="20"/>
          <w:color w:val="auto"/>
        </w:rPr>
      </w:pPr>
    </w:p>
    <w:p>
      <w:pPr>
        <w:jc w:val="center"/>
        <w:ind w:left="260"/>
        <w:spacing w:after="0" w:line="259" w:lineRule="auto"/>
        <w:rPr>
          <w:sz w:val="20"/>
          <w:szCs w:val="20"/>
          <w:color w:val="auto"/>
        </w:rPr>
      </w:pPr>
      <w:r>
        <w:rPr>
          <w:rFonts w:ascii="Arial" w:cs="Arial" w:eastAsia="Arial" w:hAnsi="Arial"/>
          <w:sz w:val="18"/>
          <w:szCs w:val="18"/>
          <w:color w:val="auto"/>
        </w:rPr>
        <w:t>The shares represented by this proxy, when properly executed, will be voted in the manner directed herein by the undersigned Stockholder(s), If no direction is made, this proxy will be voted FOR the ratification of the appointment of Deloitte &amp; Touche LLP as independent registered certified public accounting firm and FOR an advisory vote to approve executive compensation. If any other matters properly come before the meeting, or if cumulative voting is required. the person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NPS + 10k combo is/are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3717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71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OCWEN FINANCIAL CORPORATION</w:t>
      </w:r>
    </w:p>
    <w:p>
      <w:pPr>
        <w:jc w:val="center"/>
        <w:spacing w:after="0" w:line="226" w:lineRule="auto"/>
        <w:rPr>
          <w:sz w:val="20"/>
          <w:szCs w:val="20"/>
          <w:color w:val="auto"/>
        </w:rPr>
      </w:pPr>
      <w:r>
        <w:rPr>
          <w:rFonts w:ascii="Arial" w:cs="Arial" w:eastAsia="Arial" w:hAnsi="Arial"/>
          <w:sz w:val="14"/>
          <w:szCs w:val="14"/>
          <w:b w:val="1"/>
          <w:bCs w:val="1"/>
          <w:color w:val="auto"/>
        </w:rPr>
        <w:t>REVOCABLE PROXY</w:t>
      </w:r>
    </w:p>
    <w:p>
      <w:pPr>
        <w:jc w:val="center"/>
        <w:spacing w:after="0" w:line="222" w:lineRule="auto"/>
        <w:rPr>
          <w:sz w:val="20"/>
          <w:szCs w:val="20"/>
          <w:color w:val="auto"/>
        </w:rPr>
      </w:pPr>
      <w:r>
        <w:rPr>
          <w:rFonts w:ascii="Arial" w:cs="Arial" w:eastAsia="Arial" w:hAnsi="Arial"/>
          <w:sz w:val="14"/>
          <w:szCs w:val="14"/>
          <w:b w:val="1"/>
          <w:bCs w:val="1"/>
          <w:color w:val="auto"/>
        </w:rPr>
        <w:t>THIS PROXY IS BEING SOLICITED ON BEHALF OF THE BOARD OF DIRECTORS</w:t>
      </w:r>
    </w:p>
    <w:p>
      <w:pPr>
        <w:jc w:val="center"/>
        <w:spacing w:after="0"/>
        <w:rPr>
          <w:sz w:val="20"/>
          <w:szCs w:val="20"/>
          <w:color w:val="auto"/>
        </w:rPr>
      </w:pPr>
      <w:r>
        <w:rPr>
          <w:rFonts w:ascii="Arial" w:cs="Arial" w:eastAsia="Arial" w:hAnsi="Arial"/>
          <w:sz w:val="14"/>
          <w:szCs w:val="14"/>
          <w:b w:val="1"/>
          <w:bCs w:val="1"/>
          <w:color w:val="auto"/>
        </w:rPr>
        <w:t>FOR USE ONLY AT THE ANNUAL MEETING OF SHAREHOLDERS AND AT ANY ADJOURNMENT THEREOF.</w:t>
      </w:r>
    </w:p>
    <w:p>
      <w:pPr>
        <w:spacing w:after="0" w:line="124" w:lineRule="exact"/>
        <w:rPr>
          <w:sz w:val="20"/>
          <w:szCs w:val="20"/>
          <w:color w:val="auto"/>
        </w:rPr>
      </w:pPr>
    </w:p>
    <w:p>
      <w:pPr>
        <w:ind w:left="420" w:right="580"/>
        <w:spacing w:after="0" w:line="234" w:lineRule="auto"/>
        <w:rPr>
          <w:sz w:val="20"/>
          <w:szCs w:val="20"/>
          <w:color w:val="auto"/>
        </w:rPr>
      </w:pPr>
      <w:r>
        <w:rPr>
          <w:rFonts w:ascii="Arial" w:cs="Arial" w:eastAsia="Arial" w:hAnsi="Arial"/>
          <w:sz w:val="14"/>
          <w:szCs w:val="14"/>
          <w:color w:val="auto"/>
        </w:rPr>
        <w:t>The undersigned hereby appoints William C. Erbey, Ronald M. Faris, Paul A. Koches, or any of them, as proxy, with full powers of substitution, and hereby authorizes them to represent and vote, as designated on the reverse side, all the shares of Common Stock of Ocwen Financial Corporation (the "Company") held of record by the undersigned on March 15, 2012, at the Annual Meeting of Shareholders to be held at the offices of the Company located at 2002 Summit Boulevard, 6th Floor, Atlanta, GA 30319 on Wednesday, May 9, 2012, at 9:00 a.m., Eastern Daylight Time and at any adjournment thereof.</w:t>
      </w:r>
    </w:p>
    <w:p>
      <w:pPr>
        <w:spacing w:after="0" w:line="111" w:lineRule="exact"/>
        <w:rPr>
          <w:sz w:val="20"/>
          <w:szCs w:val="20"/>
          <w:color w:val="auto"/>
        </w:rPr>
      </w:pPr>
    </w:p>
    <w:p>
      <w:pPr>
        <w:ind w:left="420" w:right="520"/>
        <w:spacing w:after="0" w:line="251" w:lineRule="auto"/>
        <w:rPr>
          <w:sz w:val="20"/>
          <w:szCs w:val="20"/>
          <w:color w:val="auto"/>
        </w:rPr>
      </w:pPr>
      <w:r>
        <w:rPr>
          <w:rFonts w:ascii="Arial" w:cs="Arial" w:eastAsia="Arial" w:hAnsi="Arial"/>
          <w:sz w:val="13"/>
          <w:szCs w:val="13"/>
          <w:color w:val="auto"/>
        </w:rPr>
        <w:t xml:space="preserve">Shares of Common Stock of the Company will be voted as specified. </w:t>
      </w:r>
      <w:r>
        <w:rPr>
          <w:rFonts w:ascii="Arial" w:cs="Arial" w:eastAsia="Arial" w:hAnsi="Arial"/>
          <w:sz w:val="13"/>
          <w:szCs w:val="13"/>
          <w:b w:val="1"/>
          <w:bCs w:val="1"/>
          <w:color w:val="auto"/>
        </w:rPr>
        <w:t>If you execute and return this proxy without specific voting instructions, this proxy will be voted FOR the</w:t>
      </w:r>
      <w:r>
        <w:rPr>
          <w:rFonts w:ascii="Arial" w:cs="Arial" w:eastAsia="Arial" w:hAnsi="Arial"/>
          <w:sz w:val="13"/>
          <w:szCs w:val="13"/>
          <w:color w:val="auto"/>
        </w:rPr>
        <w:t xml:space="preserve"> </w:t>
      </w:r>
      <w:r>
        <w:rPr>
          <w:rFonts w:ascii="Arial" w:cs="Arial" w:eastAsia="Arial" w:hAnsi="Arial"/>
          <w:sz w:val="13"/>
          <w:szCs w:val="13"/>
          <w:b w:val="1"/>
          <w:bCs w:val="1"/>
          <w:color w:val="auto"/>
        </w:rPr>
        <w:t>election of each of the Board of Directors' nominees to the Board of Directors and FOR the ratification of the appointment of Deloitte &amp; Touche LLP as</w:t>
      </w:r>
    </w:p>
    <w:p>
      <w:pPr>
        <w:ind w:left="420" w:right="460"/>
        <w:spacing w:after="0" w:line="237" w:lineRule="auto"/>
        <w:rPr>
          <w:sz w:val="20"/>
          <w:szCs w:val="20"/>
          <w:color w:val="auto"/>
        </w:rPr>
      </w:pPr>
      <w:r>
        <w:rPr>
          <w:rFonts w:ascii="Arial" w:cs="Arial" w:eastAsia="Arial" w:hAnsi="Arial"/>
          <w:sz w:val="14"/>
          <w:szCs w:val="14"/>
          <w:b w:val="1"/>
          <w:bCs w:val="1"/>
          <w:color w:val="auto"/>
        </w:rPr>
        <w:t xml:space="preserve">independent registered certified public accounting firm and FOR an advisory vote to approve executive compensation. </w:t>
      </w:r>
      <w:r>
        <w:rPr>
          <w:rFonts w:ascii="Arial" w:cs="Arial" w:eastAsia="Arial" w:hAnsi="Arial"/>
          <w:sz w:val="14"/>
          <w:szCs w:val="14"/>
          <w:color w:val="auto"/>
        </w:rPr>
        <w:t>You may revoke this proxy at any time prior to the time</w:t>
      </w:r>
      <w:r>
        <w:rPr>
          <w:rFonts w:ascii="Arial" w:cs="Arial" w:eastAsia="Arial" w:hAnsi="Arial"/>
          <w:sz w:val="14"/>
          <w:szCs w:val="14"/>
          <w:b w:val="1"/>
          <w:bCs w:val="1"/>
          <w:color w:val="auto"/>
        </w:rPr>
        <w:t xml:space="preserve"> </w:t>
      </w:r>
      <w:r>
        <w:rPr>
          <w:rFonts w:ascii="Arial" w:cs="Arial" w:eastAsia="Arial" w:hAnsi="Arial"/>
          <w:sz w:val="14"/>
          <w:szCs w:val="14"/>
          <w:color w:val="auto"/>
        </w:rPr>
        <w:t>it is voted at the Annual Meeting.</w:t>
      </w:r>
    </w:p>
    <w:p>
      <w:pPr>
        <w:spacing w:after="0" w:line="116" w:lineRule="exact"/>
        <w:rPr>
          <w:sz w:val="20"/>
          <w:szCs w:val="20"/>
          <w:color w:val="auto"/>
        </w:rPr>
      </w:pPr>
    </w:p>
    <w:p>
      <w:pPr>
        <w:ind w:left="420" w:right="820"/>
        <w:spacing w:after="0" w:line="253" w:lineRule="auto"/>
        <w:rPr>
          <w:sz w:val="20"/>
          <w:szCs w:val="20"/>
          <w:color w:val="auto"/>
        </w:rPr>
      </w:pPr>
      <w:r>
        <w:rPr>
          <w:rFonts w:ascii="Arial" w:cs="Arial" w:eastAsia="Arial" w:hAnsi="Arial"/>
          <w:sz w:val="14"/>
          <w:szCs w:val="14"/>
          <w:color w:val="auto"/>
        </w:rPr>
        <w:t>The undersigned hereby acknowledges receipt of the Notice of Annual Meeting of Shareholders of Ocwen Financial Corporation to be held on May 9, 2012, or any adjournment thereof, a Proxy Statement for the Annual Meeting and the 2012 Annual Report to Shareholders of the Company prior to the signing of this proxy.</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907415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lvl>
    <w:lvl w:ilvl="1">
      <w:lvlJc w:val="left"/>
      <w:lvlText w:val="o"/>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lvl w:ilvl="1">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lvl w:ilvl="1">
      <w:lvlJc w:val="left"/>
      <w:lvlText w:val="-"/>
      <w:numFmt w:val="bullet"/>
      <w:start w:val="1"/>
    </w:lvl>
  </w:abstractNum>
  <w:abstractNum w:abstractNumId="13">
    <w:nsid w:val="62BBD95A"/>
    <w:multiLevelType w:val="hybridMultilevel"/>
    <w:lvl w:ilvl="0">
      <w:lvlJc w:val="left"/>
      <w:lvlText w:val="(%1)"/>
      <w:numFmt w:val="decimal"/>
      <w:start w:val="4"/>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lvl w:ilvl="1">
      <w:lvlJc w:val="left"/>
      <w:lvlText w:val="-"/>
      <w:numFmt w:val="bullet"/>
      <w:start w:val="1"/>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decimal"/>
      <w:start w:val="1"/>
    </w:lvl>
    <w:lvl w:ilvl="1">
      <w:lvlJc w:val="left"/>
      <w:lvlText w:val="-"/>
      <w:numFmt w:val="bullet"/>
      <w:start w:val="1"/>
    </w:lvl>
  </w:abstractNum>
  <w:abstractNum w:abstractNumId="21">
    <w:nsid w:val="75A2A8D4"/>
    <w:multiLevelType w:val="hybridMultilevel"/>
    <w:lvl w:ilvl="0">
      <w:lvlJc w:val="left"/>
      <w:lvlText w:val="(%1)"/>
      <w:numFmt w:val="decimal"/>
      <w:start w:val="1"/>
    </w:lvl>
    <w:lvl w:ilvl="1">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2019-12-09T10:29:05Z</dcterms:created>
  <dcterms:modified xsi:type="dcterms:W3CDTF">2019-12-09T10:29:05Z</dcterms:modified>
</cp:coreProperties>
</file>