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341" w:lineRule="exact"/>
        <w:rPr>
          <w:sz w:val="24"/>
          <w:szCs w:val="24"/>
          <w:color w:val="auto"/>
        </w:rPr>
      </w:pPr>
    </w:p>
    <w:p>
      <w:pPr>
        <w:ind w:left="440" w:right="32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87" w:orient="portrait"/>
          <w:cols w:equalWidth="0" w:num="1">
            <w:col w:w="10239"/>
          </w:cols>
          <w:pgMar w:left="220" w:top="399" w:right="1440" w:bottom="0" w:gutter="0" w:footer="0" w:header="0"/>
        </w:sectPr>
      </w:pPr>
    </w:p>
    <w:p>
      <w:pPr>
        <w:ind w:left="800"/>
        <w:spacing w:after="0"/>
        <w:tabs>
          <w:tab w:leader="none" w:pos="516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2"/>
          <w:szCs w:val="12"/>
          <w:color w:val="auto"/>
        </w:rPr>
        <w:t>to</w:t>
      </w:r>
    </w:p>
    <w:p>
      <w:pPr>
        <w:sectPr>
          <w:pgSz w:w="11900" w:h="16887" w:orient="portrait"/>
          <w:cols w:equalWidth="0" w:num="1">
            <w:col w:w="10239"/>
          </w:cols>
          <w:pgMar w:left="220" w:top="399" w:right="1440" w:bottom="0" w:gutter="0" w:footer="0" w:header="0"/>
          <w:type w:val="continuous"/>
        </w:sectPr>
      </w:pP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87" w:orient="portrait"/>
          <w:cols w:equalWidth="0" w:num="2">
            <w:col w:w="5080" w:space="360"/>
            <w:col w:w="4799"/>
          </w:cols>
          <w:pgMar w:left="220" w:top="399" w:right="1440" w:bottom="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Commission File No. 0-21341</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OCWEN FINANCIAL CORPORATION</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398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5"/>
              </w:rPr>
              <w:t>FLORIDA</w:t>
            </w:r>
          </w:p>
        </w:tc>
        <w:tc>
          <w:tcPr>
            <w:tcW w:w="274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5"/>
              </w:rPr>
              <w:t>65-0039856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tcPr>
          <w:p>
            <w:pPr>
              <w:jc w:val="center"/>
              <w:ind w:left="4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tcPr>
          <w:p>
            <w:pPr>
              <w:jc w:val="center"/>
              <w:ind w:right="867"/>
              <w:spacing w:after="0" w:line="168" w:lineRule="exact"/>
              <w:rPr>
                <w:sz w:val="20"/>
                <w:szCs w:val="20"/>
                <w:color w:val="auto"/>
              </w:rPr>
            </w:pPr>
            <w:r>
              <w:rPr>
                <w:rFonts w:ascii="Courier New" w:cs="Courier New" w:eastAsia="Courier New" w:hAnsi="Courier New"/>
                <w:sz w:val="15"/>
                <w:szCs w:val="15"/>
                <w:color w:val="auto"/>
                <w:w w:val="97"/>
              </w:rPr>
              <w:t>(State or other jurisdiction of</w:t>
            </w:r>
          </w:p>
        </w:tc>
        <w:tc>
          <w:tcPr>
            <w:tcW w:w="27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5"/>
              </w:rPr>
              <w:t>(I.R.S. Employer</w:t>
            </w:r>
          </w:p>
        </w:tc>
      </w:tr>
      <w:tr>
        <w:trPr>
          <w:trHeight w:val="168"/>
        </w:trPr>
        <w:tc>
          <w:tcPr>
            <w:tcW w:w="3980" w:type="dxa"/>
            <w:vAlign w:val="bottom"/>
          </w:tcPr>
          <w:p>
            <w:pPr>
              <w:jc w:val="center"/>
              <w:ind w:right="94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7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3980" w:type="dxa"/>
            <w:vAlign w:val="bottom"/>
          </w:tcPr>
          <w:p>
            <w:pPr>
              <w:jc w:val="center"/>
              <w:ind w:right="867"/>
              <w:spacing w:after="0"/>
              <w:rPr>
                <w:sz w:val="20"/>
                <w:szCs w:val="20"/>
                <w:color w:val="auto"/>
              </w:rPr>
            </w:pPr>
            <w:r>
              <w:rPr>
                <w:rFonts w:ascii="Courier New" w:cs="Courier New" w:eastAsia="Courier New" w:hAnsi="Courier New"/>
                <w:sz w:val="15"/>
                <w:szCs w:val="15"/>
                <w:color w:val="auto"/>
                <w:w w:val="97"/>
              </w:rPr>
              <w:t>THE FORUM, SUITE 1000</w:t>
            </w:r>
          </w:p>
        </w:tc>
        <w:tc>
          <w:tcPr>
            <w:tcW w:w="2740" w:type="dxa"/>
            <w:vAlign w:val="bottom"/>
          </w:tcPr>
          <w:p>
            <w:pPr>
              <w:spacing w:after="0"/>
              <w:rPr>
                <w:sz w:val="24"/>
                <w:szCs w:val="24"/>
                <w:color w:val="auto"/>
              </w:rPr>
            </w:pPr>
          </w:p>
        </w:tc>
      </w:tr>
      <w:tr>
        <w:trPr>
          <w:trHeight w:val="168"/>
        </w:trPr>
        <w:tc>
          <w:tcPr>
            <w:tcW w:w="3980" w:type="dxa"/>
            <w:vAlign w:val="bottom"/>
          </w:tcPr>
          <w:p>
            <w:pPr>
              <w:jc w:val="center"/>
              <w:ind w:right="867"/>
              <w:spacing w:after="0" w:line="168" w:lineRule="exact"/>
              <w:rPr>
                <w:sz w:val="20"/>
                <w:szCs w:val="20"/>
                <w:color w:val="auto"/>
              </w:rPr>
            </w:pPr>
            <w:r>
              <w:rPr>
                <w:rFonts w:ascii="Courier New" w:cs="Courier New" w:eastAsia="Courier New" w:hAnsi="Courier New"/>
                <w:sz w:val="15"/>
                <w:szCs w:val="15"/>
                <w:color w:val="auto"/>
                <w:w w:val="97"/>
              </w:rPr>
              <w:t>1675 PALM BEACH LAKES BOULEVARD</w:t>
            </w:r>
          </w:p>
        </w:tc>
        <w:tc>
          <w:tcPr>
            <w:tcW w:w="2740" w:type="dxa"/>
            <w:vAlign w:val="bottom"/>
          </w:tcPr>
          <w:p>
            <w:pPr>
              <w:spacing w:after="0"/>
              <w:rPr>
                <w:sz w:val="14"/>
                <w:szCs w:val="14"/>
                <w:color w:val="auto"/>
              </w:rPr>
            </w:pPr>
          </w:p>
        </w:tc>
      </w:tr>
      <w:tr>
        <w:trPr>
          <w:trHeight w:val="168"/>
        </w:trPr>
        <w:tc>
          <w:tcPr>
            <w:tcW w:w="39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WEST PALM BEACH, FLORIDA</w:t>
            </w:r>
          </w:p>
        </w:tc>
        <w:tc>
          <w:tcPr>
            <w:tcW w:w="274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7"/>
              </w:rPr>
              <w:t>33401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tcPr>
          <w:p>
            <w:pPr>
              <w:jc w:val="center"/>
              <w:ind w:left="4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w:t>
            </w:r>
          </w:p>
        </w:tc>
        <w:tc>
          <w:tcPr>
            <w:tcW w:w="27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5"/>
              </w:rPr>
              <w:t>(Zip Code)</w:t>
            </w:r>
          </w:p>
        </w:tc>
      </w:tr>
    </w:tbl>
    <w:p>
      <w:pPr>
        <w:spacing w:after="0" w:line="166" w:lineRule="exact"/>
        <w:rPr>
          <w:sz w:val="24"/>
          <w:szCs w:val="24"/>
          <w:color w:val="auto"/>
        </w:rPr>
      </w:pPr>
    </w:p>
    <w:p>
      <w:pPr>
        <w:ind w:left="3420" w:hanging="524"/>
        <w:spacing w:after="0"/>
        <w:tabs>
          <w:tab w:leader="none" w:pos="34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681-8000</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5"/>
          <w:szCs w:val="15"/>
          <w:color w:val="auto"/>
        </w:rPr>
      </w:pP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 Not applicable.</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 (g) of the Act:</w:t>
      </w:r>
    </w:p>
    <w:p>
      <w:pPr>
        <w:sectPr>
          <w:pgSz w:w="11900" w:h="16887" w:orient="portrait"/>
          <w:cols w:equalWidth="0" w:num="1">
            <w:col w:w="10239"/>
          </w:cols>
          <w:pgMar w:left="220" w:top="399" w:right="1440" w:bottom="0" w:gutter="0" w:footer="0" w:header="0"/>
          <w:type w:val="continuous"/>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$.01 PAR VALUE</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NEW YORK STOCK EXCHANGE (NYSE)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7" w:lineRule="exact"/>
        <w:rPr>
          <w:sz w:val="24"/>
          <w:szCs w:val="24"/>
          <w:color w:val="auto"/>
        </w:rPr>
      </w:pPr>
    </w:p>
    <w:p>
      <w:pPr>
        <w:sectPr>
          <w:pgSz w:w="11900" w:h="16887" w:orient="portrait"/>
          <w:cols w:equalWidth="0" w:num="2">
            <w:col w:w="2900" w:space="340"/>
            <w:col w:w="6999"/>
          </w:cols>
          <w:pgMar w:left="220" w:top="399" w:right="1440" w:bottom="0" w:gutter="0" w:footer="0" w:header="0"/>
          <w:type w:val="continuous"/>
        </w:sect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74"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Aggregate market value of the Common Stock, $.01 par value, held by nonaffiliates of the registrant, computed by reference to the closing price as reported on the NYSE as of the close of business on February 27, 1998: $902,378,460 (for purposes of this calculation affiliates include only directors and executive officers of the Company).</w:t>
      </w:r>
    </w:p>
    <w:p>
      <w:pPr>
        <w:spacing w:after="0" w:line="174"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Number of shares of Common Stock, $.01 par value, outstanding as of February 27, 1998: 60,708,520 shares</w:t>
      </w:r>
    </w:p>
    <w:p>
      <w:pPr>
        <w:spacing w:after="0" w:line="173" w:lineRule="exact"/>
        <w:rPr>
          <w:sz w:val="24"/>
          <w:szCs w:val="24"/>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DOCUMENTS INCORPORATED BY REFERENCE: Portions of the definitive Proxy Statement for the Annual Meeting of Shareholders to be held on May 13, 1998 are incorporated by reference into Part III, Items 10-13. Portions of the Annual Report to Shareholders are incorporated by reference into Part II, Items 5-8.</w:t>
      </w:r>
    </w:p>
    <w:p>
      <w:pPr>
        <w:spacing w:after="0" w:line="16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OCWEN FINANCIAL CORPORATION</w:t>
      </w:r>
    </w:p>
    <w:p>
      <w:pPr>
        <w:ind w:left="3600"/>
        <w:spacing w:after="0" w:line="237" w:lineRule="auto"/>
        <w:rPr>
          <w:sz w:val="20"/>
          <w:szCs w:val="20"/>
          <w:color w:val="auto"/>
        </w:rPr>
      </w:pPr>
      <w:r>
        <w:rPr>
          <w:rFonts w:ascii="Courier New" w:cs="Courier New" w:eastAsia="Courier New" w:hAnsi="Courier New"/>
          <w:sz w:val="15"/>
          <w:szCs w:val="15"/>
          <w:color w:val="auto"/>
        </w:rPr>
        <w:t>1997 FORM 10-K ANNUAL REPORT</w:t>
      </w:r>
    </w:p>
    <w:p>
      <w:pPr>
        <w:ind w:left="4120"/>
        <w:spacing w:after="0" w:line="238" w:lineRule="auto"/>
        <w:rPr>
          <w:sz w:val="20"/>
          <w:szCs w:val="20"/>
          <w:color w:val="auto"/>
        </w:rPr>
      </w:pPr>
      <w:r>
        <w:rPr>
          <w:rFonts w:ascii="Courier New" w:cs="Courier New" w:eastAsia="Courier New" w:hAnsi="Courier New"/>
          <w:sz w:val="15"/>
          <w:szCs w:val="15"/>
          <w:color w:val="auto"/>
        </w:rPr>
        <w:t>TABLE OF CONTENTS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p>
      <w:pPr>
        <w:jc w:val="right"/>
        <w:ind w:right="779"/>
        <w:spacing w:after="0"/>
        <w:rPr>
          <w:sz w:val="20"/>
          <w:szCs w:val="20"/>
          <w:color w:val="auto"/>
        </w:rPr>
      </w:pPr>
      <w:r>
        <w:rPr>
          <w:rFonts w:ascii="Courier New" w:cs="Courier New" w:eastAsia="Courier New" w:hAnsi="Courier New"/>
          <w:sz w:val="15"/>
          <w:szCs w:val="15"/>
          <w:color w:val="auto"/>
        </w:rPr>
        <w:t>PAGE</w:t>
      </w:r>
    </w:p>
    <w:p>
      <w:pPr>
        <w:jc w:val="right"/>
        <w:ind w:right="779"/>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PART I</w:t>
      </w:r>
    </w:p>
    <w:p>
      <w:pPr>
        <w:spacing w:after="0" w:line="335" w:lineRule="exact"/>
        <w:rPr>
          <w:sz w:val="24"/>
          <w:szCs w:val="24"/>
          <w:color w:val="auto"/>
        </w:rPr>
      </w:pPr>
    </w:p>
    <w:p>
      <w:pPr>
        <w:spacing w:after="0"/>
        <w:tabs>
          <w:tab w:leader="none" w:pos="860" w:val="left"/>
          <w:tab w:leader="dot" w:pos="9260" w:val="left"/>
        </w:tabs>
        <w:rPr>
          <w:sz w:val="20"/>
          <w:szCs w:val="20"/>
          <w:color w:val="auto"/>
        </w:rPr>
      </w:pPr>
      <w:r>
        <w:rPr>
          <w:rFonts w:ascii="Courier New" w:cs="Courier New" w:eastAsia="Courier New" w:hAnsi="Courier New"/>
          <w:sz w:val="15"/>
          <w:szCs w:val="15"/>
          <w:color w:val="auto"/>
        </w:rPr>
        <w:t>Item 1.</w:t>
        <w:tab/>
        <w:t>Business</w:t>
      </w:r>
      <w:r>
        <w:rPr>
          <w:sz w:val="20"/>
          <w:szCs w:val="20"/>
          <w:color w:val="auto"/>
        </w:rPr>
        <w:tab/>
      </w:r>
      <w:r>
        <w:rPr>
          <w:rFonts w:ascii="Courier New" w:cs="Courier New" w:eastAsia="Courier New" w:hAnsi="Courier New"/>
          <w:sz w:val="12"/>
          <w:szCs w:val="12"/>
          <w:color w:val="auto"/>
        </w:rPr>
        <w:t>4</w:t>
      </w:r>
    </w:p>
    <w:p>
      <w:pPr>
        <w:jc w:val="right"/>
        <w:ind w:right="879"/>
        <w:spacing w:after="0"/>
        <w:tabs>
          <w:tab w:leader="dot" w:pos="3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2"/>
          <w:szCs w:val="12"/>
          <w:color w:val="auto"/>
        </w:rPr>
        <w:t>4</w:t>
      </w:r>
    </w:p>
    <w:p>
      <w:pPr>
        <w:jc w:val="right"/>
        <w:ind w:right="879"/>
        <w:spacing w:after="0"/>
        <w:tabs>
          <w:tab w:leader="dot" w:pos="340" w:val="left"/>
        </w:tabs>
        <w:rPr>
          <w:sz w:val="20"/>
          <w:szCs w:val="20"/>
          <w:color w:val="auto"/>
        </w:rPr>
      </w:pPr>
      <w:r>
        <w:rPr>
          <w:rFonts w:ascii="Courier New" w:cs="Courier New" w:eastAsia="Courier New" w:hAnsi="Courier New"/>
          <w:sz w:val="15"/>
          <w:szCs w:val="15"/>
          <w:color w:val="auto"/>
        </w:rPr>
        <w:t>Recent Transactions</w:t>
      </w:r>
      <w:r>
        <w:rPr>
          <w:sz w:val="20"/>
          <w:szCs w:val="20"/>
          <w:color w:val="auto"/>
        </w:rPr>
        <w:tab/>
      </w:r>
      <w:r>
        <w:rPr>
          <w:rFonts w:ascii="Courier New" w:cs="Courier New" w:eastAsia="Courier New" w:hAnsi="Courier New"/>
          <w:sz w:val="12"/>
          <w:szCs w:val="12"/>
          <w:color w:val="auto"/>
        </w:rPr>
        <w:t>5</w:t>
      </w:r>
    </w:p>
    <w:p>
      <w:pPr>
        <w:jc w:val="right"/>
        <w:ind w:right="879"/>
        <w:spacing w:after="0"/>
        <w:tabs>
          <w:tab w:leader="dot" w:pos="340" w:val="left"/>
        </w:tabs>
        <w:rPr>
          <w:sz w:val="20"/>
          <w:szCs w:val="20"/>
          <w:color w:val="auto"/>
        </w:rPr>
      </w:pPr>
      <w:r>
        <w:rPr>
          <w:rFonts w:ascii="Courier New" w:cs="Courier New" w:eastAsia="Courier New" w:hAnsi="Courier New"/>
          <w:sz w:val="15"/>
          <w:szCs w:val="15"/>
          <w:color w:val="auto"/>
        </w:rPr>
        <w:t>Discount Loan Acquisition and Resolution Activities</w:t>
      </w:r>
      <w:r>
        <w:rPr>
          <w:sz w:val="20"/>
          <w:szCs w:val="20"/>
          <w:color w:val="auto"/>
        </w:rPr>
        <w:tab/>
      </w:r>
      <w:r>
        <w:rPr>
          <w:rFonts w:ascii="Courier New" w:cs="Courier New" w:eastAsia="Courier New" w:hAnsi="Courier New"/>
          <w:sz w:val="12"/>
          <w:szCs w:val="12"/>
          <w:color w:val="auto"/>
        </w:rPr>
        <w:t>6</w:t>
      </w:r>
    </w:p>
    <w:p>
      <w:pPr>
        <w:jc w:val="right"/>
        <w:ind w:right="879"/>
        <w:spacing w:after="0"/>
        <w:tabs>
          <w:tab w:leader="dot" w:pos="420" w:val="left"/>
        </w:tabs>
        <w:rPr>
          <w:sz w:val="20"/>
          <w:szCs w:val="20"/>
          <w:color w:val="auto"/>
        </w:rPr>
      </w:pPr>
      <w:r>
        <w:rPr>
          <w:rFonts w:ascii="Courier New" w:cs="Courier New" w:eastAsia="Courier New" w:hAnsi="Courier New"/>
          <w:sz w:val="15"/>
          <w:szCs w:val="15"/>
          <w:color w:val="auto"/>
        </w:rPr>
        <w:t>Investment in Joint Ventures</w:t>
      </w:r>
      <w:r>
        <w:rPr>
          <w:sz w:val="20"/>
          <w:szCs w:val="20"/>
          <w:color w:val="auto"/>
        </w:rPr>
        <w:tab/>
      </w:r>
      <w:r>
        <w:rPr>
          <w:rFonts w:ascii="Courier New" w:cs="Courier New" w:eastAsia="Courier New" w:hAnsi="Courier New"/>
          <w:sz w:val="12"/>
          <w:szCs w:val="12"/>
          <w:color w:val="auto"/>
        </w:rPr>
        <w:t>11</w:t>
      </w:r>
    </w:p>
    <w:p>
      <w:pPr>
        <w:jc w:val="right"/>
        <w:ind w:right="879"/>
        <w:spacing w:after="0"/>
        <w:tabs>
          <w:tab w:leader="dot" w:pos="420" w:val="left"/>
        </w:tabs>
        <w:rPr>
          <w:sz w:val="20"/>
          <w:szCs w:val="20"/>
          <w:color w:val="auto"/>
        </w:rPr>
      </w:pPr>
      <w:r>
        <w:rPr>
          <w:rFonts w:ascii="Courier New" w:cs="Courier New" w:eastAsia="Courier New" w:hAnsi="Courier New"/>
          <w:sz w:val="15"/>
          <w:szCs w:val="15"/>
          <w:color w:val="auto"/>
        </w:rPr>
        <w:t>Lending Activities</w:t>
      </w:r>
      <w:r>
        <w:rPr>
          <w:sz w:val="20"/>
          <w:szCs w:val="20"/>
          <w:color w:val="auto"/>
        </w:rPr>
        <w:tab/>
      </w:r>
      <w:r>
        <w:rPr>
          <w:rFonts w:ascii="Courier New" w:cs="Courier New" w:eastAsia="Courier New" w:hAnsi="Courier New"/>
          <w:sz w:val="12"/>
          <w:szCs w:val="12"/>
          <w:color w:val="auto"/>
        </w:rPr>
        <w:t>11</w:t>
      </w:r>
    </w:p>
    <w:p>
      <w:pPr>
        <w:jc w:val="right"/>
        <w:ind w:right="879"/>
        <w:spacing w:after="0"/>
        <w:tabs>
          <w:tab w:leader="dot" w:pos="420" w:val="left"/>
        </w:tabs>
        <w:rPr>
          <w:sz w:val="20"/>
          <w:szCs w:val="20"/>
          <w:color w:val="auto"/>
        </w:rPr>
      </w:pPr>
      <w:r>
        <w:rPr>
          <w:rFonts w:ascii="Courier New" w:cs="Courier New" w:eastAsia="Courier New" w:hAnsi="Courier New"/>
          <w:sz w:val="15"/>
          <w:szCs w:val="15"/>
          <w:color w:val="auto"/>
        </w:rPr>
        <w:t>Loan Servicing Activities</w:t>
      </w:r>
      <w:r>
        <w:rPr>
          <w:sz w:val="20"/>
          <w:szCs w:val="20"/>
          <w:color w:val="auto"/>
        </w:rPr>
        <w:tab/>
      </w:r>
      <w:r>
        <w:rPr>
          <w:rFonts w:ascii="Courier New" w:cs="Courier New" w:eastAsia="Courier New" w:hAnsi="Courier New"/>
          <w:sz w:val="12"/>
          <w:szCs w:val="12"/>
          <w:color w:val="auto"/>
        </w:rPr>
        <w:t>18</w:t>
      </w:r>
    </w:p>
    <w:p>
      <w:pPr>
        <w:sectPr>
          <w:pgSz w:w="11900" w:h="16887" w:orient="portrait"/>
          <w:cols w:equalWidth="0" w:num="1">
            <w:col w:w="10239"/>
          </w:cols>
          <w:pgMar w:left="220" w:top="39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Asset Quality.........................................................................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Investment Activities.................................................................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Sources of Funds......................................................................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Computer Systems and Use of Technology................................................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Economic Conditions...................................................................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Competition...........................................................................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Subsidiaries..........................................................................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Employees.............................................................................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Regulation............................................................................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The Company...........................................................................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The Bank..............................................................................</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Federal Taxation......................................................................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State Taxation........................................................................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Properties..............................................................................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68"/>
        </w:trPr>
        <w:tc>
          <w:tcPr>
            <w:tcW w:w="800" w:type="dxa"/>
            <w:vAlign w:val="bottom"/>
          </w:tcPr>
          <w:p>
            <w:pPr>
              <w:spacing w:after="0"/>
              <w:rPr>
                <w:sz w:val="14"/>
                <w:szCs w:val="14"/>
                <w:color w:val="auto"/>
              </w:rPr>
            </w:pPr>
          </w:p>
        </w:tc>
        <w:tc>
          <w:tcPr>
            <w:tcW w:w="8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Offices...............................................................................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Legal Proceedings.......................................................................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Submission of Matters to a Vote of Security Holders.....................................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505"/>
        </w:trPr>
        <w:tc>
          <w:tcPr>
            <w:tcW w:w="800" w:type="dxa"/>
            <w:vAlign w:val="bottom"/>
          </w:tcPr>
          <w:p>
            <w:pPr>
              <w:spacing w:after="0"/>
              <w:rPr>
                <w:sz w:val="24"/>
                <w:szCs w:val="24"/>
                <w:color w:val="auto"/>
              </w:rPr>
            </w:pPr>
          </w:p>
        </w:tc>
        <w:tc>
          <w:tcPr>
            <w:tcW w:w="8080" w:type="dxa"/>
            <w:vAlign w:val="bottom"/>
          </w:tcPr>
          <w:p>
            <w:pPr>
              <w:jc w:val="right"/>
              <w:ind w:right="4167"/>
              <w:spacing w:after="0"/>
              <w:rPr>
                <w:sz w:val="20"/>
                <w:szCs w:val="20"/>
                <w:color w:val="auto"/>
              </w:rPr>
            </w:pPr>
            <w:r>
              <w:rPr>
                <w:rFonts w:ascii="Courier New" w:cs="Courier New" w:eastAsia="Courier New" w:hAnsi="Courier New"/>
                <w:sz w:val="15"/>
                <w:szCs w:val="15"/>
                <w:color w:val="auto"/>
              </w:rPr>
              <w:t>PART II</w:t>
            </w:r>
          </w:p>
        </w:tc>
        <w:tc>
          <w:tcPr>
            <w:tcW w:w="48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Market for the Registrant's Common Equity and Related Stockholder Matters...............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Selected Consolidated Financial Data....................................................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Management's Discussion and Analysis of Financial Condition and Results of Operations...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8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505"/>
        </w:trPr>
        <w:tc>
          <w:tcPr>
            <w:tcW w:w="800" w:type="dxa"/>
            <w:vAlign w:val="bottom"/>
          </w:tcPr>
          <w:p>
            <w:pPr>
              <w:spacing w:after="0"/>
              <w:rPr>
                <w:sz w:val="24"/>
                <w:szCs w:val="24"/>
                <w:color w:val="auto"/>
              </w:rPr>
            </w:pPr>
          </w:p>
        </w:tc>
        <w:tc>
          <w:tcPr>
            <w:tcW w:w="8080" w:type="dxa"/>
            <w:vAlign w:val="bottom"/>
          </w:tcPr>
          <w:p>
            <w:pPr>
              <w:jc w:val="right"/>
              <w:ind w:right="4247"/>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OCWEN FINANCIAL CORPORATION</w:t>
      </w:r>
    </w:p>
    <w:p>
      <w:pPr>
        <w:ind w:left="3080"/>
        <w:spacing w:after="0" w:line="237" w:lineRule="auto"/>
        <w:rPr>
          <w:sz w:val="20"/>
          <w:szCs w:val="20"/>
          <w:color w:val="auto"/>
        </w:rPr>
      </w:pPr>
      <w:r>
        <w:rPr>
          <w:rFonts w:ascii="Courier New" w:cs="Courier New" w:eastAsia="Courier New" w:hAnsi="Courier New"/>
          <w:sz w:val="15"/>
          <w:szCs w:val="15"/>
          <w:color w:val="auto"/>
        </w:rPr>
        <w:t>1997 FORM 10-K ANNUAL REPORT</w:t>
      </w:r>
    </w:p>
    <w:p>
      <w:pPr>
        <w:ind w:left="3600"/>
        <w:spacing w:after="0" w:line="238" w:lineRule="auto"/>
        <w:rPr>
          <w:sz w:val="20"/>
          <w:szCs w:val="20"/>
          <w:color w:val="auto"/>
        </w:rPr>
      </w:pPr>
      <w:r>
        <w:rPr>
          <w:rFonts w:ascii="Courier New" w:cs="Courier New" w:eastAsia="Courier New" w:hAnsi="Courier New"/>
          <w:sz w:val="15"/>
          <w:szCs w:val="15"/>
          <w:color w:val="auto"/>
        </w:rPr>
        <w:t>TABLE OF CONTENTS</w:t>
      </w:r>
    </w:p>
    <w:p>
      <w:pPr>
        <w:ind w:left="3940"/>
        <w:spacing w:after="0" w:line="237" w:lineRule="auto"/>
        <w:rPr>
          <w:sz w:val="20"/>
          <w:szCs w:val="20"/>
          <w:color w:val="auto"/>
        </w:rPr>
      </w:pPr>
      <w:r>
        <w:rPr>
          <w:rFonts w:ascii="Courier New" w:cs="Courier New" w:eastAsia="Courier New" w:hAnsi="Courier New"/>
          <w:sz w:val="15"/>
          <w:szCs w:val="15"/>
          <w:color w:val="auto"/>
        </w:rPr>
        <w:t>(CONTINUED)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9100"/>
        <w:spacing w:after="0"/>
        <w:rPr>
          <w:sz w:val="20"/>
          <w:szCs w:val="20"/>
          <w:color w:val="auto"/>
        </w:rPr>
      </w:pPr>
      <w:r>
        <w:rPr>
          <w:rFonts w:ascii="Courier New" w:cs="Courier New" w:eastAsia="Courier New" w:hAnsi="Courier New"/>
          <w:sz w:val="15"/>
          <w:szCs w:val="15"/>
          <w:color w:val="auto"/>
        </w:rPr>
        <w:t>PAGE</w:t>
      </w:r>
    </w:p>
    <w:p>
      <w:pPr>
        <w:ind w:left="91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ind w:left="980"/>
        <w:spacing w:after="0"/>
        <w:tabs>
          <w:tab w:leader="dot" w:pos="9180" w:val="left"/>
        </w:tabs>
        <w:rPr>
          <w:sz w:val="20"/>
          <w:szCs w:val="20"/>
          <w:color w:val="auto"/>
        </w:rPr>
      </w:pPr>
      <w:r>
        <w:rPr>
          <w:rFonts w:ascii="Courier New" w:cs="Courier New" w:eastAsia="Courier New" w:hAnsi="Courier New"/>
          <w:sz w:val="15"/>
          <w:szCs w:val="15"/>
          <w:color w:val="auto"/>
        </w:rPr>
        <w:t>and Financial Disclosure</w:t>
      </w:r>
      <w:r>
        <w:rPr>
          <w:sz w:val="20"/>
          <w:szCs w:val="20"/>
          <w:color w:val="auto"/>
        </w:rPr>
        <w:tab/>
      </w:r>
      <w:r>
        <w:rPr>
          <w:rFonts w:ascii="Courier New" w:cs="Courier New" w:eastAsia="Courier New" w:hAnsi="Courier New"/>
          <w:sz w:val="12"/>
          <w:szCs w:val="12"/>
          <w:color w:val="auto"/>
        </w:rPr>
        <w:t>44</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tabs>
          <w:tab w:leader="none" w:pos="860" w:val="left"/>
          <w:tab w:leader="dot" w:pos="9180" w:val="left"/>
        </w:tabs>
        <w:rPr>
          <w:sz w:val="20"/>
          <w:szCs w:val="20"/>
          <w:color w:val="auto"/>
        </w:rPr>
      </w:pPr>
      <w:r>
        <w:rPr>
          <w:rFonts w:ascii="Courier New" w:cs="Courier New" w:eastAsia="Courier New" w:hAnsi="Courier New"/>
          <w:sz w:val="15"/>
          <w:szCs w:val="15"/>
          <w:color w:val="auto"/>
        </w:rPr>
        <w:t>Item 10.</w:t>
        <w:tab/>
        <w:t>Directors and Executive Officers of Registrant</w:t>
      </w:r>
      <w:r>
        <w:rPr>
          <w:sz w:val="20"/>
          <w:szCs w:val="20"/>
          <w:color w:val="auto"/>
        </w:rPr>
        <w:tab/>
      </w:r>
      <w:r>
        <w:rPr>
          <w:rFonts w:ascii="Courier New" w:cs="Courier New" w:eastAsia="Courier New" w:hAnsi="Courier New"/>
          <w:sz w:val="12"/>
          <w:szCs w:val="12"/>
          <w:color w:val="auto"/>
        </w:rPr>
        <w:t>44</w:t>
      </w:r>
    </w:p>
    <w:p>
      <w:pPr>
        <w:spacing w:after="0" w:line="166" w:lineRule="exact"/>
        <w:rPr>
          <w:sz w:val="20"/>
          <w:szCs w:val="20"/>
          <w:color w:val="auto"/>
        </w:rPr>
      </w:pPr>
    </w:p>
    <w:p>
      <w:pPr>
        <w:spacing w:after="0"/>
        <w:tabs>
          <w:tab w:leader="none" w:pos="860" w:val="left"/>
          <w:tab w:leader="dot" w:pos="9180" w:val="left"/>
        </w:tabs>
        <w:rPr>
          <w:sz w:val="20"/>
          <w:szCs w:val="20"/>
          <w:color w:val="auto"/>
        </w:rPr>
      </w:pPr>
      <w:r>
        <w:rPr>
          <w:rFonts w:ascii="Courier New" w:cs="Courier New" w:eastAsia="Courier New" w:hAnsi="Courier New"/>
          <w:sz w:val="15"/>
          <w:szCs w:val="15"/>
          <w:color w:val="auto"/>
        </w:rPr>
        <w:t>Item 11.</w:t>
        <w:tab/>
        <w:t>Executive Compensation</w:t>
      </w:r>
      <w:r>
        <w:rPr>
          <w:sz w:val="20"/>
          <w:szCs w:val="20"/>
          <w:color w:val="auto"/>
        </w:rPr>
        <w:tab/>
      </w:r>
      <w:r>
        <w:rPr>
          <w:rFonts w:ascii="Courier New" w:cs="Courier New" w:eastAsia="Courier New" w:hAnsi="Courier New"/>
          <w:sz w:val="12"/>
          <w:szCs w:val="12"/>
          <w:color w:val="auto"/>
        </w:rPr>
        <w:t>44</w:t>
      </w:r>
    </w:p>
    <w:p>
      <w:pPr>
        <w:spacing w:after="0" w:line="166" w:lineRule="exact"/>
        <w:rPr>
          <w:sz w:val="20"/>
          <w:szCs w:val="20"/>
          <w:color w:val="auto"/>
        </w:rPr>
      </w:pPr>
    </w:p>
    <w:p>
      <w:pPr>
        <w:spacing w:after="0"/>
        <w:tabs>
          <w:tab w:leader="none" w:pos="860" w:val="left"/>
          <w:tab w:leader="dot" w:pos="918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r>
        <w:rPr>
          <w:sz w:val="20"/>
          <w:szCs w:val="20"/>
          <w:color w:val="auto"/>
        </w:rPr>
        <w:tab/>
      </w:r>
      <w:r>
        <w:rPr>
          <w:rFonts w:ascii="Courier New" w:cs="Courier New" w:eastAsia="Courier New" w:hAnsi="Courier New"/>
          <w:sz w:val="12"/>
          <w:szCs w:val="12"/>
          <w:color w:val="auto"/>
        </w:rPr>
        <w:t>44</w:t>
      </w:r>
    </w:p>
    <w:p>
      <w:pPr>
        <w:spacing w:after="0" w:line="166" w:lineRule="exact"/>
        <w:rPr>
          <w:sz w:val="20"/>
          <w:szCs w:val="20"/>
          <w:color w:val="auto"/>
        </w:rPr>
      </w:pPr>
    </w:p>
    <w:p>
      <w:pPr>
        <w:spacing w:after="0"/>
        <w:tabs>
          <w:tab w:leader="none" w:pos="860" w:val="left"/>
          <w:tab w:leader="dot" w:pos="9180" w:val="left"/>
        </w:tabs>
        <w:rPr>
          <w:sz w:val="20"/>
          <w:szCs w:val="20"/>
          <w:color w:val="auto"/>
        </w:rPr>
      </w:pPr>
      <w:r>
        <w:rPr>
          <w:rFonts w:ascii="Courier New" w:cs="Courier New" w:eastAsia="Courier New" w:hAnsi="Courier New"/>
          <w:sz w:val="15"/>
          <w:szCs w:val="15"/>
          <w:color w:val="auto"/>
        </w:rPr>
        <w:t>Item 13.</w:t>
        <w:tab/>
        <w:t>Certain Relationships and Related Transactions</w:t>
      </w:r>
      <w:r>
        <w:rPr>
          <w:sz w:val="20"/>
          <w:szCs w:val="20"/>
          <w:color w:val="auto"/>
        </w:rPr>
        <w:tab/>
      </w:r>
      <w:r>
        <w:rPr>
          <w:rFonts w:ascii="Courier New" w:cs="Courier New" w:eastAsia="Courier New" w:hAnsi="Courier New"/>
          <w:sz w:val="12"/>
          <w:szCs w:val="12"/>
          <w:color w:val="auto"/>
        </w:rPr>
        <w:t>44</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PART IV</w:t>
      </w:r>
    </w:p>
    <w:p>
      <w:pPr>
        <w:spacing w:after="0" w:line="335" w:lineRule="exact"/>
        <w:rPr>
          <w:sz w:val="20"/>
          <w:szCs w:val="20"/>
          <w:color w:val="auto"/>
        </w:rPr>
      </w:pPr>
    </w:p>
    <w:p>
      <w:pPr>
        <w:spacing w:after="0"/>
        <w:tabs>
          <w:tab w:leader="none" w:pos="860" w:val="left"/>
          <w:tab w:leader="dot" w:pos="918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r>
        <w:rPr>
          <w:sz w:val="20"/>
          <w:szCs w:val="20"/>
          <w:color w:val="auto"/>
        </w:rPr>
        <w:tab/>
      </w:r>
      <w:r>
        <w:rPr>
          <w:rFonts w:ascii="Courier New" w:cs="Courier New" w:eastAsia="Courier New" w:hAnsi="Courier New"/>
          <w:sz w:val="12"/>
          <w:szCs w:val="12"/>
          <w:color w:val="auto"/>
        </w:rPr>
        <w:t>45</w:t>
      </w:r>
    </w:p>
    <w:p>
      <w:pPr>
        <w:spacing w:after="0" w:line="335" w:lineRule="exact"/>
        <w:rPr>
          <w:sz w:val="20"/>
          <w:szCs w:val="20"/>
          <w:color w:val="auto"/>
        </w:rPr>
      </w:pPr>
    </w:p>
    <w:p>
      <w:pPr>
        <w:ind w:left="880"/>
        <w:spacing w:after="0"/>
        <w:tabs>
          <w:tab w:leader="dot" w:pos="91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2"/>
          <w:szCs w:val="1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 FORWARD-LOOKING STATEMENTS WHICH ARE BASED ON VARIOUS ASSUMPTIONS (SOME OF WHICH ARE BEYOND THE COMPANY'S CONTROL), MAY BE IDENTIFIED BY REFERENCE TO A FUTURE PERIOD OR PERIODS, OR BY THE USE OF FORWARD-LOOKING TERMINOLOGY, SUCH AS "MAY," "WILL," "COULD," "BELIEVE," "EXPECT," "ANTICIPATE," "CONTINUE,"</w:t>
      </w:r>
    </w:p>
    <w:p>
      <w:pPr>
        <w:spacing w:after="0" w:line="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"INTENDS," "PLANS," "PRESENTS," OR SIMILAR TERMS OR VARIATION ON THOSE TERMS, OR BY THE USE OF THE NEGATIVE OF SUCH TERMINOLOGY. ACTUAL RESULTS COULD DIFFER MATERIALLY FROM THOSE SET FORTH IN FORWARD-LOOKING STATEMENTS DUE TO A VARIETY OF FACTORS, INCLUDING, BUT NOT LIMITED TO, THOSE RELATED TO THE ECONOMIC ENVIRONMENT, PARTICULARLY IN THE MARKET AREAS IN WHICH THE COMPANY OPERATES, COMPETITIVE PRODUCTS AND PRICING, THE GROWTH OR DECLINE OF, AND THE AVAILABILITY OF PRODUCT TO PURCHASE IN, THE DISCOUNT LOAN INDUSTRY FISCAL AND MONETARY POLICIES OF THE U.S. OR U.K. GOVERNMENTS, CHANGES IN GOVERNMENT REGULATIONS AFFECTING FINANCIAL INSTITUTIONS AND REAL ESTATE INVESTMENT TRUSTS, INCLUDING REGULATORY FEES, CAPITAL REQUIREMENTS AND TAXATION, CHANGES IN PREVAILING INTEREST AND CURRENCY EXCHANGE RATES, ACQUISITIONS AND THE INTEGRATION OF ACQUIRED BUSINESSES, SOFTWARE INTEGRATION, DEVELOPMENT AND LICENSING, CREDIT INTEREST RATE AND OPERATIONAL RISK MANAGEMENT, ASSET/LIABILITY MANAGEMENT, THE FINANCIAL AND SECURITIES MARKETS AND THE AVAILABILITY OF AND COSTS ASSOCIATED WITH SOURCES OF LIQUIDITY. THE COMPANY DOES NOT UNDERTAKE, AND SPECIFICALLY DISCLAIMS ANY OBLIGATION, TO PUBLICLY RELEASE THE RESULTS OF ANY REVISIONS WHICH MAY BE MADE TO ANY FORWARD-LOOKING STATEMENTS TO REFLECT THE OCCURRENCE OF ANTICIPATED OR UNANTICIPATED EVENTS OR CIRCUMSTANCES AFTER THE DATE OF SUCH STATEMENTS.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3" w:name="page4"/>
    <w:bookmarkEnd w:id="3"/>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340" w:firstLine="787"/>
        <w:spacing w:after="0" w:line="236" w:lineRule="auto"/>
        <w:rPr>
          <w:sz w:val="20"/>
          <w:szCs w:val="20"/>
          <w:color w:val="auto"/>
        </w:rPr>
      </w:pPr>
      <w:r>
        <w:rPr>
          <w:rFonts w:ascii="Courier New" w:cs="Courier New" w:eastAsia="Courier New" w:hAnsi="Courier New"/>
          <w:sz w:val="15"/>
          <w:szCs w:val="15"/>
          <w:color w:val="auto"/>
        </w:rPr>
        <w:t>Ocwen Financial Corporation (the "Company") is a specialty financial services company which conducts business primarily through Ocwen Federal Bank FSB (the "Bank"), a federally-chartered savings bank and a wholly-owned subsidiary of the Company, and, to a lesser extent, through Ocwen Financial Services, Inc. ("OFS"), 93.7% owned subsidiary of the Company which acquired both the subprime single family residential lending operations previously conducted by the Bank and substantially all of the assets of Admiral Home Loan ("Admiral"), the Company's primary correspondent mortgage banking firm for subprime single family residential loans, in a transaction which closed on May 1, 1997. The Company, directly and through its non-bank subsidiaries, also conducts certain lending and investment activities.</w:t>
      </w:r>
    </w:p>
    <w:p>
      <w:pPr>
        <w:spacing w:after="0" w:line="180" w:lineRule="exact"/>
        <w:rPr>
          <w:sz w:val="20"/>
          <w:szCs w:val="20"/>
          <w:color w:val="auto"/>
        </w:rPr>
      </w:pPr>
    </w:p>
    <w:p>
      <w:pPr>
        <w:jc w:val="both"/>
        <w:ind w:right="3340" w:firstLine="787"/>
        <w:spacing w:after="0" w:line="237" w:lineRule="auto"/>
        <w:rPr>
          <w:sz w:val="20"/>
          <w:szCs w:val="20"/>
          <w:color w:val="auto"/>
        </w:rPr>
      </w:pPr>
      <w:r>
        <w:rPr>
          <w:rFonts w:ascii="Courier New" w:cs="Courier New" w:eastAsia="Courier New" w:hAnsi="Courier New"/>
          <w:sz w:val="15"/>
          <w:szCs w:val="15"/>
          <w:color w:val="auto"/>
        </w:rPr>
        <w:t>The Company considers itself to be involved in the single business segment of providing financial services and conducts a variety of business activities within this segment. The Company's primary business activities currently consist of its subprime single family, small commercial and large commercial discount loan acquisition and resolution activities, commercial real estate lending activities, single family residential lending activities, mortgage loans for others, investments in a wide variety of mortgage-related securities and investments in low-income housing tax credit interests. In addition, the Company previously operated an automated banking division, the operations of which were discontinued in September 1995. The following table presents the contribution by business activity to the Company's net income for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6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88"/>
              </w:rPr>
              <w:t>1997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7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6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Discount Loans:</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$ 22,384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$ 12,580</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4,778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Large commercial real estate loans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23,476</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16,179</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9,824</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Small commercial real estate loans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5,194</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3,687</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4,395</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Investment in low-income housing tax</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credits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9,353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7,269</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3,538</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Commercial real estate lending ...........</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11,802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3,785</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3,041</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Subprime single family residential</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lending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4,115</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364</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Mortgage loan servicing ..................</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2,559</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175</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Investment securities ....................</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5,615</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2,226</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2,454</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Other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(2,258)</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(3,102)</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$ 78,932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$ 50,142</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$ 25,467</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40" w:firstLine="787"/>
        <w:spacing w:after="0" w:line="255" w:lineRule="auto"/>
        <w:rPr>
          <w:sz w:val="20"/>
          <w:szCs w:val="20"/>
          <w:color w:val="auto"/>
        </w:rPr>
      </w:pPr>
      <w:r>
        <w:rPr>
          <w:rFonts w:ascii="Courier New" w:cs="Courier New" w:eastAsia="Courier New" w:hAnsi="Courier New"/>
          <w:sz w:val="14"/>
          <w:szCs w:val="14"/>
          <w:color w:val="auto"/>
        </w:rPr>
        <w:t>The Company's strategy focuses on what it believes to be the current trend toward the growth in the sale or outsourcing of servicing of nonperforming and underperforming loans by financial institutions and government agencies, particularly in the event that credit quality for some product lines (such as subprime mortgage loans) deteriorates. The Company's strategy also focuses on leveraging its technology infrastructure and core expertise to expand its activities into related business lines both for itself and on a fee basis for others. For example, the Company has acquired two software companies and formed a new corporation, Ocwen Asset Investment Corp. ("OAIC"), a Virginia corporation which elected to be taxed as a real estate investment trust ("REIT") for federal income tax purposes and which is managed by Ocwen Capital Corporation ("OCC"), a newly-formed, wholly-owned subsidiary of the Company.</w:t>
      </w:r>
    </w:p>
    <w:p>
      <w:pPr>
        <w:spacing w:after="0" w:line="164" w:lineRule="exact"/>
        <w:rPr>
          <w:sz w:val="20"/>
          <w:szCs w:val="20"/>
          <w:color w:val="auto"/>
        </w:rPr>
      </w:pPr>
    </w:p>
    <w:p>
      <w:pPr>
        <w:jc w:val="both"/>
        <w:ind w:right="3340" w:firstLine="787"/>
        <w:spacing w:after="0" w:line="255" w:lineRule="auto"/>
        <w:rPr>
          <w:sz w:val="20"/>
          <w:szCs w:val="20"/>
          <w:color w:val="auto"/>
        </w:rPr>
      </w:pPr>
      <w:r>
        <w:rPr>
          <w:rFonts w:ascii="Courier New" w:cs="Courier New" w:eastAsia="Courier New" w:hAnsi="Courier New"/>
          <w:sz w:val="14"/>
          <w:szCs w:val="14"/>
          <w:color w:val="auto"/>
        </w:rPr>
        <w:t>In May 1997, OAIC successfully completed an initial public offering of its common stock, which resulted in net proceeds of $283.8 million for its shares, inclusive of the amount contributed by Investors Mortgage Insurance Holding Company ("IMI"), a wholly-owned subsidiary of the Company. At December 31, 1997, IMI owned approximately 9.0% of the outstanding common stock of OAIC and had options to purchase an additional 10% of OAIC's common stock (one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40"/>
          </w:cols>
          <w:pgMar w:left="220" w:top="617" w:right="1339" w:bottom="1021" w:gutter="0" w:footer="0" w:header="0"/>
        </w:sectPr>
      </w:pPr>
    </w:p>
    <w:bookmarkStart w:id="4" w:name="page5"/>
    <w:bookmarkEnd w:id="4"/>
    <w:p>
      <w:pPr>
        <w:jc w:val="both"/>
        <w:ind w:right="3239"/>
        <w:spacing w:after="0" w:line="235" w:lineRule="auto"/>
        <w:rPr>
          <w:sz w:val="20"/>
          <w:szCs w:val="20"/>
          <w:color w:val="auto"/>
        </w:rPr>
      </w:pPr>
      <w:r>
        <w:rPr>
          <w:rFonts w:ascii="Courier New" w:cs="Courier New" w:eastAsia="Courier New" w:hAnsi="Courier New"/>
          <w:sz w:val="15"/>
          <w:szCs w:val="15"/>
          <w:color w:val="auto"/>
        </w:rPr>
        <w:t>quarter of which vest annually over the next four years beginning in May 1998. Also at December 31, 1997, IMI owned 160,000 or 0.837% of the outstanding limited partnership units of Ocwen Partnership, L.P. ("OPLP"), the operating partnership formed to undertake the business of OAIC.</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On November 6, 1997, the Company acquired Amos, Inc. ("Amos"), a Connecticut based company engaged primarily in the development of mortgage loan servicing software. Amos' products are Microsoft(R) Windows based, client/server architecture and feature real-time processing, year 2000 compliance, a scaleable database platform and strong workflow capabilities. The aggregate purchase price was $9.7 million, including $4.9 million which is contingent on Amos meeting certain software development performance criteria.</w:t>
      </w:r>
    </w:p>
    <w:p>
      <w:pPr>
        <w:spacing w:after="0" w:line="16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On January 20, 1998, the Company acquired DTS Communications, Inc. ("DTS"), a real estate technology company located in San Diego, California, for a purchase price of $13.0 million in cash, common stock of the Company and repayment of certain indebtedness. DTS has developed technology tools to automate real estate transactions over the Internet. DTS has been recognized by Microsoft Corporation for the Microsoft(R) component-based architecture to facilitate electronic data interchange. The common stock of the Company issued in the acquisition was acquired from affiliates of the Company at the same price per share as was used to calculate the number of shares issued in the acquisition. DTS was recently honored as the recipient of this year's Inman Innovator Award for "Software Applications that help the Real Estate Industry be more efficient and speed up the Real Estate Transaction Process."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plans to enhance both the Amos and DTS products by combining features from its proprietary software systems for loan default management and loss mitigation. Eventually, it is the Company's intention to make its advanced loan resolution technology available to third parties in the mortgage industry through the marketing of software licenses.</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is a registered savings and loan holding company subject to regulation by the Office of Thrift Supervision (the "OTS"). The Bank is subject to regulation by the OTS, as its chartering authority, and by the Federal Deposit Insurance Corporation ("FDIC"), as a result of its membership in the Savings Association Insurance Fund ("SAIF") which insures the Company's deposits up to the maximum extent permitted by law. The Bank is also subject to certain regulation by the Board of Governors of the Federal Reserve System ("Federal Reserve Board") and currently is a member of the Federal Home Loan Bank ("FHLB") of New York, one of the 12 regional banks which comprise the FHLB System.</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TRANSACTIONS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 January 20, 1998, the Company acquired DTS (as discussed above).</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On March 6, 1998, the Company acquired an approximately 35% interest in Norland Capital Group PLC, which trades as Kensington Mortgage Company ("Kensington"), for (POUND STERLING) 27.5 million, or approximately US$45.4 million. Kensington Mortgage is a leading originator of non-conforming residential mortgages in the UK, with over (POUND STERLING) 400 million of total loans outstanding to over 8,000 borrowers as of December 1997. Founded in October of 1995, Kensington has become a major provider of residential home loans to UK borrowers who are unable to qualify for loans from traditional sources, such as building societies and banks. Kensington has the distinction of being the only non-conforming originator on the UK Council of Mortgage Lenders, the trade association for the UK mortgage lending industry, whose 122 members collectively account for 98% of the residential mortgage lending in the UK. This council represents the UK's mortgage lenders, including banks, building societies and other residential mortgage lenders, to the government, Parliament, the media and other audiences.</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On January 28, 1998, the Company, OAIC and Aames Financial Corporation ("Aames") announced that they had entered into a nonbinding letter of intent pursuant to which they are negotiating for OAIC to acquire subordinated residual interests with respect to mortgage loans originated or acquired by Aames through the first quarter of 1998 and for the Company to assume responsibility for the special servicing of nonperforming loans underlying such residuals. As the result of these negotiations, on March 19, 1998, OAIC announced that it had executed a definitive agreement with a Wall Street firm concerning the acquisition of a subordinate interest-only security for approximately $14.3 million plus closing costs. Pursuant to related agreements, the Bank will be the special servicer with respect to the underlying loans.</w:t>
      </w:r>
    </w:p>
    <w:p>
      <w:pPr>
        <w:spacing w:after="0" w:line="16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On February 17, 1998, OAIC repurchased from IMI 175,000 shares of OAIC's common stock for an aggregate of approximately $3.1 million, reducing IMI's ownership in OAIC to 8.12%. These shares were immediately resold 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5" w:name="page6"/>
    <w:bookmarkEnd w:id="5"/>
    <w:p>
      <w:pPr>
        <w:jc w:val="both"/>
        <w:ind w:right="3239"/>
        <w:spacing w:after="0" w:line="235" w:lineRule="auto"/>
        <w:rPr>
          <w:sz w:val="20"/>
          <w:szCs w:val="20"/>
          <w:color w:val="auto"/>
        </w:rPr>
      </w:pPr>
      <w:r>
        <w:rPr>
          <w:rFonts w:ascii="Courier New" w:cs="Courier New" w:eastAsia="Courier New" w:hAnsi="Courier New"/>
          <w:sz w:val="15"/>
          <w:szCs w:val="15"/>
          <w:color w:val="auto"/>
        </w:rPr>
        <w:t>certain officers and directors of the Company and OAIC. As part of this transaction, IMI acquired 175,000 units from OPLP for approximately $3.1 million, increasing IMI's ownership in OPLP to 1.736%.</w:t>
      </w:r>
    </w:p>
    <w:p>
      <w:pPr>
        <w:spacing w:after="0" w:line="174"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On March 31, 1998, the Company announced that it had entered into definitive agreements for the acquisition of substantially all of the assets, and certain liabilities, of the United Kingdom operations of Cityscape Financial Corp. (Nasdaq SmallCap Market: CTYSC). The acquisition includes the purchase of Cityscape's UK whole loan portfolio, securitized loan residuals, and loan origination and servicing businesses for a price of approximately (POUND STERLING) 285 million, subject to adjustment as of closing based on an agreed upon formula (currently estimated to result in an upward or downward adjustment of approximately (POUND STERLING) 5 million). Closing, which is anticipated to occur in April, 1998, is subject to satisfaction of a number of conditions, including obtaining rating agency consents and various substitutions in connection with the transfer of the securitized residuals and related servicing rights (which will require the consents of the trustees of the several securitizations). As a result, there can be no assurance that the transaction will be consummated.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 LOAN ACQUISITION AND RESOLUTION ACTIVITIES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believes that, under appropriate circumstances, the acquisition of nonperforming and underperforming mortgage loans at discounts offers significant opportunities to the Company. Discount loans generally have collateral coverage which is sufficiently in excess of the purchase price of the loan, such that successful resolutions can produce total returns which are in excess of an equivalent investment in performing mortgage loans.</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began its discount loan operations in 1991 and initially focused on the acquisition of single family residential loans. In 1994 the Company expanded this business to include the acquisition and resolution of discount multi-family residential and commercial real estate loans (together, unless the context otherwise requires, "commercial real estate loans"). Prior to entering the discount loan business, management of the Company had substantial loan resolution experience through former subsidiaries of the Company which had been engaged in the business of providing private mortgage insurance for residential loans. This experience assisted the Company in developing the procedures, facilities and systems which are necessary to appropriately evaluate and acquire discount loans and to resolve such loans in a timely and profitable manner. Management of the Company believes that the resources utilized by the Company in connection with the acquisition, servicing and resolution of discount real estate loans, which include proprietary technology and software, allow the Company to effectively manage an extremely data-intensive business and that, as discussed below, these resources have applications in other areas.</w:t>
      </w:r>
    </w:p>
    <w:p>
      <w:pPr>
        <w:spacing w:after="0" w:line="16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COMPOSITION OF THE DISCOUNT LOAN PORTFOLIO. At December 31, 1997, the Company's net discount loan portfolio amounted to $1.43 billion or 47% of the Company's total assets. Substantially all of the Company's discount loan portfolio is secured by first mortgage liens on real estate.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6"/>
          </w:tcPr>
          <w:p>
            <w:pPr>
              <w:ind w:left="800"/>
              <w:spacing w:after="0"/>
              <w:rPr>
                <w:sz w:val="20"/>
                <w:szCs w:val="20"/>
                <w:color w:val="auto"/>
              </w:rPr>
            </w:pPr>
            <w:r>
              <w:rPr>
                <w:rFonts w:ascii="Courier New" w:cs="Courier New" w:eastAsia="Courier New" w:hAnsi="Courier New"/>
                <w:sz w:val="15"/>
                <w:szCs w:val="15"/>
                <w:color w:val="auto"/>
                <w:w w:val="97"/>
              </w:rPr>
              <w:t>The  following  table  sets  forth  the  composition  of the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Company's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discount loan portfolio by type of loan at the dates indicated: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69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5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Single family residential</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900,817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504,049</w:t>
            </w:r>
          </w:p>
        </w:tc>
        <w:tc>
          <w:tcPr>
            <w:tcW w:w="40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376,501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382,165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430,355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 .....................</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191,302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341,796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176,259</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300,220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Commercial real estate loans</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701,035 (1)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465,801</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388,566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102,138</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1,845</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loans ................</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911</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w:t>
            </w:r>
          </w:p>
        </w:tc>
      </w:tr>
      <w:tr>
        <w:trPr>
          <w:trHeight w:val="168"/>
        </w:trPr>
        <w:tc>
          <w:tcPr>
            <w:tcW w:w="25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discount loans .....</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1,795,019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1,314,399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943,529</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785,434</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433,516</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Unaccreted discount ........</w:t>
            </w:r>
          </w:p>
        </w:tc>
        <w:tc>
          <w:tcPr>
            <w:tcW w:w="3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(337,350)(2)</w:t>
            </w:r>
          </w:p>
        </w:tc>
        <w:tc>
          <w:tcPr>
            <w:tcW w:w="1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(241,908)(2)</w:t>
            </w:r>
          </w:p>
        </w:tc>
        <w:tc>
          <w:tcPr>
            <w:tcW w:w="34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(273,758)</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(255,974)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(129,882)</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Allowance for loan losses ..</w:t>
            </w:r>
          </w:p>
        </w:tc>
        <w:tc>
          <w:tcPr>
            <w:tcW w:w="3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(23,493)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Discount loans, net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1,434,176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$ 1,060,953</w:t>
            </w:r>
          </w:p>
        </w:tc>
        <w:tc>
          <w:tcPr>
            <w:tcW w:w="40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669,771</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529,460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303,634</w:t>
            </w:r>
          </w:p>
        </w:tc>
      </w:tr>
      <w:tr>
        <w:trPr>
          <w:trHeight w:val="168"/>
        </w:trPr>
        <w:tc>
          <w:tcPr>
            <w:tcW w:w="2580" w:type="dxa"/>
            <w:vAlign w:val="bottom"/>
          </w:tcPr>
          <w:p>
            <w:pPr>
              <w:spacing w:after="0"/>
              <w:rPr>
                <w:sz w:val="14"/>
                <w:szCs w:val="14"/>
                <w:color w:val="auto"/>
              </w:rPr>
            </w:pP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36"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at December 31, 1997 consisted of $363.7 million of loans secured by office buildings, $98.9 million of loans secured by hotels, $106.8 million of loans secured by retail properties or shopping centers and $131.6 million of loans secured by other properties. The balance at December 31, 1996 consisted of $202.1 million of loans secured by office buildings, $46.0 million of loans secured by hotels, $138.6 million of loans secured by retail properties or shopping centers and $79.1 million of loans secured by other properties.</w:t>
      </w:r>
    </w:p>
    <w:p>
      <w:pPr>
        <w:spacing w:after="0" w:line="177" w:lineRule="exact"/>
        <w:rPr>
          <w:rFonts w:ascii="Courier New" w:cs="Courier New" w:eastAsia="Courier New" w:hAnsi="Courier New"/>
          <w:sz w:val="15"/>
          <w:szCs w:val="15"/>
          <w:color w:val="auto"/>
        </w:rPr>
      </w:pPr>
    </w:p>
    <w:p>
      <w:pPr>
        <w:jc w:val="both"/>
        <w:ind w:left="540" w:right="3239" w:hanging="530"/>
        <w:spacing w:after="0" w:line="236"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at December 31, 1997 consisted of $170.7 million on single family residential loans, $46.0 million on multi-family residential loans, $120.5 million on commercial real estate loans and $0.2 million on other loans, respectively. The balance at December 31, 1996 consisted of $92.2 million on single family residential loans, $71.8 million on multi-family residential loans, $77.6 million on commercial real estate loans and $0.3 million on other loans, respectively.</w:t>
      </w:r>
    </w:p>
    <w:p>
      <w:pPr>
        <w:spacing w:after="0" w:line="169" w:lineRule="exact"/>
        <w:rPr>
          <w:sz w:val="20"/>
          <w:szCs w:val="20"/>
          <w:color w:val="auto"/>
        </w:rPr>
      </w:pPr>
    </w:p>
    <w:p>
      <w:pPr>
        <w:ind w:left="800"/>
        <w:spacing w:after="0"/>
        <w:tabs>
          <w:tab w:leader="none" w:pos="1220" w:val="left"/>
          <w:tab w:leader="none" w:pos="2260" w:val="left"/>
          <w:tab w:leader="none" w:pos="4720" w:val="left"/>
        </w:tabs>
        <w:rPr>
          <w:sz w:val="20"/>
          <w:szCs w:val="20"/>
          <w:color w:val="auto"/>
        </w:rPr>
      </w:pPr>
      <w:r>
        <w:rPr>
          <w:rFonts w:ascii="Courier New" w:cs="Courier New" w:eastAsia="Courier New" w:hAnsi="Courier New"/>
          <w:sz w:val="15"/>
          <w:szCs w:val="15"/>
          <w:color w:val="auto"/>
        </w:rPr>
        <w:t>The</w:t>
        <w:tab/>
        <w:t>properties</w:t>
        <w:tab/>
        <w:t>which secure the Company's</w:t>
      </w:r>
      <w:r>
        <w:rPr>
          <w:sz w:val="20"/>
          <w:szCs w:val="20"/>
          <w:color w:val="auto"/>
        </w:rPr>
        <w:tab/>
      </w:r>
      <w:r>
        <w:rPr>
          <w:rFonts w:ascii="Courier New" w:cs="Courier New" w:eastAsia="Courier New" w:hAnsi="Courier New"/>
          <w:sz w:val="14"/>
          <w:szCs w:val="14"/>
          <w:color w:val="auto"/>
        </w:rPr>
        <w:t>discount loans are located</w:t>
      </w:r>
    </w:p>
    <w:p>
      <w:pPr>
        <w:sectPr>
          <w:pgSz w:w="11900" w:h="16838" w:orient="portrait"/>
          <w:cols w:equalWidth="0" w:num="1">
            <w:col w:w="10239"/>
          </w:cols>
          <w:pgMar w:left="220" w:top="624" w:right="1440" w:bottom="0" w:gutter="0" w:footer="0" w:header="0"/>
        </w:sectPr>
      </w:pPr>
    </w:p>
    <w:bookmarkStart w:id="6" w:name="page7"/>
    <w:bookmarkEnd w:id="6"/>
    <w:p>
      <w:pPr>
        <w:jc w:val="both"/>
        <w:ind w:right="3239"/>
        <w:spacing w:after="0" w:line="256" w:lineRule="auto"/>
        <w:rPr>
          <w:sz w:val="20"/>
          <w:szCs w:val="20"/>
          <w:color w:val="auto"/>
        </w:rPr>
      </w:pPr>
      <w:r>
        <w:rPr>
          <w:rFonts w:ascii="Courier New" w:cs="Courier New" w:eastAsia="Courier New" w:hAnsi="Courier New"/>
          <w:sz w:val="14"/>
          <w:szCs w:val="14"/>
          <w:color w:val="auto"/>
        </w:rPr>
        <w:t>throughout the United States. At December 31, 1997, the five states with the greatest concentration of properties securing the Company's discount loans were California, New Jersey, New York, Connecticut and Pennsylvania, which had $311.1 million, $220.9 million, $201.5 million, $103.7 million and $95.5 million principal amount of discount loans (before unaccreted discount), respectively.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141" w:right="1440" w:bottom="1440" w:gutter="0" w:footer="0" w:header="0"/>
        </w:sectPr>
      </w:pPr>
    </w:p>
    <w:bookmarkStart w:id="7" w:name="page8"/>
    <w:bookmarkEnd w:id="7"/>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the relatively geographic distribution of its discount loan portfolio can reduce the risks associated with concentrating such loans in very limited more geographic areas, and that, due to its expertise, technology and software, and procedures, the geographic distribution of its discount loan portfolio does not place significantly greater burdens on the Company's ability to resolve such loans.</w:t>
      </w:r>
    </w:p>
    <w:p>
      <w:pPr>
        <w:spacing w:after="0" w:line="175"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Discount loans may have net book values up to the Bank's loan-to-one borrower limitation. See "Business Regulation-The Bank-Loan-to-One Borrower."</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ACQUISITION OF DISCOUNT LOANS. In the early years of the program, the Company acquired discount loans from the FDIC and the Resolution Trust Corporation ("RTC") primarily in auctions of pools of loans acquired by them from the large number of financial institutions which failed during the late 1980s and early 1990s. Although the RTC no longer is in existence and the banking and thrift industries have recovered from the problems experienced in the late 1980s and early 1990s, governmental agencies, particularly the Department of Housing and Urban Development ("HUD"), continue to be potential sources of discount loans. The Company obtains a substantial amount of discount loans from various private sector sellers, such as banks, savings institutions, mortgage companies, subprime lenders and insurance companies. At December 31, 1997, approximately 58% of the loans in the Company's discount loan portfolio had been acquired from the private sector.</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The percentage of discount loans in the Company's discount loan portfolio acquired from private sector sellers has decreased in recent periods as a result of the Company's acquisition of a substantial amount of discount loans from HUD. During the year ended December 31, 1997, the Company and a co-investor were the successful bidder to purchase from HUD 24,773 single family residential loans with an aggregate unpaid principal balance of $1.55 billion and a purchase price of $1.34 billion. The Company acquired $771.6 million of these loans and the right to service all of such loans. In 1996, the Company and</w:t>
      </w:r>
    </w:p>
    <w:p>
      <w:pPr>
        <w:spacing w:after="0" w:line="3" w:lineRule="exact"/>
        <w:rPr>
          <w:sz w:val="20"/>
          <w:szCs w:val="20"/>
          <w:color w:val="auto"/>
        </w:rPr>
      </w:pPr>
    </w:p>
    <w:p>
      <w:pPr>
        <w:jc w:val="both"/>
        <w:ind w:right="3239" w:firstLine="10"/>
        <w:spacing w:after="0" w:line="255" w:lineRule="auto"/>
        <w:tabs>
          <w:tab w:leader="none" w:pos="26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co-investor were the successful bidder to purchase from HUD 4,591 single family residential loans with an aggregate unpaid principal balance of $258.1 million and a purchase price of $204.0 million. The Company acquired $112.2 million of these loans and the right to service all of such loans. In 1996, the Company also acquired from HUD discount multi-family residential loans with an unpaid principal balance of $225 million. The foregoing acquisitions were in addition to the acquisition of $741.2 million gross principal amount of single family residential loans from HUD by BCBF, LLC (the "LLC"), a limited liability company formed in March 1996 between the Bank and BlackRock Capital Finance L.P. ("BlackRock"). See "Business-Investment in Joint Ventures."</w:t>
      </w:r>
    </w:p>
    <w:p>
      <w:pPr>
        <w:spacing w:after="0" w:line="16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Primarily as a result of acquisitions from HUD, during 1996 and 1997 the Company (including its pro rata interest in the LLC) was the second largest acquiror in the United States (behind Goldman Sachs' Whitehall Street Real Estate Fund) of distressed real estate assets worldwide and the largest acquiror in the U.S. of portfolios of such assets, according to statistics published by REAL ESTATE ALERT.</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HUD loans are acquired by HUD pursuant to various assignment programs of the Federal Housing Administration ("FHA"). Under programs of the FHA, a lending institution may assign an FHA-insured loan to HUD because of an economic hardship on the part of the borrower which precludes the borrower from making the scheduled principal and interest payment on the loan. FHA-insured loans also are automatically assigned to HUD upon the 20th anniversary of the mortgage loan. In most cases, loans assigned to HUD after this 20-year period are performing under the original terms of the loan. Once a loan is assigned to HUD, the FHA insurance has been paid and the loan is no longer insured. As a result, none of the HUD loans are insured by the FHA.</w:t>
      </w:r>
    </w:p>
    <w:p>
      <w:pPr>
        <w:spacing w:after="0" w:line="179"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 majority of the $771.6 million of loans acquired from HUD during the year ended December 31, 1997 are subject to forbearance agreements after the servicing transfer date. During the forbearance period, borrowers are required to make a monthly payment which is based on their ability to pay and which may be less than the contractual monthly payment. Once the forbearance period is over, the borrower is required to make at least the contractual payment regardless of ability to pay. Virtually all of the foregoing loans acquired from HUD will reach the end of the forbearance period by the end of 1998. Prior purchases of loans from HUD by the Company (and the LLC) primarily included loans that were beyond the forbearance period.</w:t>
      </w:r>
    </w:p>
    <w:p>
      <w:pPr>
        <w:spacing w:after="0" w:line="179"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Discount real estate loans generally are acquired in pools, although discount commercial real estate loans may be acquired individually. These pools generally are acquired in auctions or competitive bid circumstances in which the Company faces substantial competition. Although many of the Company's competitors have access to greater capital and have other advantages, the Company believes that it has a competitive advantage relative to many of its competitors as a result of its experience in managing and resolving discount loans, its large investment in the computer systems, technology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8" w:name="page9"/>
    <w:bookmarkEnd w:id="8"/>
    <w:p>
      <w:pPr>
        <w:jc w:val="both"/>
        <w:ind w:right="3239"/>
        <w:spacing w:after="0" w:line="235" w:lineRule="auto"/>
        <w:rPr>
          <w:sz w:val="20"/>
          <w:szCs w:val="20"/>
          <w:color w:val="auto"/>
        </w:rPr>
      </w:pPr>
      <w:r>
        <w:rPr>
          <w:rFonts w:ascii="Courier New" w:cs="Courier New" w:eastAsia="Courier New" w:hAnsi="Courier New"/>
          <w:sz w:val="15"/>
          <w:szCs w:val="15"/>
          <w:color w:val="auto"/>
        </w:rPr>
        <w:t>and other resources which are necessary to conduct this business, its national reputation and the strategic relationships and contacts which it has developed in connection with these activities.</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generally acquires discount loans solely for its own portfolio. From time to time, however, the Company and one or more co-investors may submit a joint bid to acquire a pool of discount loans in order to enhance the prospects of submitting a successful bid. If successful, the Company and the co-investors generally allocate ownership of the acquired loans in an agreed upon manner, although in certain instances the Company and the co-investor may continue to have a joint interest in the acquired loans. In addition, from time to time the Company and a co-investor may acquire discount loans through a joint venture. See "Business-Investment in Joint Ventures."</w:t>
      </w:r>
    </w:p>
    <w:p>
      <w:pPr>
        <w:spacing w:after="0" w:line="16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Prior to making an offer to purchase a portfolio of discount loans, the Company conducts an extensive investigation and evaluation of the loans in the portfolio. Evaluations of potential discount loans are conducted primarily by the Company's employees who specialize in the analysis of nonperforming loans, often with further specialization based on geographic or collateral specific factors. The Company's employees regularly use third parties, such as brokers, who are familiar with a property's type and location, to assist them in conducting an evaluation of the value of a collateral property, and depending on the circumstances, particularly in the case of commercial real estate loans, may use subcontractors, such as local counsel and engineering and environmental experts, to assist in the evaluation and verification of information and the gathering of other information not previously made available by a potential seller.</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determines the amount to be offered by it to acquire potential discount loans by using a proprietary modeling system and loan information database which focuses on the anticipated recovery amount and the timing and cost of the resolution of the loans. The amount offered by the Company generally is at a discount from both the stated value of the loan and the value of the underlying collateral which the Company estimates is sufficient to generate an acceptable return on its investment.</w:t>
      </w:r>
    </w:p>
    <w:p>
      <w:pPr>
        <w:spacing w:after="0" w:line="17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RESOLUTION OF DISCOUNT LOANS. After a discount loan is acquired, the Company utilizes its computer software systems to resolve the loan as expeditiously as possible in accordance with specified procedures. The various resolution alternatives generally include the following: (i) the borrower brings the loan current in accordance with original or modified terms, (ii) the borrower repays the loan or a negotiated amount of the loan, (iii) the borrower agrees to deed the property to the Company in lieu of foreclosure, in which case it is classified as real estate owned and held for sale by the Company, or (iv) the Company forecloses on the loan and the property is acquired at the foreclosure sale either by a third party or by the Company, in which case it is classified as real estate owned and held for sale by the Company. In addition, in the case of single family residential loans, assistance is provided to borrowers in the form of forbearance agreements under which the borrower either makes a monthly payment less than or equal to the original monthly payment or makes a monthly payment more than the contractual monthly payment to make up for arrearages.</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In appropriate cases, the Company works with borrowers to resolve the loan in advance of foreclosure. One method is through forbearance agreements, which generally allow the borrower to pay the contractual monthly payment plus a portion of the arrearage each month, and other means. Although this strategy may result in an initial reduction in the yield on a discounted loan, the Company believes that it is advantageous because it (i) generally results in a higher resolution value than foreclosure; (ii) reduces the amount of real estate owned acquired by foreclosure or by deed-in-lieu thereof and related costs and expenses; (iii) enhances the ability of the Company to sell the loan in the secondary market, either on a whole loan basis or through securitizations (in which case the Company may continue to earn fee income from servicing such loans); and (iv) permits the borrower to retain ownership of the home and, thus, enhances relations between the Company and the borrower. As a result of the Company's current loan resolution strategy of emphasizing forbearance agreements and other resolutions in advance of foreclosure, the Company has been able to resolve 71% of its discount loans before foreclosure.</w:t>
      </w:r>
    </w:p>
    <w:p>
      <w:pPr>
        <w:spacing w:after="0" w:line="16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general goal of the Company's asset resolution process is to maximize, in a timely manner, cash recovery on each loan in the discount loan portfolio. The Company generally anticipates a longer period (approximately 12 to 30 months) to resolve discount commercial real estate loans than discount single family residential loans because of their complexity and the wide variety of issues that may occur in connection with the resolution of such loans.</w:t>
      </w:r>
    </w:p>
    <w:p>
      <w:pPr>
        <w:spacing w:after="0" w:line="166"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The Credit Committee of the Board of Directors of the Bank actively monitors the asset resolution process to identify discount loans which have exceeded their expected foreclosure period and real estate owned which has been held longer than anticipated. Plans of action are developed for each of these assets to remedy the cause for delay and are reviewed by the Credit Committee.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 w:name="page10"/>
    <w:bookmarkEnd w:id="9"/>
    <w:p>
      <w:pPr>
        <w:jc w:val="both"/>
        <w:ind w:right="4040" w:firstLine="787"/>
        <w:spacing w:after="0" w:line="255" w:lineRule="auto"/>
        <w:rPr>
          <w:sz w:val="20"/>
          <w:szCs w:val="20"/>
          <w:color w:val="auto"/>
        </w:rPr>
      </w:pPr>
      <w:r>
        <w:rPr>
          <w:rFonts w:ascii="Courier New" w:cs="Courier New" w:eastAsia="Courier New" w:hAnsi="Courier New"/>
          <w:sz w:val="14"/>
          <w:szCs w:val="14"/>
          <w:color w:val="auto"/>
        </w:rPr>
        <w:t>SALE OF DISCOUNT LOANS. From time to time the Company sells performing discount loans either on a whole loan basis or indirectly through the securitization of such loans and sale of the mortgage-related securities backed by them. During the years ended December 31, 1997, 1996 and 1995, respectively, the Company sold $518.9 million, $230.2 million and $51.6 million of discount loans, respectively, which resulted in gains of $60.4 million, $15.3 million and $6.0 million, respectively, including net securitization gains of $53.1 million, $7.9 million and $0, respectively. Also during 1997, the LLC, as part of larger transactions involving the Company and an affiliate of Black Rock, completed the securitizations of 1,730 discount single family residential loans acquired from HUD in 1996 and 1995, with an unpaid principal balance of $78.4 million and past due interest of $22.5 million, which resulted in the Company recognizing indirect gains of $14.0 million as a result of the Company's pro rata interest in the LLC. The Company continues to service the loans for a fee and has retained interests in the related subordinate class of securities. For information concerning the foregoing securitizations and retained securities, see "Business-Investment Activities."</w:t>
      </w:r>
    </w:p>
    <w:p>
      <w:pPr>
        <w:spacing w:after="0" w:line="331" w:lineRule="exact"/>
        <w:rPr>
          <w:sz w:val="20"/>
          <w:szCs w:val="20"/>
          <w:color w:val="auto"/>
        </w:rPr>
      </w:pPr>
    </w:p>
    <w:p>
      <w:pPr>
        <w:jc w:val="both"/>
        <w:ind w:right="4040" w:firstLine="787"/>
        <w:spacing w:after="0" w:line="235" w:lineRule="auto"/>
        <w:rPr>
          <w:sz w:val="20"/>
          <w:szCs w:val="20"/>
          <w:color w:val="auto"/>
        </w:rPr>
      </w:pPr>
      <w:r>
        <w:rPr>
          <w:rFonts w:ascii="Courier New" w:cs="Courier New" w:eastAsia="Courier New" w:hAnsi="Courier New"/>
          <w:sz w:val="15"/>
          <w:szCs w:val="15"/>
          <w:color w:val="auto"/>
        </w:rPr>
        <w:t>ACTIVITY IN THE DISCOUNT LOAN PORTFOLIO. The following table sets forth the activity in the Company's gross discount loan portfolio during the periods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Year Ended December 31,</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9100" w:type="dxa"/>
            <w:vAlign w:val="bottom"/>
            <w:gridSpan w:val="11"/>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9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7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66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No. of</w:t>
            </w:r>
          </w:p>
        </w:tc>
        <w:tc>
          <w:tcPr>
            <w:tcW w:w="10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 of</w:t>
            </w:r>
          </w:p>
        </w:tc>
        <w:tc>
          <w:tcPr>
            <w:tcW w:w="11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 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 of</w:t>
            </w:r>
          </w:p>
        </w:tc>
        <w:tc>
          <w:tcPr>
            <w:tcW w:w="10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No. of</w:t>
            </w:r>
          </w:p>
        </w:tc>
      </w:tr>
      <w:tr>
        <w:trPr>
          <w:trHeight w:val="168"/>
        </w:trPr>
        <w:tc>
          <w:tcPr>
            <w:tcW w:w="19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Loans</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Loans</w:t>
            </w: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Loans</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19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beginning</w:t>
            </w: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period...........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$1,314,399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943,529</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$ 785,434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433,516</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$ 310,464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5,358</w:t>
            </w: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Acquisitions(1)......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1,776,773</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17,703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1,110,887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4,812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791,195</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2,972</w:t>
            </w:r>
          </w:p>
        </w:tc>
        <w:tc>
          <w:tcPr>
            <w:tcW w:w="1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826,391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294,359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Resolutions and</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9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repayments(2).......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(484,869)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(1,978)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(371,228)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(300,161)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(960)</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(265,292)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(116,890)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transferred to</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owned...</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(292,412)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(1,596)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(138,543)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(281,344)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(984)</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(171,300)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(26,887)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(518,872)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(6,609)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(230,246)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(51,595)</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(379)</w:t>
            </w:r>
          </w:p>
        </w:tc>
        <w:tc>
          <w:tcPr>
            <w:tcW w:w="1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(37,881)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19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 of</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period..............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$1,795,019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12,980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$1,314,399</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$ 943,529</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785,434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$ 433,516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5,160</w:t>
            </w:r>
          </w:p>
        </w:tc>
      </w:tr>
      <w:tr>
        <w:trPr>
          <w:trHeight w:val="168"/>
        </w:trPr>
        <w:tc>
          <w:tcPr>
            <w:tcW w:w="19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4040" w:hanging="430"/>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1997, acquisitions consisted of $1.06 billion of single family residential loans, $57.7 million of multi-family residential loans and $657.0 million of commercial real estate loans. In 1996, acquisitions consisted of $365.4 million of single family residential loans, $310.4 million of multi-family residential loans, $433.5 million of commercial real estate loans and $1.5 million of other loans. The 1996 data does not include the Company's pro rata share of the $741.2 million of discount loans acquired by the LLC (see Business Investment in Joint Ventures). In 1995, acquisitions consisted of $272.8 million of single family residential loans, $141.2 million of multi-family residential loans, $374.9 million of commercial real estate loans and $2.3 million of other loans. In 1994, acquisitions consisted of $395.8 million of single family residential loans, $315.5 million of multi-family residential loans and $115.1 million of commercial real estate loans. In 1993, substantially all of the acquisitions were of single family residential loans.</w:t>
      </w:r>
    </w:p>
    <w:p>
      <w:pPr>
        <w:spacing w:after="0" w:line="332" w:lineRule="exact"/>
        <w:rPr>
          <w:rFonts w:ascii="Courier New" w:cs="Courier New" w:eastAsia="Courier New" w:hAnsi="Courier New"/>
          <w:sz w:val="14"/>
          <w:szCs w:val="14"/>
          <w:color w:val="auto"/>
        </w:rPr>
      </w:pPr>
    </w:p>
    <w:p>
      <w:pPr>
        <w:jc w:val="both"/>
        <w:ind w:left="440" w:right="4040" w:hanging="430"/>
        <w:spacing w:after="0" w:line="236"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and repayments consists of loans which were resolved in a manner which resulted in partial or full repayment of the loan to the Company, as well as principal payments on loans which have been brought current in accordance with their original or modified terms (whether pursuant to forbearance agreements or otherwise) or on other loans which have not been resolved.</w:t>
      </w:r>
    </w:p>
    <w:p>
      <w:pPr>
        <w:spacing w:after="0" w:line="175" w:lineRule="exact"/>
        <w:rPr>
          <w:sz w:val="20"/>
          <w:szCs w:val="20"/>
          <w:color w:val="auto"/>
        </w:rPr>
      </w:pPr>
    </w:p>
    <w:p>
      <w:pPr>
        <w:jc w:val="both"/>
        <w:ind w:right="4040" w:firstLine="787"/>
        <w:spacing w:after="0" w:line="235" w:lineRule="auto"/>
        <w:rPr>
          <w:sz w:val="20"/>
          <w:szCs w:val="20"/>
          <w:color w:val="auto"/>
        </w:rPr>
      </w:pPr>
      <w:r>
        <w:rPr>
          <w:rFonts w:ascii="Courier New" w:cs="Courier New" w:eastAsia="Courier New" w:hAnsi="Courier New"/>
          <w:sz w:val="15"/>
          <w:szCs w:val="15"/>
          <w:color w:val="auto"/>
        </w:rPr>
        <w:t>For information relating to the activity in the Company's real estate owned which is attributable to the Company's discount loan acquisitions, see "Business-Asset Quality - Real Estate Owned."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040"/>
          </w:cols>
          <w:pgMar w:left="220" w:top="624" w:right="639" w:bottom="1440" w:gutter="0" w:footer="0" w:header="0"/>
        </w:sectPr>
      </w:pPr>
    </w:p>
    <w:bookmarkStart w:id="10" w:name="page11"/>
    <w:bookmarkEnd w:id="10"/>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PAYMENT STATUS OF DISCOUNT LOANS. The following table sets forth certain information relating to the payment status of loans in the Company's discount loan portfolio at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634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(Dollars</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status: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w w:val="98"/>
              </w:rPr>
              <w:t>Current.......................</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673,256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579,597</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351,630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113,794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23,629</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Past due 31 days to 89 days...</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22,786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22,161</w:t>
            </w:r>
          </w:p>
        </w:tc>
        <w:tc>
          <w:tcPr>
            <w:tcW w:w="4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86,838</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57,023</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15,175</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Past due 90 days or more (1)..</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1,070,924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563,077</w:t>
            </w:r>
          </w:p>
        </w:tc>
        <w:tc>
          <w:tcPr>
            <w:tcW w:w="4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385,112</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413,506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254,413</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Acquired and servicing not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yet transferred..............</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28,053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149,564</w:t>
            </w:r>
          </w:p>
        </w:tc>
        <w:tc>
          <w:tcPr>
            <w:tcW w:w="4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119,949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201,111</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140,299</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1,795,019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1,314,399</w:t>
            </w:r>
          </w:p>
        </w:tc>
        <w:tc>
          <w:tcPr>
            <w:tcW w:w="4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943,529</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785,434</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433,516</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Unaccreted discount...........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(337,350)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(241,908)</w:t>
            </w:r>
          </w:p>
        </w:tc>
        <w:tc>
          <w:tcPr>
            <w:tcW w:w="42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(273,758)</w:t>
            </w:r>
          </w:p>
        </w:tc>
        <w:tc>
          <w:tcPr>
            <w:tcW w:w="3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(255,974)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(129,882)</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Allowance for loan losses.....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(23,493)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(11,538)</w:t>
            </w:r>
          </w:p>
        </w:tc>
        <w:tc>
          <w:tcPr>
            <w:tcW w:w="42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1,434,176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$ 1,060,953</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669,771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529,460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303,634</w:t>
            </w:r>
          </w:p>
        </w:tc>
      </w:tr>
      <w:tr>
        <w:trPr>
          <w:trHeight w:val="168"/>
        </w:trPr>
        <w:tc>
          <w:tcPr>
            <w:tcW w:w="286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55" w:lineRule="auto"/>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$432.6 million and $57.0 million of loans with forbearance agreements at December 31, 1997 and 1996, respectively, and $638.3 million and $506.1 million of loans without forbearance agreements at December 31, 1997 and 1996, respectively. Of the $432.6 million of loans with forbearance agreements past due 90 days or more in accordance with original terms, $184.5 million were current and $131.8 million were past due 31 to 89 days under the terms of the forbearance agreements.</w:t>
      </w:r>
    </w:p>
    <w:p>
      <w:pPr>
        <w:spacing w:after="0" w:line="16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ACCOUNTING FOR DISCOUNT LOANS. The acquisition cost for a pool of discount loans is allocated to each individual loan within the pool based upon the Company's pricing methodology. Prior to January 1, 1997, the discount associated with all single family residential loans was recognized as a yield adjustment and was accreted into interest income using the interest method applied on a loan-by-loan basis once foreclosure proceedings were initiated, to the extent the timing and amount of cash flows could be reasonably determined. Effective January 1, 1997, the Company ceased accretion of discount on its nonperforming single family residential loans. The discount which is associated with a single family residential loan and certain multi-family residential and commercial real estate loans which are current or subsequently brought current by the borrower in accordance with the loan terms is accreted into the Company's interest income as a yield adjustment using the interest method over the contractual maturity of the loan. For all other loans interest is earned as cash is received.</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Gains on the repayment and discharge of loans are recorded in interest income on discount loans. Upon receipt of title to property securing a discount loan, the loans are transferred to real estate owned.</w:t>
      </w:r>
    </w:p>
    <w:p>
      <w:pPr>
        <w:spacing w:after="0" w:line="174"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Beginning in 1996, adjustments to reduce the carrying value of discount loans to the fair value of the property securing the loan are charged against the allowance for loan losses on the discount loan portfolio. Prior to 1996, such adjustments were charged against interest income on discount loans.</w:t>
      </w:r>
    </w:p>
    <w:p>
      <w:pPr>
        <w:spacing w:after="0" w:line="16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OTHER DISCOUNT LOAN ACTIVITIES. The Company believes that the procedures, facilities and systems which it has developed in connection with the acquisition and resolution of discount loans may be applied in other businesses. The Company commenced a program in 1995 to utilize this experience by financing the acquisition of discount loans by other institutions. During 1997 and 1996, the Company originated $0 million and $25.8 million, respectively, of portfolio finance loans, which had an aggregate balance of $17.7 million at December 31, 1997. Portfolio finance loans generally have two-year terms, floating interest rates which adjust in accordance with a designated reference rate and a loan-to-value ratio which does not exceed the lesser of 90% of the purchase price or the estimated value of the collateral as determined by the Company, and may include terms which provide the Company with a participation interest in the profits from the resolution of the discount loan collateral. Portfolio finance loans are included in the Company's non-discount loan portfolio under the category of loan which is represented by the properties which secure the discount loans that collateralize the Company's portfolio finance loans. See "Business - Lending Activities."</w:t>
      </w:r>
    </w:p>
    <w:p>
      <w:pPr>
        <w:spacing w:after="0" w:line="331"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Company's discount loan acquisitions and resolution activities and related securitization activities also have contributed significantly to increases in the Company's loan servicing activities. See "Business-Loan Servicing Activities."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INVESTMENT IN JOINT VENTURES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At December 31, 1997, the Company's investment in joint ventures consisted solely of its investment in BCFL, L.L.C. ("BCFL"), a limited liability company formed in January 1997 between the Company and BlackRock to acquire multi-family loans. At December 31, 1996, the Company's investment in joint ventures consisted of its 50% investment in the LLC. On December 12, 1997, the LLC distributed all of its assets to the Company and its other 50% investor, BlackRock. Simultaneous to the distribution, the Company acquired BlackRock's portion of the distributed assets.</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ACQUISITION OF HUD LOANS BY THE LLC. In April 1996, the LLC purchased 16,196 single family residential loans offered by HUD at an auction. Many of the loans, which had an aggregate unpaid principal balance of $741.2 million at the date of acquisition, were not performing in accordance with their original terms or an applicable forbearance agreement. The aggregate purchase price paid to HUD amounted to $626.4 million. All of the HUD loans acquired by the LLC were secured by first mortgage liens on single family residences.</w:t>
      </w:r>
    </w:p>
    <w:p>
      <w:pPr>
        <w:spacing w:after="0" w:line="17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the acquisition, the Company entered into an agreement with the LLC to service the HUD loans in accordance with its loan servicing and loan default resolution procedures. In return for such servicing, the Company received specific fees which were payable on a monthly basis. The Company did not pay any additional amount to acquire these servicing rights and, as a result, the acquisition of the right to service the HUD loans held by the LLC did not result in the Company's recording capitalized mortgage servicing rights for financial reporting purposes.</w:t>
      </w:r>
    </w:p>
    <w:p>
      <w:pPr>
        <w:spacing w:after="0" w:line="177"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SECURITIZATION OF THE HUD LOANS. During 1997, the LLC, as part of larger transactions involving the Company and an affiliate of BlackRock, completed securitizations of 1,730 HUD loans held by it with an unpaid principal balance of $78.4 million, past due interest of $22.5 million and a net book value of $60.6 million; and during 1996, the LLC completed a securitization of 9,825 HUD loans with an aggregate unpaid principal balance of $419.4 million, past due interest of $86.1 million and a net book value of $394.2 million. The LLC recognized gains of $14.0 million and $69.8 million (including a gain of $12.9 million on the sale in 1996 of $79.4 million of securities to the Company) from the sale of the senior classes in the REMICs formed for purposes of these transactions in the years ended December 31, 1997 and 1996, respectively, of which $7.0 million and $34.9 million, respectively, were allocable to the Company as a result of its pro rata interest in the LLC and included in equity in earnings of joint venture.</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ACCOUNTING FOR INVESTMENT IN JOINT VENTURES. The Company's investment in the LLC was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 The Company's investment in the LLC amounted to $0 and $67.9 million at December 31, 1997 and 1996, respectively. Because the LLC was a pass-through entity for federal income tax purposes, provisions for income taxes were established by each of the Company and its co-investor, and not the LLC. The Company recognized $23.7 million and $38.3 million of pre-tax income from its investment in the LLC for the years ended December 31, 1997 and 1996,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ACTIVITIES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COMPOSITION OF LOAN PORTFOLIO. At December 31, 1997, the Company's net loan portfolio amounted to $266.3 million or 9% of the Company's total assets. Loans held for investment in the Company's loan portfolio are carried at amortized cost, less an allowance for loan losses, because the Company has the ability and presently intends to hold them to maturity.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85" w:right="1440" w:bottom="1440" w:gutter="0" w:footer="0" w:header="0"/>
        </w:sectPr>
      </w:pPr>
    </w:p>
    <w:bookmarkStart w:id="12" w:name="page13"/>
    <w:bookmarkEnd w:id="12"/>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composition of the Company's loan portfolio by type of loan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8"/>
              </w:rPr>
              <w:t>December 31,</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6260" w:type="dxa"/>
            <w:vAlign w:val="bottom"/>
            <w:gridSpan w:val="8"/>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Single family residential loans.. $</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46,226</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73,186</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75,928</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31,926</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30,385</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Multi-family residential loans...</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71,382(1)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67,842(1)</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49,047(1)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39,352</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Commercial real estate and land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Hotels (3) ....................</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89,362(2)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200,311(2)</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125,791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19,659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14,237</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Office buildings (3)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68,759</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128,782</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61,262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Land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2,858</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2,332</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24,904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4,448</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16,094</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25,623</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2,494</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4,936</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4,059</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177,073</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357,048</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214,451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25,910</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22,744</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Commercial non-mortgage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2,614</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Consumer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244</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424</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3,223</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3,639</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loans .................</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294,925</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501,114</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342,649</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61,194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96,120</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Undisbursed loan proceeds .......</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(22,210)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(89,840)</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(39,721)</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Unaccreted discount .............</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(2,721)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(5,169)</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(5,376)</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(6,948)</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Allowance for loan losses .......</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(3,695)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(1,947)</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Loans, net ................</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266,299</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$ 402,582</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$ 295,605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57,045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88,288</w:t>
            </w:r>
          </w:p>
        </w:tc>
      </w:tr>
      <w:tr>
        <w:trPr>
          <w:trHeight w:val="168"/>
        </w:trPr>
        <w:tc>
          <w:tcPr>
            <w:tcW w:w="2940" w:type="dxa"/>
            <w:vAlign w:val="bottom"/>
          </w:tcPr>
          <w:p>
            <w:pPr>
              <w:spacing w:after="0"/>
              <w:rPr>
                <w:sz w:val="14"/>
                <w:szCs w:val="14"/>
                <w:color w:val="auto"/>
              </w:rPr>
            </w:pPr>
          </w:p>
        </w:tc>
        <w:tc>
          <w:tcPr>
            <w:tcW w:w="12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35"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1996 and 1995, multi-family residential loans included $33.3 million, $36.6 million, and $7.7 million of construction loans, respectively.</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and 1996, hotel loans included $25.3 million and $26.4 million of construction loans, respectively.</w:t>
      </w:r>
    </w:p>
    <w:p>
      <w:pPr>
        <w:spacing w:after="0" w:line="173" w:lineRule="exact"/>
        <w:rPr>
          <w:rFonts w:ascii="Courier New" w:cs="Courier New" w:eastAsia="Courier New" w:hAnsi="Courier New"/>
          <w:sz w:val="15"/>
          <w:szCs w:val="15"/>
          <w:color w:val="auto"/>
        </w:rPr>
      </w:pPr>
    </w:p>
    <w:p>
      <w:pPr>
        <w:ind w:left="540" w:right="3239" w:hanging="530"/>
        <w:spacing w:after="0" w:line="261"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1997, payoffs of commercial real estate loans secured by hotels and office buildings totaled $80.5 million and $107.3 million, respectively.</w:t>
      </w:r>
    </w:p>
    <w:p>
      <w:pPr>
        <w:spacing w:after="0" w:line="160"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Company's lending activities are conducted on a nationwide basis and, as a result, the properties which secure its loan portfolio are located throughout the United States. At December 31, 1997, the five states in which the largest amount of properties securing loans in the Company's loan portfolio were New York, New Jersey, California, Maryland and Illinois, which had $58.8 million, $35.4 million, $27.7 million, $26.1 million and $21.2 million of principal amount of loans, respectively. As noted above, the Company believes that the relatively geographic distribution of its loan portfolio can reduce the risks associated with concentrating such loans in more limited geographic areas.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CONTRACTUAL PRINCIPAL REPAYMENTS. The following table sets forth certain information at December 31, 1997 regarding the dollar amount of loans maturing in the Company's loan portfolio based on scheduled contractual amortization, as well as the dollar amount of loans which have fixed or adjustable interest rates. Demand loans, loans having no stated schedule of repayments and no stated maturity and overdrafts are reported as due in one year or less. Loan balances have not been reduced for (i) undisbursed loan proceeds, unearned discounts and the allowance for loan losses or (ii) nonperforming loans.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gridSpan w:val="3"/>
          </w:tcPr>
          <w:p>
            <w:pPr>
              <w:jc w:val="right"/>
              <w:ind w:right="1147"/>
              <w:spacing w:after="0"/>
              <w:rPr>
                <w:sz w:val="20"/>
                <w:szCs w:val="20"/>
                <w:color w:val="auto"/>
              </w:rPr>
            </w:pPr>
            <w:r>
              <w:rPr>
                <w:rFonts w:ascii="Courier New" w:cs="Courier New" w:eastAsia="Courier New" w:hAnsi="Courier New"/>
                <w:sz w:val="15"/>
                <w:szCs w:val="15"/>
                <w:color w:val="auto"/>
              </w:rPr>
              <w:t>Maturing in</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63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After One Year</w:t>
            </w:r>
          </w:p>
        </w:tc>
        <w:tc>
          <w:tcPr>
            <w:tcW w:w="1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After Five Years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One</w:t>
            </w: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Through Five</w:t>
            </w:r>
          </w:p>
        </w:tc>
        <w:tc>
          <w:tcPr>
            <w:tcW w:w="480" w:type="dxa"/>
            <w:vAlign w:val="bottom"/>
          </w:tcPr>
          <w:p>
            <w:pPr>
              <w:spacing w:after="0"/>
              <w:rPr>
                <w:sz w:val="14"/>
                <w:szCs w:val="14"/>
                <w:color w:val="auto"/>
              </w:rPr>
            </w:pPr>
          </w:p>
        </w:tc>
        <w:tc>
          <w:tcPr>
            <w:tcW w:w="13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Through</w:t>
            </w:r>
          </w:p>
        </w:tc>
        <w:tc>
          <w:tcPr>
            <w:tcW w:w="4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After Ten</w:t>
            </w:r>
          </w:p>
        </w:tc>
      </w:tr>
      <w:tr>
        <w:trPr>
          <w:trHeight w:val="168"/>
        </w:trPr>
        <w:tc>
          <w:tcPr>
            <w:tcW w:w="360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Year or Less</w:t>
            </w:r>
          </w:p>
        </w:tc>
        <w:tc>
          <w:tcPr>
            <w:tcW w:w="5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Years</w:t>
            </w:r>
          </w:p>
        </w:tc>
        <w:tc>
          <w:tcPr>
            <w:tcW w:w="480" w:type="dxa"/>
            <w:vAlign w:val="bottom"/>
          </w:tcPr>
          <w:p>
            <w:pPr>
              <w:spacing w:after="0"/>
              <w:rPr>
                <w:sz w:val="14"/>
                <w:szCs w:val="14"/>
                <w:color w:val="auto"/>
              </w:rPr>
            </w:pPr>
          </w:p>
        </w:tc>
        <w:tc>
          <w:tcPr>
            <w:tcW w:w="13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8"/>
              </w:rPr>
              <w:t>Ten Years</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Single family residential loans.......</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4,999</w:t>
            </w:r>
          </w:p>
        </w:tc>
        <w:tc>
          <w:tcPr>
            <w:tcW w:w="5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1,789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8,094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31,344</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Multi-family residential loans........</w:t>
            </w:r>
          </w:p>
        </w:tc>
        <w:tc>
          <w:tcPr>
            <w:tcW w:w="7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24,454</w:t>
            </w:r>
          </w:p>
        </w:tc>
        <w:tc>
          <w:tcPr>
            <w:tcW w:w="5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29,227</w:t>
            </w:r>
          </w:p>
        </w:tc>
        <w:tc>
          <w:tcPr>
            <w:tcW w:w="48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3,979</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13,722</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Commercial real estate and land loans.</w:t>
            </w:r>
          </w:p>
        </w:tc>
        <w:tc>
          <w:tcPr>
            <w:tcW w:w="7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18,646</w:t>
            </w:r>
          </w:p>
        </w:tc>
        <w:tc>
          <w:tcPr>
            <w:tcW w:w="5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150,108</w:t>
            </w:r>
          </w:p>
        </w:tc>
        <w:tc>
          <w:tcPr>
            <w:tcW w:w="48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4,233</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4,085</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Consumer and other loans..............</w:t>
            </w:r>
          </w:p>
        </w:tc>
        <w:tc>
          <w:tcPr>
            <w:tcW w:w="7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w:t>
            </w:r>
          </w:p>
        </w:tc>
        <w:tc>
          <w:tcPr>
            <w:tcW w:w="5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224</w:t>
            </w:r>
          </w:p>
        </w:tc>
        <w:tc>
          <w:tcPr>
            <w:tcW w:w="48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48,120</w:t>
            </w: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181,348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16,306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49,151</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Interest rate terms on amounts due:</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Fixed..............................</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10,974</w:t>
            </w: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166,001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16,132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27,951</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Adjustable.........................</w:t>
            </w:r>
          </w:p>
        </w:tc>
        <w:tc>
          <w:tcPr>
            <w:tcW w:w="7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37,146</w:t>
            </w:r>
          </w:p>
        </w:tc>
        <w:tc>
          <w:tcPr>
            <w:tcW w:w="5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15,347</w:t>
            </w:r>
          </w:p>
        </w:tc>
        <w:tc>
          <w:tcPr>
            <w:tcW w:w="48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21,200</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48,120</w:t>
            </w: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181,348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16,306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49,151</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Scheduled contractual principal repayments may not reflect the actual maturities of loans because of prepayments and, in the case of conventional mortgage loans, due-on-sale clauses. The average life of mortgage loans, particularly fixed-rate loans, tends to increase when current mortgage loan rates are substantially higher than rates on existing mortgage loans and, conversely, decrease when rates on existing mortgages are substantially higher than current mortgage loan rates.</w:t>
      </w:r>
    </w:p>
    <w:p>
      <w:pPr>
        <w:spacing w:after="0" w:line="176"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ACTIVITY IN THE LOAN PORTFOLIO. The following table sets forth the activity in the Company's loan portfolio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43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(Dollars in Thousands)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Balance at beginning of period.......................</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501,114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342,649</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61,194</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1,987</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10,681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14,776</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16,799</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68,076</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48,664</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Commercial real estate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69,948</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199,017</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212,630</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Commercial non-mortgage and consumer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1,140</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3,366</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loans originated.........................</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89,874</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281,140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276,277</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29,833</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Commercial real estate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2,245</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Consumer loans....................................</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1,966</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loans purchased..........................</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34,044</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Sales ...............................................</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(2,346)</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Loans transferred from available for sale............</w:t>
            </w:r>
          </w:p>
        </w:tc>
        <w:tc>
          <w:tcPr>
            <w:tcW w:w="4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13,782</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4,353</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Principal repayments.................................</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(306,916)</w:t>
            </w:r>
          </w:p>
        </w:tc>
        <w:tc>
          <w:tcPr>
            <w:tcW w:w="60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(121,818)</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(33,168)</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Transfer to real estate owned........................</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w:t>
            </w:r>
          </w:p>
        </w:tc>
        <w:tc>
          <w:tcPr>
            <w:tcW w:w="60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(1,207)</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increase (decrease) in net loans.................</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(206,189)</w:t>
            </w:r>
          </w:p>
        </w:tc>
        <w:tc>
          <w:tcPr>
            <w:tcW w:w="6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158,465</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281,455</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Balance at end of period.............................</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294,925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501,114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342,649</w:t>
            </w:r>
          </w:p>
        </w:tc>
      </w:tr>
      <w:tr>
        <w:trPr>
          <w:trHeight w:val="168"/>
        </w:trPr>
        <w:tc>
          <w:tcPr>
            <w:tcW w:w="4860" w:type="dxa"/>
            <w:vAlign w:val="bottom"/>
          </w:tcPr>
          <w:p>
            <w:pPr>
              <w:spacing w:after="0"/>
              <w:rPr>
                <w:sz w:val="14"/>
                <w:szCs w:val="14"/>
                <w:color w:val="auto"/>
              </w:rPr>
            </w:pP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486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4" w:name="page15"/>
    <w:bookmarkEnd w:id="14"/>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LOANS AVAILABLE FOR SALE. In addition to loans acquired for investment, the Company also originates and purchases loans which it presently does not intend to hold to maturity. Such loans are designated as loans available for sale upon origination or purchase and generally are carried at the lower of cost or aggregate market value. At December 31, 1997, loans available for sale amounted to $177.0 million or 6% of the Company's total assets.</w:t>
      </w:r>
    </w:p>
    <w:p>
      <w:pPr>
        <w:spacing w:after="0" w:line="166"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composition of the Company's loans available for sale by type of loan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67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4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Single family residential loans......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176,554</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111,980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221,927</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16,825</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30,217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13,657</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28,694</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83,845</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44,919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4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w:t>
            </w:r>
          </w:p>
        </w:tc>
        <w:tc>
          <w:tcPr>
            <w:tcW w:w="4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1,169</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1,623</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25,930</w:t>
            </w:r>
          </w:p>
        </w:tc>
      </w:tr>
      <w:tr>
        <w:trPr>
          <w:trHeight w:val="168"/>
        </w:trPr>
        <w:tc>
          <w:tcPr>
            <w:tcW w:w="34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177,041</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126,366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251,790</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102,293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101,066</w:t>
            </w:r>
          </w:p>
        </w:tc>
      </w:tr>
      <w:tr>
        <w:trPr>
          <w:trHeight w:val="168"/>
        </w:trPr>
        <w:tc>
          <w:tcPr>
            <w:tcW w:w="34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Although the Company's loans available for sale are secured by properties located nationwide, currently a substantial majority of such loans are subprime single family residential loans originated primarily in the western states, particularly California, primarily as the result of Admiral having been located there prior to the acquisition of substantially all of its assets by OFS. As a result, $35.2 million or 20% of the Company's loans available for sale at December 31, 1997 were secured by properties located in California, primarily as the result of Admiral having been located there prior to the acquisition of substantially all of its assets by OFS.</w:t>
      </w:r>
    </w:p>
    <w:p>
      <w:pPr>
        <w:spacing w:after="0" w:line="178"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SINGLE FAMILY RESIDENTIAL LOANS. Since late 1994, the Company's lending activities have included the origination and purchase of single family residential loans to borrowers who because of prior credit problems, the absence of a credit history or other factors are unable or unwilling to qualify as borrowers for a single family residential loan under guidelines of the Federal National Mortgage Association ("FNMA") and the Federal Home Loan Mortgage Corporation ("FHLMC") ("conforming loans") and who have substantial equity in the properties which secure the loans. Loans to non-conforming borrowers are perceived by the Company as being advantageous because they generally have higher interest rates and origination and servicing fees and generally lower loan-to-value ratios than conforming loans and because the Company's expertise in the servicing and resolution of nonperforming loans can be utilized in underwriting such loans, as well as to address loans acquired pursuant to this program which become nonperforming after acquisition.</w:t>
      </w:r>
    </w:p>
    <w:p>
      <w:pPr>
        <w:spacing w:after="0" w:line="332"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Through 1996, the Company acquired subprime single family residential loans primarily through a correspondent relationship with Admiral and, to a lesser extent, correspondent relationships with three other financial services companies. Correspondent institutions originate loans based on guidelines provided by the Company and promptly sell the loans to the Company on a servicing-released basis.</w:t>
      </w:r>
    </w:p>
    <w:p>
      <w:pPr>
        <w:spacing w:after="0" w:line="17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In order to solidify and expand its sources of subprime single family residential loans, the Company, through OFS, acquired substantially all of the assets of Admiral in a transaction which closed on May 1, 1997. See "Business-Subsidiaries." At the time of acquisition, Admiral engaged in subprime lending on a retail and wholesale basis through eleven loan production offices located in California and independent mortgage brokers and correspondent lending institutions located in California and eleven other states. In connection with the Company's acquisition of assets from Admiral, the Bank transferred its retail and wholesale subprime single family residential lending operations to OFS, which included, among other things, transferring its rights under contracts with brokers and correspondent lending institutions and its rights and obligations under leases to six loan production offices recently opened by it, which are located in California, Illinois, Massachusetts, Oregon and Utah. OFS currently conducts its business on a retail and wholesale basis through 27 loan production offices located in seven states and plans to open an additional five such offices in 1998.</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OFS' principal sources of funds consist of (i) four lines of credit with unaffiliated parties which aggregate $650 million and are secured by the mortgage loans acquired with such lines and (ii) a $30 million unsecured, subordinated credit facility provided by the Company to OFS at the time of the acquisition of substantially all of the assets of Admiral. The Company has adopted policies that set forth the specific lending requirements of the Company as they relate to the processing, underwriting, property appraisal, closing, funding and delivery of subprime loans. These policies include program descriptions which set forth four classes of loans, designated A, B, C and D. Class A loans generally relate to borrowers who have no or limited adverse incidents in their credit histories, whereas Class B, C and D loans relate to</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685" w:gutter="0" w:footer="0" w:header="0"/>
        </w:sectPr>
      </w:pPr>
    </w:p>
    <w:bookmarkStart w:id="15" w:name="page16"/>
    <w:bookmarkEnd w:id="15"/>
    <w:p>
      <w:pPr>
        <w:jc w:val="both"/>
        <w:ind w:right="3239"/>
        <w:spacing w:after="0" w:line="235" w:lineRule="auto"/>
        <w:rPr>
          <w:sz w:val="20"/>
          <w:szCs w:val="20"/>
          <w:color w:val="auto"/>
        </w:rPr>
      </w:pPr>
      <w:r>
        <w:rPr>
          <w:rFonts w:ascii="Courier New" w:cs="Courier New" w:eastAsia="Courier New" w:hAnsi="Courier New"/>
          <w:sz w:val="15"/>
          <w:szCs w:val="15"/>
          <w:color w:val="auto"/>
        </w:rPr>
        <w:t>increasing degrees of adverse incidents in the borrower's credit histories. Factors which are considered in evaluating a borrower in this regard are the presence or absence of a credit history, prior delinquencies in the payment of mortgage and consumer credit and personal bankruptcies.</w:t>
      </w:r>
    </w:p>
    <w:p>
      <w:pPr>
        <w:spacing w:after="0" w:line="17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The terms of the loan products offered by the Company directly or through its correspondents emphasize real estate loans which generally are underwritten with significant reliance on a borrower's level of equity in the property securing the loan, which may be an owner-occupied or, depending on the class of loan and its terms, a non-owner occupied property. Although the Company's guidelines require information in order to enable the Company to evaluate a borrower's ability to repay a loan by relating the borrower's income, assets and liabilities to the proposed indebtedness, because of the significant reliance on the ratio of the principal amount of the loan to the appraised value of the security property, each of the four principal classes of loans identified by the Company include products which permit reduced documentation for verifying a borrower's income and employment. Loans which permit reduced documentation generally require documentation of employment and income for the most recent six-month period, as opposed to the two-year period required in the case of full documentation loans. Although the Company reserves the right to verify a borrower's income, assets and liabilities and employment history, other than as set forth above, it generally does not verify such information through other sources.</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Company's strategy is to offer a broad range of products to its borrowers and its origination sources. Loans may have principal amounts which conform to the guidelines set by FHLMC or FNMA for conforming loans or principal amounts which significantly exceed these amounts (so called "jumbo loans"). Loans may have fixed or adjustable interest rates and terms ranging up to 30 years.</w:t>
      </w:r>
    </w:p>
    <w:p>
      <w:pPr>
        <w:spacing w:after="0" w:line="175"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activity in the Company's net loans available for sale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50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1997</w:t>
            </w:r>
          </w:p>
        </w:tc>
        <w:tc>
          <w:tcPr>
            <w:tcW w:w="660" w:type="dxa"/>
            <w:vAlign w:val="bottom"/>
          </w:tcPr>
          <w:p>
            <w:pPr>
              <w:spacing w:after="0"/>
              <w:rPr>
                <w:sz w:val="14"/>
                <w:szCs w:val="14"/>
                <w:color w:val="auto"/>
              </w:rPr>
            </w:pPr>
          </w:p>
        </w:tc>
        <w:tc>
          <w:tcPr>
            <w:tcW w:w="154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126,366</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251,790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102,293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278,081</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284,598</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230,077</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10,456</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10,056</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278,081</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295,054</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240,133</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316,101</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9,447</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24,810</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316,101</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9,447</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25,170</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Sales..........................................</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(501,079)</w:t>
            </w:r>
          </w:p>
        </w:tc>
        <w:tc>
          <w:tcPr>
            <w:tcW w:w="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(395,999)</w:t>
            </w:r>
          </w:p>
        </w:tc>
        <w:tc>
          <w:tcPr>
            <w:tcW w:w="3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(100,104)</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Increase in lower of cost or market reserve....</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w:t>
            </w:r>
          </w:p>
        </w:tc>
        <w:tc>
          <w:tcPr>
            <w:tcW w:w="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(2,455)</w:t>
            </w:r>
          </w:p>
        </w:tc>
        <w:tc>
          <w:tcPr>
            <w:tcW w:w="3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Loans transferred (to)/from loan portfolio.....</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(13,674)</w:t>
            </w:r>
          </w:p>
        </w:tc>
        <w:tc>
          <w:tcPr>
            <w:tcW w:w="66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repayments, net of capitalized</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(22,151)</w:t>
            </w:r>
          </w:p>
        </w:tc>
        <w:tc>
          <w:tcPr>
            <w:tcW w:w="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(27,845)</w:t>
            </w:r>
          </w:p>
        </w:tc>
        <w:tc>
          <w:tcPr>
            <w:tcW w:w="3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(11,231)</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Transfer to real estate owned..................</w:t>
            </w:r>
          </w:p>
        </w:tc>
        <w:tc>
          <w:tcPr>
            <w:tcW w:w="6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(5,569)</w:t>
            </w:r>
          </w:p>
        </w:tc>
        <w:tc>
          <w:tcPr>
            <w:tcW w:w="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(3,671)</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increase (decrease) in loans.............</w:t>
            </w:r>
          </w:p>
        </w:tc>
        <w:tc>
          <w:tcPr>
            <w:tcW w:w="6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50,675</w:t>
            </w:r>
          </w:p>
        </w:tc>
        <w:tc>
          <w:tcPr>
            <w:tcW w:w="6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(125,424)</w:t>
            </w:r>
          </w:p>
        </w:tc>
        <w:tc>
          <w:tcPr>
            <w:tcW w:w="3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149,497</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Balance at end of period.......................</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177,041</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126,366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251,790</w:t>
            </w:r>
          </w:p>
        </w:tc>
      </w:tr>
      <w:tr>
        <w:trPr>
          <w:trHeight w:val="168"/>
        </w:trPr>
        <w:tc>
          <w:tcPr>
            <w:tcW w:w="4380" w:type="dxa"/>
            <w:vAlign w:val="bottom"/>
          </w:tcPr>
          <w:p>
            <w:pPr>
              <w:spacing w:after="0"/>
              <w:rPr>
                <w:sz w:val="14"/>
                <w:szCs w:val="14"/>
                <w:color w:val="auto"/>
              </w:rPr>
            </w:pP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purchased and originated a total of $588.3 million of single family residential loans to non-conforming borrowers during 1997 and $294.0 million of such loans during 1996. At December 31, 1997, the Company had $167.0 million of subprime single family residential loans, which had a weighted average yield of 10.41%.</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generally intends to sell or securitize its subprime single family residential loans, and as a result, all of such loans were classified as available for sale at December 31, 1997. During 1997, the Company sold $82.6 million of subprime single family residential loans for gains of $3.3 million; during 1996 the Company sold $161.5 million of such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6" w:name="page17"/>
    <w:bookmarkEnd w:id="16"/>
    <w:p>
      <w:pPr>
        <w:jc w:val="both"/>
        <w:ind w:right="3239"/>
        <w:spacing w:after="0" w:line="236" w:lineRule="auto"/>
        <w:rPr>
          <w:sz w:val="20"/>
          <w:szCs w:val="20"/>
          <w:color w:val="auto"/>
        </w:rPr>
      </w:pPr>
      <w:r>
        <w:rPr>
          <w:rFonts w:ascii="Courier New" w:cs="Courier New" w:eastAsia="Courier New" w:hAnsi="Courier New"/>
          <w:sz w:val="15"/>
          <w:szCs w:val="15"/>
          <w:color w:val="auto"/>
        </w:rPr>
        <w:t>loans for gains of $571,000; and during 1995 the Company sold $25.3 million of subprime single family residential loans for gains of $188,000. An additional $415.8 million and $211.2 million of loans were securitized and sold in public offerings underwritten by unaffiliated investment banking firms during 1997 and 1996, respectively, generating gains of $18.8 million and $7.2 million, respectively, upon the sale of the securities. The Company retained subordinate and REMIC residual securities in connection with these transactions. Such securities had an aggregate carrying value of $41.8 million at December 31, 1997. See "Business-Investment Activities."</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Although subprime loans generally have higher levels of default than conforming loans, the Company believes that the borrower's equity in the security property and its expertise in the area of resolution of nonperforming loans will continue to make its subprime borrower loan program a successful one notwithstanding such defaults and any resulting losses. There can be no assurance that this will be the case, however.</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addition to the Company's subprime single family residential loan programs, from time to time the Company purchases pools of single family residential loans for investment purposes. During 1995, the Company purchased $29.8 million of loans which were primarily secured by properties located in the area surrounding the Bank's physical facility in northern New Jersey.</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MULTI-FAMILY RESIDENTIAL AND COMMERCIAL REAL ESTATE LOANS. The Company's lending activities include the acquisition of loans secured by commercial real estate, particularly loans secured by hotels and office buildings, which the Company began originating in late 1994 and late 1995, respectively. Commercial real estate loans currently are made to finance the purchase and refinance of commercial properties, the refurbishment of distressed properties and, recently, the construction of hotels. At December 31, 1997, the Company's loans secured by commercial real estate (and land) amounted to $177.1 million and consisted primarily of $89.4 million and $68.8 million of loans secured by hotels and office buildings, respectively.</w:t>
      </w:r>
    </w:p>
    <w:p>
      <w:pPr>
        <w:spacing w:after="0" w:line="179"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From time to time, the Company originates loans for the construction of multi-family residences, as well as bridge loans to finance the acquisition and rehabilitation of distressed multi-family residential properties. At December 31, 1997, the Company's multi-family residential loan portfolio included $33.3 million of multi-family residential construction loans, of which $21.1 million had been funded, and $38.1 million of acquisition and rehabilitation loans, of which $34.8 million had been funded.</w:t>
      </w:r>
    </w:p>
    <w:p>
      <w:pPr>
        <w:spacing w:after="0" w:line="17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From time to time the Company also originates loans secured by existing multi-family residences. Although the Company has deemphasized this type of lending in recent periods, it previously was active in the origination and securitization of such loans. During 1995, 1994 and 1993, the Company securitized multi-family residential loans acquired by it with an aggregate principal amount of $83.9 million, $346.6 million and $67.1 million, respectively. The Company subsequently sold all of the securities backed by these loans.</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multi-family residential and commercial real estate loans acquired by the Company in recent periods generally have principal amounts between $3.0 million and the Bank's loan-to-one-borrower limitation (see "Regulation-The Bank-Loans-to-One-Borrower") and are secured by properties which in management's view have good prospects for appreciation in value during the loan term. In addition, the Company currently is implementing a program to originate multi-family residential and commercial real estate loans with smaller principal amounts (generally up to $3.0 million) and which may be secured by a wide variety of such properties.</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Company's large multi-family residential and commercial real estate loans generally have fixed interest rates, terms of two to five years and payment schedules which are based on amortization over 15 to 25 year periods. The maximum loan-to-value ratio generally does not exceed 80% of the stabilized value of the property and 88% of the total costs of the property in the case of construction, refurbishment or rehabilitation loans.</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Multi-family residential and commercial real estate loans are secured by a first priority lien on the real property, all improvements thereon and, in the case of hotel loans, all fixtures and equipment used in connection therewith, as well as a first priority assignment of all revenue and gross receipts generated in connection with the property. The liability of a borrower on multi-family residential and commercial real estate loans generally is limited to the borrower's interest in the property, except with respect to certain specified circumstances.</w:t>
      </w:r>
    </w:p>
    <w:p>
      <w:pPr>
        <w:spacing w:after="0" w:line="177"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addition to stated interest, the large multi-family residential and commercial real estate loans originated by the Company commonly include provisions pursuant to which the borrower agrees to pay the Company as additional interest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7" w:name="page18"/>
    <w:bookmarkEnd w:id="17"/>
    <w:p>
      <w:pPr>
        <w:jc w:val="both"/>
        <w:ind w:right="3239"/>
        <w:spacing w:after="0" w:line="254" w:lineRule="auto"/>
        <w:rPr>
          <w:sz w:val="20"/>
          <w:szCs w:val="20"/>
          <w:color w:val="auto"/>
        </w:rPr>
      </w:pPr>
      <w:r>
        <w:rPr>
          <w:rFonts w:ascii="Courier New" w:cs="Courier New" w:eastAsia="Courier New" w:hAnsi="Courier New"/>
          <w:sz w:val="14"/>
          <w:szCs w:val="14"/>
          <w:color w:val="auto"/>
        </w:rPr>
        <w:t>on the loan an amount based on specified percentages (generally between 10-38%) of the net cash flow from the property during the term of the loan and/or the net proceeds from the sale or refinancing of the property upon maturity of the loan. Participating interests also may be obtained in the form of additional fees which must be paid by the borrower in connection with a prepayment of the loan, generally after an initial lock-out period during which prepayments are prohibited. The fees which could be payable by a borrower during specified periods of the loan consist either of fixed exit fees or yield maintenance payments, which are required to be paid over a specified number of years after the prepayment and are intended to increase the yield to the Company on the proceeds from the loan payoff to a level which is comparable to the yield on the prepaid loan. At December 31, 1997, the Company's loan portfolio included $101.1 million of funded and unfunded loans in which the Company participates in the residual profits of the underlying real estate, of which $89.0 million had been funded. The Company generally accounts for loans in which it participates in residual profits as loans and not as investments in real estate; however, because of concerns raised by the staff of the OTS in this regard, in December 1996 and during 1997 the Bank sold to the Company subordinated, participating interests in a total of eleven acquisition, development and construction loans, which interests had an aggregate principal balance of $18.0 million. On a consolidated basis, eight of these loans, which amounted to $64.3 million at December 31, 1997, were carried by the Company as investments in real estate. The Bank (but not the Company) has agreed with the OTS to cease origination of mortgage loans with profit participation features in the underlying real estate, with the exception of existing commitments.</w:t>
      </w:r>
    </w:p>
    <w:p>
      <w:pPr>
        <w:spacing w:after="0" w:line="34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Construction loans generally have terms of three to four years and interest rates which float on a monthly basis in accordance with designated reference rates. Payments during the term of the loan may be made to the Company monthly on an interest-only basis. The loan amount may include an interest reserve which is maintained by the Company and utilized to pay interest on the loan during a portion of its term.</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Construction loans are made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are made only after evidence that available funds have been utilized by the borrower and are sufficient to pay for all construction costs through the date of the construction advance and funds remain in the construction budget and from sources other than the loan to complete construction of the project.</w:t>
      </w:r>
    </w:p>
    <w:p>
      <w:pPr>
        <w:spacing w:after="0" w:line="16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generally requires the general contractor selected by the borrower, which along with the general construction contract is subject to the Company's review and approval, to provide payment and performance bonds issued by a surety approved by the Company in an amount at least equal to the costs which are estimated to be necessary to complete construction of the project in accordance with the construction contract. Moreover, the Company generally conducts site inspections of projects under construction at least bi-monthly and of completed projects at least semi-annually.</w:t>
      </w:r>
    </w:p>
    <w:p>
      <w:pPr>
        <w:spacing w:after="0" w:line="177"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Multi-family residential, commercial real estate and construction lending generally are considered to involve a higher degree of risk than single family residential lending because such loans involve larger loan balances to a single borrower or group of related borrowers. In addition, the payment experience on multi-family residential and commercial real estate loans typically is dependent on the successful operation of the project, and thus such loans may be adversely affected to a greater extent by adverse conditions in the real estate markets or in the economy generally. Risk of loss on a construction loan is dependent largely upon the accuracy of the initial estimate of the property's value at completion of construction or development and the estimated cost (including interest) of construction, as well as the availability of permanent take-out financing. During the construction phase, a number of factors could result in delays and cost overruns. If the estimate of value proves to be inaccurate, the Company may be confronted, at or prior to the maturity of the loan, with a project which, when completed, has a value which is insufficient to ensure full repayment. In addition to the foregoing, multi-family residential and commercial real estate loans which are not fully amortizing over their maturity and which have a balloon payment due at their stated maturity, as is generally the case with the Company's multi-family residential and commercial real estate loans, involve a greater degree of risk than fully amortizing loans because the ability of a borrower to make a balloon payment typically will depend on its ability either to timely refinance the loan or to timely sell the security property. The ability of a borrower to accomplish these results will be affected by a number of factors, including the level of available mortgage rates at the time of sale or refinancing, the financial condition and operating history of the borrower and the property which secures the loan, tax laws, prevailing economic conditions and the availability of financing for multi-family residential and commercial real estate generally.</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LOAN SERVICING ACTIVITIES</w:t>
      </w:r>
    </w:p>
    <w:p>
      <w:pPr>
        <w:spacing w:after="0" w:line="173" w:lineRule="exact"/>
        <w:rPr>
          <w:sz w:val="20"/>
          <w:szCs w:val="20"/>
          <w:color w:val="auto"/>
        </w:rPr>
      </w:pPr>
    </w:p>
    <w:p>
      <w:pPr>
        <w:jc w:val="both"/>
        <w:ind w:right="4540" w:firstLine="787"/>
        <w:spacing w:after="0" w:line="236" w:lineRule="auto"/>
        <w:rPr>
          <w:sz w:val="20"/>
          <w:szCs w:val="20"/>
          <w:color w:val="auto"/>
        </w:rPr>
      </w:pPr>
      <w:r>
        <w:rPr>
          <w:rFonts w:ascii="Courier New" w:cs="Courier New" w:eastAsia="Courier New" w:hAnsi="Courier New"/>
          <w:sz w:val="15"/>
          <w:szCs w:val="15"/>
          <w:color w:val="auto"/>
        </w:rPr>
        <w:t>During 1996, the Company developed a program to provide loan servicing and various other asset management and resolution services to third party owners of nonperforming assets, underperforming assets and subprime assets such as Class B, C and D single family residential mortgage loans. Servicing contracts entered into by the Company provide for the payment to the Company of specified fees and in some cases may include terms which allow the Company to participate in the profits resulting from the successful resolution of the assets being serviced.</w:t>
      </w:r>
    </w:p>
    <w:p>
      <w:pPr>
        <w:spacing w:after="0" w:line="177" w:lineRule="exact"/>
        <w:rPr>
          <w:sz w:val="20"/>
          <w:szCs w:val="20"/>
          <w:color w:val="auto"/>
        </w:rPr>
      </w:pPr>
    </w:p>
    <w:p>
      <w:pPr>
        <w:jc w:val="both"/>
        <w:ind w:right="4540" w:firstLine="787"/>
        <w:spacing w:after="0" w:line="236" w:lineRule="auto"/>
        <w:rPr>
          <w:sz w:val="20"/>
          <w:szCs w:val="20"/>
          <w:color w:val="auto"/>
        </w:rPr>
      </w:pPr>
      <w:r>
        <w:rPr>
          <w:rFonts w:ascii="Courier New" w:cs="Courier New" w:eastAsia="Courier New" w:hAnsi="Courier New"/>
          <w:sz w:val="15"/>
          <w:szCs w:val="15"/>
          <w:color w:val="auto"/>
        </w:rPr>
        <w:t>The Bank has been approved as a loan servicer by HUD, FHLMC and FNMA. The Bank is rated a Tier 1 servicer and as a preferred servicer for high-risk mortgages by FHLMC, the highest rating categories, and also is rated as a "strong" special servicer for commercial mortgage loans by Standard &amp; Poor's, which also is the highest rating category. In addition, the Bank is the only servicer rated as a special servicer for residential mortgage loans.</w:t>
      </w:r>
    </w:p>
    <w:p>
      <w:pPr>
        <w:spacing w:after="0" w:line="175" w:lineRule="exact"/>
        <w:rPr>
          <w:sz w:val="20"/>
          <w:szCs w:val="20"/>
          <w:color w:val="auto"/>
        </w:rPr>
      </w:pPr>
    </w:p>
    <w:p>
      <w:pPr>
        <w:jc w:val="both"/>
        <w:ind w:right="4540" w:firstLine="787"/>
        <w:spacing w:after="0" w:line="234" w:lineRule="auto"/>
        <w:rPr>
          <w:sz w:val="20"/>
          <w:szCs w:val="20"/>
          <w:color w:val="auto"/>
        </w:rPr>
      </w:pPr>
      <w:r>
        <w:rPr>
          <w:rFonts w:ascii="Courier New" w:cs="Courier New" w:eastAsia="Courier New" w:hAnsi="Courier New"/>
          <w:sz w:val="15"/>
          <w:szCs w:val="15"/>
          <w:color w:val="auto"/>
        </w:rPr>
        <w:t>The following tables set forth the number and amount of loans serviced by the Company for others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December 31, 1997</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89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Discount Loans</w:t>
            </w:r>
          </w:p>
        </w:tc>
        <w:tc>
          <w:tcPr>
            <w:tcW w:w="2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Subprime Loans</w:t>
            </w:r>
          </w:p>
        </w:tc>
        <w:tc>
          <w:tcPr>
            <w:tcW w:w="260" w:type="dxa"/>
            <w:vAlign w:val="bottom"/>
          </w:tcPr>
          <w:p>
            <w:pPr>
              <w:spacing w:after="0"/>
              <w:rPr>
                <w:sz w:val="14"/>
                <w:szCs w:val="14"/>
                <w:color w:val="auto"/>
              </w:rPr>
            </w:pPr>
          </w:p>
        </w:tc>
        <w:tc>
          <w:tcPr>
            <w:tcW w:w="20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Other Loans</w:t>
            </w:r>
          </w:p>
        </w:tc>
        <w:tc>
          <w:tcPr>
            <w:tcW w:w="21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8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1140" w:type="dxa"/>
            <w:vAlign w:val="bottom"/>
          </w:tcPr>
          <w:p>
            <w:pPr>
              <w:spacing w:after="0"/>
              <w:rPr>
                <w:sz w:val="14"/>
                <w:szCs w:val="14"/>
                <w:color w:val="auto"/>
              </w:rPr>
            </w:pP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 of</w:t>
            </w:r>
          </w:p>
        </w:tc>
        <w:tc>
          <w:tcPr>
            <w:tcW w:w="1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Amount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Loans</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Loans securitized and sold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recourse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624,591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555,914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$1,180,505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16,124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serviced for third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parties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1,682,764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23,181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2,352,352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29,911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294,198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4,329,314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54,184</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$2,307,355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34,329</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$2,908,266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294,198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$5,509,819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70,308</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December 31, 1996</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89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Discount Loans</w:t>
            </w:r>
          </w:p>
        </w:tc>
        <w:tc>
          <w:tcPr>
            <w:tcW w:w="220" w:type="dxa"/>
            <w:vAlign w:val="bottom"/>
          </w:tcPr>
          <w:p>
            <w:pPr>
              <w:spacing w:after="0"/>
              <w:rPr>
                <w:sz w:val="14"/>
                <w:szCs w:val="14"/>
                <w:color w:val="auto"/>
              </w:rPr>
            </w:pPr>
          </w:p>
        </w:tc>
        <w:tc>
          <w:tcPr>
            <w:tcW w:w="20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Subprime Loans</w:t>
            </w:r>
          </w:p>
        </w:tc>
        <w:tc>
          <w:tcPr>
            <w:tcW w:w="260" w:type="dxa"/>
            <w:vAlign w:val="bottom"/>
          </w:tcPr>
          <w:p>
            <w:pPr>
              <w:spacing w:after="0"/>
              <w:rPr>
                <w:sz w:val="14"/>
                <w:szCs w:val="14"/>
                <w:color w:val="auto"/>
              </w:rPr>
            </w:pPr>
          </w:p>
        </w:tc>
        <w:tc>
          <w:tcPr>
            <w:tcW w:w="20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Other Loans</w:t>
            </w:r>
          </w:p>
        </w:tc>
        <w:tc>
          <w:tcPr>
            <w:tcW w:w="21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8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0"/>
              </w:rPr>
              <w:t>-----------------------</w:t>
            </w:r>
          </w:p>
        </w:tc>
        <w:tc>
          <w:tcPr>
            <w:tcW w:w="1140" w:type="dxa"/>
            <w:vAlign w:val="bottom"/>
          </w:tcPr>
          <w:p>
            <w:pPr>
              <w:spacing w:after="0"/>
              <w:rPr>
                <w:sz w:val="14"/>
                <w:szCs w:val="14"/>
                <w:color w:val="auto"/>
              </w:rPr>
            </w:pP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 of</w:t>
            </w:r>
          </w:p>
        </w:tc>
        <w:tc>
          <w:tcPr>
            <w:tcW w:w="11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Amount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Loans</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Loans securitized and sold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recourse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204,586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202,766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407,352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serviced for third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parties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1,209,535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22,511</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6,784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294,427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1,510,746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23,488</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$1,414,121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209,550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294,427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$1,918,098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30,163</w:t>
            </w:r>
          </w:p>
        </w:tc>
      </w:tr>
      <w:tr>
        <w:trPr>
          <w:trHeight w:val="168"/>
        </w:trPr>
        <w:tc>
          <w:tcPr>
            <w:tcW w:w="25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4540" w:firstLine="787"/>
        <w:spacing w:after="0" w:line="236" w:lineRule="auto"/>
        <w:rPr>
          <w:sz w:val="20"/>
          <w:szCs w:val="20"/>
          <w:color w:val="auto"/>
        </w:rPr>
      </w:pPr>
      <w:r>
        <w:rPr>
          <w:rFonts w:ascii="Courier New" w:cs="Courier New" w:eastAsia="Courier New" w:hAnsi="Courier New"/>
          <w:sz w:val="15"/>
          <w:szCs w:val="15"/>
          <w:color w:val="auto"/>
        </w:rPr>
        <w:t>The increases in the number and amount of loans serviced by the Company for others in recent periods were primarily attributable to the Company's acquisition of rights to service discount loans acquired from HUD by BlackRock, directly and indirectly through the LLC, and servicing rights resulting from the securitization of both loans acquired from HUD by the Company and BlackRock, directly and indirectly through the LLC, and subprime single family residential loans held by the Company.</w:t>
      </w:r>
    </w:p>
    <w:p>
      <w:pPr>
        <w:spacing w:after="0" w:line="176" w:lineRule="exact"/>
        <w:rPr>
          <w:sz w:val="20"/>
          <w:szCs w:val="20"/>
          <w:color w:val="auto"/>
        </w:rPr>
      </w:pPr>
    </w:p>
    <w:p>
      <w:pPr>
        <w:jc w:val="both"/>
        <w:ind w:right="4540" w:firstLine="787"/>
        <w:spacing w:after="0" w:line="255" w:lineRule="auto"/>
        <w:rPr>
          <w:sz w:val="20"/>
          <w:szCs w:val="20"/>
          <w:color w:val="auto"/>
        </w:rPr>
      </w:pPr>
      <w:r>
        <w:rPr>
          <w:rFonts w:ascii="Courier New" w:cs="Courier New" w:eastAsia="Courier New" w:hAnsi="Courier New"/>
          <w:sz w:val="14"/>
          <w:szCs w:val="14"/>
          <w:color w:val="auto"/>
        </w:rPr>
        <w:t>The Company generally does not purchase rights to service loans for others and, as a result, capitalized mortgage servicing rights amount to only $5.7 million and $2.4 million at December 31, 1997 and 1996, respectively. In accordance with Statement of Financial Accounting Standards ("SFAS") No. 122 "Accounting for Mortgage Servicing Rights," the Company amortizes mortgage servicing rights over the estimated weighted average life of the loans and periodically evaluates its mortgage servicing rights for impairment based on the fair value of those rights, which is recognized through a valuation allowance.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QUALITY</w:t>
      </w:r>
    </w:p>
    <w:p>
      <w:pPr>
        <w:spacing w:after="0" w:line="173" w:lineRule="exact"/>
        <w:rPr>
          <w:sz w:val="20"/>
          <w:szCs w:val="20"/>
          <w:color w:val="auto"/>
        </w:rPr>
      </w:pPr>
    </w:p>
    <w:p>
      <w:pPr>
        <w:jc w:val="both"/>
        <w:ind w:right="4540" w:firstLine="787"/>
        <w:spacing w:after="0" w:line="236" w:lineRule="auto"/>
        <w:rPr>
          <w:sz w:val="20"/>
          <w:szCs w:val="20"/>
          <w:color w:val="auto"/>
        </w:rPr>
      </w:pPr>
      <w:r>
        <w:rPr>
          <w:rFonts w:ascii="Courier New" w:cs="Courier New" w:eastAsia="Courier New" w:hAnsi="Courier New"/>
          <w:sz w:val="15"/>
          <w:szCs w:val="15"/>
          <w:color w:val="auto"/>
        </w:rPr>
        <w:t>The Company, like all financial institutions, is exposed to certain credit risks related to the value of the collateral that secures its loans and the ability of borrowers to repay their loans. Management of the Company closely monitors the Company's loan and investment portfolios and the Company's real estate owned for potential problems and reports to the Board of Directors at regularly scheduled meetings.</w:t>
      </w:r>
    </w:p>
    <w:p>
      <w:pPr>
        <w:spacing w:after="0" w:line="175" w:lineRule="exact"/>
        <w:rPr>
          <w:sz w:val="20"/>
          <w:szCs w:val="20"/>
          <w:color w:val="auto"/>
        </w:rPr>
      </w:pPr>
    </w:p>
    <w:p>
      <w:pPr>
        <w:jc w:val="both"/>
        <w:ind w:right="4540" w:firstLine="787"/>
        <w:spacing w:after="0" w:line="235" w:lineRule="auto"/>
        <w:rPr>
          <w:sz w:val="20"/>
          <w:szCs w:val="20"/>
          <w:color w:val="auto"/>
        </w:rPr>
      </w:pPr>
      <w:r>
        <w:rPr>
          <w:rFonts w:ascii="Courier New" w:cs="Courier New" w:eastAsia="Courier New" w:hAnsi="Courier New"/>
          <w:sz w:val="15"/>
          <w:szCs w:val="15"/>
          <w:color w:val="auto"/>
        </w:rPr>
        <w:t>NONPERFORMING LOANS. It is the Company's policy to establish an allowance for uncollectible interest on loans in its loan portfolio and loans available for sale which are past due 90 days or more and to place such loans on non-accrual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540"/>
          </w:cols>
          <w:pgMar w:left="220" w:top="617" w:right="139" w:bottom="180" w:gutter="0" w:footer="0" w:header="0"/>
        </w:sectPr>
      </w:pPr>
    </w:p>
    <w:bookmarkStart w:id="19" w:name="page20"/>
    <w:bookmarkEnd w:id="19"/>
    <w:p>
      <w:pPr>
        <w:jc w:val="both"/>
        <w:ind w:right="3239"/>
        <w:spacing w:after="0" w:line="236" w:lineRule="auto"/>
        <w:rPr>
          <w:sz w:val="20"/>
          <w:szCs w:val="20"/>
          <w:color w:val="auto"/>
        </w:rPr>
      </w:pPr>
      <w:r>
        <w:rPr>
          <w:rFonts w:ascii="Courier New" w:cs="Courier New" w:eastAsia="Courier New" w:hAnsi="Courier New"/>
          <w:sz w:val="15"/>
          <w:szCs w:val="15"/>
          <w:color w:val="auto"/>
        </w:rPr>
        <w:t>status. As a result, the Company currently does not have any loans which are accruing interest but are past due 90 days or more. Loans also may be placed on non-accrual status when, in the judgment of management, the probability of collection of interest is deemed to be insufficient to warrant further accrual. When a loan is placed on non-accrual status, previously accrued but unpaid interest is reversed by a charge to interest income.</w:t>
      </w:r>
    </w:p>
    <w:p>
      <w:pPr>
        <w:spacing w:after="0" w:line="168" w:lineRule="exact"/>
        <w:rPr>
          <w:sz w:val="20"/>
          <w:szCs w:val="20"/>
          <w:color w:val="auto"/>
        </w:rPr>
      </w:pPr>
    </w:p>
    <w:p>
      <w:pPr>
        <w:ind w:left="800"/>
        <w:spacing w:after="0"/>
        <w:tabs>
          <w:tab w:leader="none" w:pos="1220" w:val="left"/>
          <w:tab w:leader="none" w:pos="2180" w:val="left"/>
          <w:tab w:leader="none" w:pos="3760" w:val="left"/>
          <w:tab w:leader="none" w:pos="4540" w:val="left"/>
          <w:tab w:leader="none" w:pos="5680" w:val="left"/>
        </w:tabs>
        <w:rPr>
          <w:sz w:val="20"/>
          <w:szCs w:val="20"/>
          <w:color w:val="auto"/>
        </w:rPr>
      </w:pPr>
      <w:r>
        <w:rPr>
          <w:rFonts w:ascii="Courier New" w:cs="Courier New" w:eastAsia="Courier New" w:hAnsi="Courier New"/>
          <w:sz w:val="15"/>
          <w:szCs w:val="15"/>
          <w:color w:val="auto"/>
        </w:rPr>
        <w:t>The</w:t>
        <w:tab/>
        <w:t>following</w:t>
        <w:tab/>
        <w:t>table sets forth</w:t>
        <w:tab/>
        <w:t>certain</w:t>
        <w:tab/>
        <w:t>information</w:t>
      </w:r>
      <w:r>
        <w:rPr>
          <w:sz w:val="20"/>
          <w:szCs w:val="20"/>
          <w:color w:val="auto"/>
        </w:rPr>
        <w:tab/>
      </w:r>
      <w:r>
        <w:rPr>
          <w:rFonts w:ascii="Courier New" w:cs="Courier New" w:eastAsia="Courier New" w:hAnsi="Courier New"/>
          <w:sz w:val="14"/>
          <w:szCs w:val="14"/>
          <w:color w:val="auto"/>
        </w:rPr>
        <w:t>relating to the</w:t>
      </w:r>
    </w:p>
    <w:p>
      <w:pPr>
        <w:spacing w:after="0" w:line="237" w:lineRule="auto"/>
        <w:rPr>
          <w:sz w:val="20"/>
          <w:szCs w:val="20"/>
          <w:color w:val="auto"/>
        </w:rPr>
      </w:pPr>
      <w:r>
        <w:rPr>
          <w:rFonts w:ascii="Courier New" w:cs="Courier New" w:eastAsia="Courier New" w:hAnsi="Courier New"/>
          <w:sz w:val="15"/>
          <w:szCs w:val="15"/>
          <w:color w:val="auto"/>
        </w:rPr>
        <w:t>Company's nonperforming loans in its loan portfolio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62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1997</w:t>
            </w:r>
          </w:p>
        </w:tc>
        <w:tc>
          <w:tcPr>
            <w:tcW w:w="26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1994</w:t>
            </w:r>
          </w:p>
        </w:tc>
        <w:tc>
          <w:tcPr>
            <w:tcW w:w="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86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Nonperforming loans (1):</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1,575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2,923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2,478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2,347</w:t>
            </w: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7,583(2)</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731</w:t>
            </w:r>
          </w:p>
        </w:tc>
        <w:tc>
          <w:tcPr>
            <w:tcW w:w="2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w:t>
            </w:r>
          </w:p>
        </w:tc>
        <w:tc>
          <w:tcPr>
            <w:tcW w:w="3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Consumer and other loans................</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202</w:t>
            </w:r>
          </w:p>
        </w:tc>
        <w:tc>
          <w:tcPr>
            <w:tcW w:w="2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386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9,158</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2,284</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3,856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2,659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3,567</w:t>
            </w:r>
          </w:p>
        </w:tc>
      </w:tr>
      <w:tr>
        <w:trPr>
          <w:trHeight w:val="168"/>
        </w:trPr>
        <w:tc>
          <w:tcPr>
            <w:tcW w:w="386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Nonperforming loans as a percentage of:</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loans (3).........................</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3.36%</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0.56%</w:t>
            </w:r>
          </w:p>
        </w:tc>
        <w:tc>
          <w:tcPr>
            <w:tcW w:w="3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4.35%</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0.30%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0.09%</w:t>
            </w:r>
          </w:p>
        </w:tc>
        <w:tc>
          <w:tcPr>
            <w:tcW w:w="3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Allowance for loan losses as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6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a percentage of: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loans(3)........................</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0.87%</w:t>
            </w:r>
          </w:p>
        </w:tc>
        <w:tc>
          <w:tcPr>
            <w:tcW w:w="3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0.65%(4)</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r>
      <w:tr>
        <w:trPr>
          <w:trHeight w:val="168"/>
        </w:trPr>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Nonperforming loans...................</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40.35%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154.24%</w:t>
            </w:r>
          </w:p>
        </w:tc>
        <w:tc>
          <w:tcPr>
            <w:tcW w:w="3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50.49%</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40.28%</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39" w:hanging="530"/>
        <w:spacing w:after="0" w:line="23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have any nonperforming loans in its loan portfolio which were deemed troubled debt restructurings at the dates indicated.</w:t>
      </w:r>
    </w:p>
    <w:p>
      <w:pPr>
        <w:spacing w:after="0" w:line="173" w:lineRule="exact"/>
        <w:rPr>
          <w:rFonts w:ascii="Courier New" w:cs="Courier New" w:eastAsia="Courier New" w:hAnsi="Courier New"/>
          <w:sz w:val="15"/>
          <w:szCs w:val="15"/>
          <w:color w:val="auto"/>
        </w:rPr>
      </w:pPr>
    </w:p>
    <w:p>
      <w:pPr>
        <w:jc w:val="both"/>
        <w:ind w:left="540" w:right="3239" w:hanging="530"/>
        <w:spacing w:after="0" w:line="235"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nonperforming multi-family residential loans during 1997 was primarily attributable to a $7.4 million loan secured by a 127-unit condominium building located in New York, New York, which management believes is well collateralized.</w:t>
      </w:r>
    </w:p>
    <w:p>
      <w:pPr>
        <w:spacing w:after="0" w:line="168"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is net of undisbursed loan proceeds.</w:t>
      </w:r>
    </w:p>
    <w:p>
      <w:pPr>
        <w:spacing w:after="0" w:line="172" w:lineRule="exact"/>
        <w:rPr>
          <w:rFonts w:ascii="Courier New" w:cs="Courier New" w:eastAsia="Courier New" w:hAnsi="Courier New"/>
          <w:sz w:val="15"/>
          <w:szCs w:val="15"/>
          <w:color w:val="auto"/>
        </w:rPr>
      </w:pPr>
    </w:p>
    <w:p>
      <w:pPr>
        <w:jc w:val="both"/>
        <w:ind w:left="540" w:right="3239" w:hanging="530"/>
        <w:spacing w:after="0" w:line="236"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the allowance for loan losses as a percentage of total loans from 1994 was due to the significant increase in the loan portfolio in 1995 as a result of the purchase of single family residential loans and the origination of multi-family residential and commercial real estate loans.</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presents a summary of the Company's nonperforming loans in the loans available for sale portfolio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32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Single family loans..................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13,509</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14,409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Consumer loans.......................</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40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332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14,445</w:t>
            </w:r>
          </w:p>
        </w:tc>
        <w:tc>
          <w:tcPr>
            <w:tcW w:w="3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332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loans a percentage of:</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Total loans available for sale</w:t>
            </w:r>
          </w:p>
        </w:tc>
        <w:tc>
          <w:tcPr>
            <w:tcW w:w="7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11.43%</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505"/>
        </w:trPr>
        <w:tc>
          <w:tcPr>
            <w:tcW w:w="3320" w:type="dxa"/>
            <w:vAlign w:val="bottom"/>
          </w:tcPr>
          <w:p>
            <w:pPr>
              <w:spacing w:after="0"/>
              <w:rPr>
                <w:sz w:val="24"/>
                <w:szCs w:val="24"/>
                <w:color w:val="auto"/>
              </w:rPr>
            </w:pPr>
          </w:p>
        </w:tc>
        <w:tc>
          <w:tcPr>
            <w:tcW w:w="7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88"/>
              </w:rPr>
              <w:t>19</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20" w:name="page21"/>
    <w:bookmarkEnd w:id="20"/>
    <w:p>
      <w:pPr>
        <w:ind w:left="800"/>
        <w:spacing w:after="0"/>
        <w:tabs>
          <w:tab w:leader="none" w:pos="1220" w:val="left"/>
          <w:tab w:leader="none" w:pos="2360" w:val="left"/>
          <w:tab w:leader="none" w:pos="3220" w:val="left"/>
          <w:tab w:leader="none" w:pos="3580" w:val="left"/>
          <w:tab w:leader="none" w:pos="4020" w:val="left"/>
          <w:tab w:leader="none" w:pos="4800" w:val="left"/>
          <w:tab w:leader="none" w:pos="5500" w:val="left"/>
          <w:tab w:leader="none" w:pos="5840" w:val="left"/>
          <w:tab w:leader="none" w:pos="6460" w:val="left"/>
        </w:tabs>
        <w:rPr>
          <w:sz w:val="20"/>
          <w:szCs w:val="20"/>
          <w:color w:val="auto"/>
        </w:rPr>
      </w:pPr>
      <w:r>
        <w:rPr>
          <w:rFonts w:ascii="Courier New" w:cs="Courier New" w:eastAsia="Courier New" w:hAnsi="Courier New"/>
          <w:sz w:val="15"/>
          <w:szCs w:val="15"/>
          <w:color w:val="auto"/>
        </w:rPr>
        <w:t>For</w:t>
        <w:tab/>
        <w:t>information</w:t>
        <w:tab/>
        <w:t>relating</w:t>
        <w:tab/>
        <w:t>to</w:t>
        <w:tab/>
        <w:t>the</w:t>
        <w:tab/>
        <w:t>payment</w:t>
        <w:tab/>
        <w:t>status</w:t>
        <w:tab/>
        <w:t>of</w:t>
        <w:tab/>
        <w:t>loans</w:t>
      </w:r>
      <w:r>
        <w:rPr>
          <w:sz w:val="20"/>
          <w:szCs w:val="20"/>
          <w:color w:val="auto"/>
        </w:rPr>
        <w:tab/>
      </w:r>
      <w:r>
        <w:rPr>
          <w:rFonts w:ascii="Courier New" w:cs="Courier New" w:eastAsia="Courier New" w:hAnsi="Courier New"/>
          <w:sz w:val="14"/>
          <w:szCs w:val="14"/>
          <w:color w:val="auto"/>
        </w:rPr>
        <w:t>in the</w:t>
      </w:r>
    </w:p>
    <w:p>
      <w:pPr>
        <w:spacing w:after="0"/>
        <w:tabs>
          <w:tab w:leader="none" w:pos="3140" w:val="left"/>
          <w:tab w:leader="none" w:pos="5240" w:val="left"/>
        </w:tabs>
        <w:rPr>
          <w:sz w:val="20"/>
          <w:szCs w:val="20"/>
          <w:color w:val="auto"/>
        </w:rPr>
      </w:pPr>
      <w:r>
        <w:rPr>
          <w:rFonts w:ascii="Courier New" w:cs="Courier New" w:eastAsia="Courier New" w:hAnsi="Courier New"/>
          <w:sz w:val="15"/>
          <w:szCs w:val="15"/>
          <w:color w:val="auto"/>
        </w:rPr>
        <w:t>Company's discount loan portfolio,</w:t>
        <w:tab/>
        <w:t>see "Business-Discount</w:t>
      </w:r>
      <w:r>
        <w:rPr>
          <w:sz w:val="20"/>
          <w:szCs w:val="20"/>
          <w:color w:val="auto"/>
        </w:rPr>
        <w:tab/>
      </w:r>
      <w:r>
        <w:rPr>
          <w:rFonts w:ascii="Courier New" w:cs="Courier New" w:eastAsia="Courier New" w:hAnsi="Courier New"/>
          <w:sz w:val="14"/>
          <w:szCs w:val="14"/>
          <w:color w:val="auto"/>
        </w:rPr>
        <w:t>Loan Acquisition and</w:t>
      </w:r>
    </w:p>
    <w:p>
      <w:pPr>
        <w:spacing w:after="0" w:line="238" w:lineRule="auto"/>
        <w:rPr>
          <w:sz w:val="20"/>
          <w:szCs w:val="20"/>
          <w:color w:val="auto"/>
        </w:rPr>
      </w:pPr>
      <w:r>
        <w:rPr>
          <w:rFonts w:ascii="Courier New" w:cs="Courier New" w:eastAsia="Courier New" w:hAnsi="Courier New"/>
          <w:sz w:val="15"/>
          <w:szCs w:val="15"/>
          <w:color w:val="auto"/>
        </w:rPr>
        <w:t>Resolution Activities."</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REAL ESTATE OWNED. Properties acquired through foreclosure or by deed-in-lieu thereof are valued at the lower of amortized cost or fair value. Properties included in the Company's real estate owned portfolio are periodically re-evaluated to determine that they are being carried at the lower of cost or fair value less estimated costs to sell. Holding and maintenance costs related to properties are recorded as expenses in the period incurred. Deficiencies resulting from valuation adjustments to real estate owned subsequent to acquisition are recognized as a valuation allowance. Subsequent increases related to the valuation of real estate owned are reflected as a reduction in the valuation allowance, but not below zero. Increases and decreases in the valuation allowance are charged or credited to income, respectively. Accumulated valuation allowances amounted to $12.3 million at December 31, 1997 as compared to $11.5 million at December 31, 1996.</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ind w:left="800"/>
              <w:spacing w:after="0"/>
              <w:rPr>
                <w:sz w:val="20"/>
                <w:szCs w:val="20"/>
                <w:color w:val="auto"/>
              </w:rPr>
            </w:pPr>
            <w:r>
              <w:rPr>
                <w:rFonts w:ascii="Courier New" w:cs="Courier New" w:eastAsia="Courier New" w:hAnsi="Courier New"/>
                <w:sz w:val="15"/>
                <w:szCs w:val="15"/>
                <w:color w:val="auto"/>
              </w:rPr>
              <w:t>The  following  table sets forth  certain</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information</w:t>
            </w:r>
          </w:p>
        </w:tc>
        <w:tc>
          <w:tcPr>
            <w:tcW w:w="21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7"/>
              </w:rPr>
              <w:t>relating to the</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Company's real estate owned at the dates indicated.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December 31,</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49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3"/>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84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Discount loan portfolio:</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76,409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$ 49,728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$ 75,144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$ 86,426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$ 33,369</w:t>
            </w:r>
          </w:p>
        </w:tc>
      </w:tr>
      <w:tr>
        <w:trPr>
          <w:trHeight w:val="168"/>
        </w:trPr>
        <w:tc>
          <w:tcPr>
            <w:tcW w:w="5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Multi-family residential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59,932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Commercial real estate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71,339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31,218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164,489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100,038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166,294</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33,369</w:t>
            </w:r>
          </w:p>
        </w:tc>
      </w:tr>
      <w:tr>
        <w:trPr>
          <w:trHeight w:val="168"/>
        </w:trPr>
        <w:tc>
          <w:tcPr>
            <w:tcW w:w="5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Loan portfolio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50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Loans available for sale.............................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167,265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$103,704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$166,556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$ 96,667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$ 33,497</w:t>
            </w:r>
          </w:p>
        </w:tc>
      </w:tr>
      <w:tr>
        <w:trPr>
          <w:trHeight w:val="168"/>
        </w:trPr>
        <w:tc>
          <w:tcPr>
            <w:tcW w:w="45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following table sets forth certain geographical information by type of property at December 31, 1997 related to the Company's real estate owned.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Multi-family Residential</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25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and Commercial</w:t>
            </w:r>
          </w:p>
        </w:tc>
        <w:tc>
          <w:tcPr>
            <w:tcW w:w="920" w:type="dxa"/>
            <w:vAlign w:val="bottom"/>
          </w:tcPr>
          <w:p>
            <w:pPr>
              <w:spacing w:after="0"/>
              <w:rPr>
                <w:sz w:val="14"/>
                <w:szCs w:val="14"/>
                <w:color w:val="auto"/>
              </w:rPr>
            </w:pP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246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1"/>
              </w:rPr>
              <w:t>-------------------------</w:t>
            </w:r>
          </w:p>
        </w:tc>
        <w:tc>
          <w:tcPr>
            <w:tcW w:w="1220" w:type="dxa"/>
            <w:vAlign w:val="bottom"/>
          </w:tcPr>
          <w:p>
            <w:pPr>
              <w:spacing w:after="0"/>
              <w:rPr>
                <w:sz w:val="14"/>
                <w:szCs w:val="14"/>
                <w:color w:val="auto"/>
              </w:rPr>
            </w:pPr>
          </w:p>
        </w:tc>
        <w:tc>
          <w:tcPr>
            <w:tcW w:w="2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122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9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Properties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Properties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Properties</w:t>
            </w:r>
          </w:p>
        </w:tc>
      </w:tr>
      <w:tr>
        <w:trPr>
          <w:trHeight w:val="168"/>
        </w:trPr>
        <w:tc>
          <w:tcPr>
            <w:tcW w:w="246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2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California...............</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24,717</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314</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$ 28,703</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53,420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Florida..................</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14,181</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Connecticut..............</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3,945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13,075</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17,020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New York.................</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11,099</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216</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2,101</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New Jersey...............</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7,536</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3,555</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11,091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w:t>
            </w:r>
          </w:p>
        </w:tc>
        <w:tc>
          <w:tcPr>
            <w:tcW w:w="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28,451(1)</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604</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26,822(2)</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55,272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w:t>
            </w:r>
          </w:p>
        </w:tc>
      </w:tr>
      <w:tr>
        <w:trPr>
          <w:trHeight w:val="168"/>
        </w:trPr>
        <w:tc>
          <w:tcPr>
            <w:tcW w:w="246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78,828</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$ 88,437</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$ 167,265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246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39" w:hanging="530"/>
        <w:spacing w:after="0" w:line="23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40 other states, none of which aggregated over $5.6 million in any one state.</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20 other states, none of which aggregated over $7.5 million in any one state.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The  following  table sets forth the</w:t>
            </w:r>
          </w:p>
        </w:tc>
        <w:tc>
          <w:tcPr>
            <w:tcW w:w="35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activity in the real estate owned</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the periods indicated.</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6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4"/>
              </w:rPr>
              <w:t>1997</w:t>
            </w:r>
          </w:p>
        </w:tc>
        <w:tc>
          <w:tcPr>
            <w:tcW w:w="1000" w:type="dxa"/>
            <w:vAlign w:val="bottom"/>
          </w:tcPr>
          <w:p>
            <w:pPr>
              <w:spacing w:after="0"/>
              <w:rPr>
                <w:sz w:val="14"/>
                <w:szCs w:val="14"/>
                <w:color w:val="auto"/>
              </w:rPr>
            </w:pPr>
          </w:p>
        </w:tc>
        <w:tc>
          <w:tcPr>
            <w:tcW w:w="12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88"/>
              </w:rPr>
              <w:t>1996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4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168"/>
        </w:trPr>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 of</w:t>
            </w:r>
          </w:p>
        </w:tc>
        <w:tc>
          <w:tcPr>
            <w:tcW w:w="10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12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30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Properties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Properties</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Properties</w:t>
            </w:r>
          </w:p>
        </w:tc>
      </w:tr>
      <w:tr>
        <w:trPr>
          <w:trHeight w:val="168"/>
        </w:trPr>
        <w:tc>
          <w:tcPr>
            <w:tcW w:w="30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(Dollars in Thousands)</w:t>
            </w: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Balance at beginning of period....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$ 103,704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$ 166,556</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96,667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acquired through</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foreclosure or deed-in-lieu</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thereof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205,621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185,174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in connection with</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acquisitions of discount loans..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38,486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24,617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(179,693)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(160,592)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(139,233)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allowance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at end of period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$ 167,265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$ 103,704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$ 166,556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1,070</w:t>
            </w:r>
          </w:p>
        </w:tc>
      </w:tr>
      <w:tr>
        <w:trPr>
          <w:trHeight w:val="168"/>
        </w:trPr>
        <w:tc>
          <w:tcPr>
            <w:tcW w:w="30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amount of time that the Company had held its real estate owned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December 31,</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4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1997</w:t>
            </w:r>
          </w:p>
        </w:tc>
        <w:tc>
          <w:tcPr>
            <w:tcW w:w="60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64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One to two months.................................</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83,144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17,695</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25,398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to four months..............................</w:t>
            </w:r>
          </w:p>
        </w:tc>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28,912</w:t>
            </w:r>
          </w:p>
        </w:tc>
        <w:tc>
          <w:tcPr>
            <w:tcW w:w="60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15,291</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22,672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Five to six months................................</w:t>
            </w:r>
          </w:p>
        </w:tc>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20,929</w:t>
            </w:r>
          </w:p>
        </w:tc>
        <w:tc>
          <w:tcPr>
            <w:tcW w:w="60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14,348</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25,742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Seven to 12 months................................</w:t>
            </w:r>
          </w:p>
        </w:tc>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23,621</w:t>
            </w:r>
          </w:p>
        </w:tc>
        <w:tc>
          <w:tcPr>
            <w:tcW w:w="60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13,004</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76,782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Over 12 months....................................</w:t>
            </w:r>
          </w:p>
        </w:tc>
        <w:tc>
          <w:tcPr>
            <w:tcW w:w="7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10,659</w:t>
            </w:r>
          </w:p>
        </w:tc>
        <w:tc>
          <w:tcPr>
            <w:tcW w:w="60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43,366</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15,962</w:t>
            </w:r>
          </w:p>
        </w:tc>
      </w:tr>
      <w:tr>
        <w:trPr>
          <w:trHeight w:val="168"/>
        </w:trPr>
        <w:tc>
          <w:tcPr>
            <w:tcW w:w="464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167,265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103,704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166,556</w:t>
            </w:r>
          </w:p>
        </w:tc>
      </w:tr>
      <w:tr>
        <w:trPr>
          <w:trHeight w:val="168"/>
        </w:trPr>
        <w:tc>
          <w:tcPr>
            <w:tcW w:w="464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average period during which the Company held the $179.7 million, $160.6 million and $139.2 million of real estate owned which was sold during the years ended December 31, 1997, 1996 and 1995, respectively, was 9 months, 11 months and 8 months, respectively.</w:t>
      </w:r>
    </w:p>
    <w:p>
      <w:pPr>
        <w:spacing w:after="0" w:line="17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Although the Company evaluates the potential for significant environmental problems prior to acquiring or originating a loan, there is a risk for any mortgage loan, particularly a multi-family residential and commercial real estate loan, that hazardous substances or other environmentally restricted substances could be discovered on the related real estate. In such event, the Company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as a result, the Company may suffer a loss upon collection of the loan.</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From time to time, the Company makes loans to finance the sale of real estate owned. At December 31, 1997, such loans amounted to $8.4 million and consisted of $4.4 million of single family residential loans, $3.7 million of multi-family residential loans and $339,000 of commercial loans. All of the Company's loans to finance the sale of real estate owned were performing in accordance with their terms at December 31, 1997.</w:t>
      </w:r>
    </w:p>
    <w:p>
      <w:pPr>
        <w:spacing w:after="0" w:line="17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81" w:gutter="0" w:footer="0" w:header="0"/>
        </w:sectPr>
      </w:pPr>
    </w:p>
    <w:bookmarkStart w:id="22" w:name="page23"/>
    <w:bookmarkEnd w:id="22"/>
    <w:p>
      <w:pPr>
        <w:jc w:val="both"/>
        <w:ind w:right="3239"/>
        <w:spacing w:after="0" w:line="255" w:lineRule="auto"/>
        <w:rPr>
          <w:sz w:val="20"/>
          <w:szCs w:val="20"/>
          <w:color w:val="auto"/>
        </w:rPr>
      </w:pPr>
      <w:r>
        <w:rPr>
          <w:rFonts w:ascii="Courier New" w:cs="Courier New" w:eastAsia="Courier New" w:hAnsi="Courier New"/>
          <w:sz w:val="14"/>
          <w:szCs w:val="14"/>
          <w:color w:val="auto"/>
        </w:rPr>
        <w:t>of loss. An asset classified as a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as a loss, the insured institution must either establish specific allowances for loan losses in the amount of 100% of the portion of the asset classified as a loss or charge off such amount. In this regard, the Company establishes required reserves and charges 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16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In 1996, based upon discussions with the OTS and as a result of an OTS bulletin issued on December 13, 1996 entitled "Guidance on the Classification and Regulatory Reporting of Certain Delinquent Loans and Other Credit Impaired Assets," the Company has classified all discount loans that are 90 or more days contractually past due, not otherwise classified, as special mention and all real estate owned, not otherwise classified, as special mention. The Company also modified its policy for classifying nonperforming discount loans and real estate owned related to its discount loan portfolio ("nonperforming discount assets") to take into account both the holding period of such assets from the date of acquisition and the ratio of book value to market value of such assets. All nonperforming discount assets which are held 15 months or more after the date of acquisition are classified substandard; nonperforming discount assets held 12 months to less than 15 months from the date of acquisition are classified as substandard if a ratio of book value to market value is 80% or more; and nonperforming discount assets held less than 12 months from the date of acquisition are classified as substandard if they have a ratio of book value to market value of more than 85%. In addition, nonperforming discount assets which are performing for a period of time subsequent to acquisition by the Company are classified as substandard at the time such loans become nonperforming. The Company also modified its classified assets policy to classify all real estate owned which is not cash flowing and which has been held for more than 15 months and three years as substandard and doubtful, respectively. The Company's past experience indicates that classified discount assets do not necessarily correlate to probability or severity of loss.</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Excluding assets which have been classified loss and fully reserved by the Company, the Company's classified assets at December 31, 1997 under the above policy consisted of $404.1 million of assets classified as substandard and $577,000 of assets classified as doubtful. In addition, at the same date, $616.1 million of assets were designated as special mention.</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Substandard assets at December 31, 1997 under the above policy consisted primarily of $242.4 million of loans and real estate owned related to the Company's discount single family residential loan program, $150.5 million of loans and real estate owned related to the Company's discount commercial real estate loan program and $9.7 million of subprime single family residential loans. Special mention assets at December 31, 1997 under the policy consisted primarily of $559.3 million and $56.8 million of loans and real estate owned related to the Company's discount single family residential and discount commercial real estate loan programs, respectively.</w:t>
      </w:r>
    </w:p>
    <w:p>
      <w:pPr>
        <w:spacing w:after="0" w:line="178"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ALLOWANCES FOR LOSSES. The Company maintains an allowance for loan losses for each of its loan and discount loan portfolios at a level which management considers adequate to provide for potential losses in each portfolio based upon an evaluation of known and inherent risks in such portfolios.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jc w:val="both"/>
        <w:ind w:right="3240" w:firstLine="787"/>
        <w:spacing w:after="0" w:line="235" w:lineRule="auto"/>
        <w:rPr>
          <w:sz w:val="20"/>
          <w:szCs w:val="20"/>
          <w:color w:val="auto"/>
        </w:rPr>
      </w:pPr>
      <w:r>
        <w:rPr>
          <w:rFonts w:ascii="Courier New" w:cs="Courier New" w:eastAsia="Courier New" w:hAnsi="Courier New"/>
          <w:sz w:val="15"/>
          <w:szCs w:val="15"/>
          <w:color w:val="auto"/>
        </w:rPr>
        <w:t>The following table sets forth the breakdown of the allowance for loan losses on the Company's loan portfolio and discount loan portfolio by loan category and the percentage of loans in each category to total loans in the respective portfolios at the dates indicated: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w w:val="96"/>
              </w:rPr>
              <w:t>December 31,</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7700" w:type="dxa"/>
            <w:vAlign w:val="bottom"/>
            <w:gridSpan w:val="1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540" w:type="dxa"/>
            <w:vAlign w:val="bottom"/>
          </w:tcPr>
          <w:p>
            <w:pPr>
              <w:spacing w:after="0"/>
              <w:rPr>
                <w:sz w:val="14"/>
                <w:szCs w:val="14"/>
                <w:color w:val="auto"/>
              </w:rPr>
            </w:pP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1993</w:t>
            </w:r>
          </w:p>
        </w:tc>
      </w:tr>
      <w:tr>
        <w:trPr>
          <w:trHeight w:val="168"/>
        </w:trPr>
        <w:tc>
          <w:tcPr>
            <w:tcW w:w="254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2"/>
              </w:rPr>
              <w:t>Amount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Loan portfolio:</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512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520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62.6</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non-mortgage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Consumer 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$ 3,695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$ 3,523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100.0%</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$1,071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100.0%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Discount loan</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portfolio(1):</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$15,017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$ 3,528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4,886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$23,493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100.0%</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40" w:hanging="530"/>
        <w:spacing w:after="0" w:line="23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maintain an allowance for loan losses on its discount loan portfolio prior to 1996.</w:t>
      </w:r>
    </w:p>
    <w:p>
      <w:pPr>
        <w:spacing w:after="0" w:line="173" w:lineRule="exact"/>
        <w:rPr>
          <w:sz w:val="20"/>
          <w:szCs w:val="20"/>
          <w:color w:val="auto"/>
        </w:rPr>
      </w:pPr>
    </w:p>
    <w:p>
      <w:pPr>
        <w:jc w:val="both"/>
        <w:ind w:right="3240" w:firstLine="787"/>
        <w:spacing w:after="0" w:line="235" w:lineRule="auto"/>
        <w:rPr>
          <w:sz w:val="20"/>
          <w:szCs w:val="20"/>
          <w:color w:val="auto"/>
        </w:rPr>
      </w:pPr>
      <w:r>
        <w:rPr>
          <w:rFonts w:ascii="Courier New" w:cs="Courier New" w:eastAsia="Courier New" w:hAnsi="Courier New"/>
          <w:sz w:val="15"/>
          <w:szCs w:val="15"/>
          <w:color w:val="auto"/>
        </w:rPr>
        <w:t>The allocation of the allowance to each category is not necessarily indicative of future losses and does not restrict the use of the allowance to absorb losses in any other category.</w:t>
      </w:r>
    </w:p>
    <w:p>
      <w:pPr>
        <w:spacing w:after="0" w:line="174" w:lineRule="exact"/>
        <w:rPr>
          <w:sz w:val="20"/>
          <w:szCs w:val="20"/>
          <w:color w:val="auto"/>
        </w:rPr>
      </w:pPr>
    </w:p>
    <w:p>
      <w:pPr>
        <w:jc w:val="both"/>
        <w:ind w:right="3240" w:firstLine="787"/>
        <w:spacing w:after="0" w:line="235"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the Company's loan portfolio during the periods indicated:</w:t>
      </w: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63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1997</w:t>
            </w:r>
          </w:p>
        </w:tc>
        <w:tc>
          <w:tcPr>
            <w:tcW w:w="40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1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9"/>
              </w:rPr>
              <w:t>1995</w:t>
            </w:r>
          </w:p>
        </w:tc>
        <w:tc>
          <w:tcPr>
            <w:tcW w:w="12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1993</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period....</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3,523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752</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loan losses.........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325</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1,872</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1,121</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(131)</w:t>
            </w:r>
          </w:p>
        </w:tc>
        <w:tc>
          <w:tcPr>
            <w:tcW w:w="1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Commercial real estate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Consumer loans..................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(92)</w:t>
            </w:r>
          </w:p>
        </w:tc>
        <w:tc>
          <w:tcPr>
            <w:tcW w:w="1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Total charge-offs..............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(263)</w:t>
            </w:r>
          </w:p>
        </w:tc>
        <w:tc>
          <w:tcPr>
            <w:tcW w:w="1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(472)</w:t>
            </w:r>
          </w:p>
        </w:tc>
        <w:tc>
          <w:tcPr>
            <w:tcW w:w="3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Single family residential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410</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Commercial real estate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Consumer loans..................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249</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Total recoveries...............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659</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Net (charge-offs) recoveries...</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(245)</w:t>
            </w:r>
          </w:p>
        </w:tc>
        <w:tc>
          <w:tcPr>
            <w:tcW w:w="12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187</w:t>
            </w:r>
          </w:p>
        </w:tc>
        <w:tc>
          <w:tcPr>
            <w:tcW w:w="3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end of period..........</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3,695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3,523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3060" w:type="dxa"/>
            <w:vAlign w:val="bottom"/>
          </w:tcPr>
          <w:p>
            <w:pPr>
              <w:spacing w:after="0"/>
              <w:rPr>
                <w:sz w:val="14"/>
                <w:szCs w:val="14"/>
                <w:color w:val="auto"/>
              </w:rPr>
            </w:pP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 (recoveries) as a</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percentage of average loan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portfolio, net..................</w:t>
            </w: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0.04%</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0.09%</w:t>
            </w:r>
          </w:p>
        </w:tc>
        <w:tc>
          <w:tcPr>
            <w:tcW w:w="40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0.19%</w:t>
            </w:r>
          </w:p>
        </w:tc>
        <w:tc>
          <w:tcPr>
            <w:tcW w:w="1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(0.28)%</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505"/>
        </w:trPr>
        <w:tc>
          <w:tcPr>
            <w:tcW w:w="3060" w:type="dxa"/>
            <w:vAlign w:val="bottom"/>
          </w:tcPr>
          <w:p>
            <w:pPr>
              <w:spacing w:after="0"/>
              <w:rPr>
                <w:sz w:val="24"/>
                <w:szCs w:val="2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40"/>
          </w:cols>
          <w:pgMar w:left="220" w:top="624" w:right="1439" w:bottom="517" w:gutter="0" w:footer="0" w:header="0"/>
        </w:sectPr>
      </w:pPr>
    </w:p>
    <w:bookmarkStart w:id="24" w:name="page25"/>
    <w:bookmarkEnd w:id="24"/>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the Company's discount loan portfolio during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2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600" w:type="dxa"/>
            <w:vAlign w:val="bottom"/>
          </w:tcPr>
          <w:p>
            <w:pPr>
              <w:spacing w:after="0"/>
              <w:rPr>
                <w:sz w:val="14"/>
                <w:szCs w:val="14"/>
                <w:color w:val="auto"/>
              </w:rPr>
            </w:pPr>
          </w:p>
        </w:tc>
        <w:tc>
          <w:tcPr>
            <w:tcW w:w="2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2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period ....................</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$ 11,538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loan losses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31,894</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20,578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(13,281)</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(7,009)</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(2,056)</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Commercial real estate loans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(5,012)</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(1,503)</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loans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charge-offs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(20,349)</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(9,216)</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Recoveries: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Multi-family residential loans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Commercial real estate loans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Consumer loans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recoveries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(charge-offs)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(19,939)</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(9,040)</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Balance at end of period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$ 23,493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11,538</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 as a percentage of average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discount loan  portfolio ........................</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ACTIVITIES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GENERAL. The investment activities of the Company currently include investments in mortgage-related securities, investment securities and low-income housing tax credit interests. The investment policy of the Company,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17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MORTGAGE-BACKED AND RELATED SECURITIES. From time to time, the Company invests in mortgage-backed and mortgage-related securities. Although mortgage-backed and mortgage-related securities generally yield less than the loans that back such securities because of costs associated with their payment guarantees or credit enhancements, such securities are more liquid than individual loans and may be used to collateralize borrowings of the Company. Other mortgage-backed and mortgage-related securities indirectly bear the risks of the underlying loans, such as prepayment risk (interest-only securities) and credit risk (subordinated interests), and are generally less liquid than individual loans.</w:t>
      </w:r>
    </w:p>
    <w:p>
      <w:pPr>
        <w:spacing w:after="0" w:line="179"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Mortgage-related securities include senior and subordinate regular interests and residual interests in collateralized mortgage obligations ("CMOs"), including CMOs which have qualified as REMICs. The regular interests in some CMOs are like traditional debt instruments because they have stated principal amounts and traditionally defined interest-rate terms. Purchasers of certain other interests in REMICs are entitled to the excess, if any, of the issuer's cash inflows, including reinvestment earnings, over the cash outflows for debt service and administrative expenses. These interests may include instruments designated as residual interests, which represent an equity ownership interest in the underlying collateral, subject to the first lien of the investors in the other classes of the REMIC.</w:t>
      </w:r>
    </w:p>
    <w:p>
      <w:pPr>
        <w:spacing w:after="0" w:line="180" w:lineRule="exact"/>
        <w:rPr>
          <w:sz w:val="20"/>
          <w:szCs w:val="20"/>
          <w:color w:val="auto"/>
        </w:rPr>
      </w:pPr>
    </w:p>
    <w:p>
      <w:pPr>
        <w:jc w:val="both"/>
        <w:ind w:right="3239" w:firstLine="797"/>
        <w:spacing w:after="0" w:line="237" w:lineRule="auto"/>
        <w:tabs>
          <w:tab w:leader="none" w:pos="10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senior-subordinated structure often is used with CMOs to provide credit enhancement for securities which are backed by collateral which is not guaranteed by FNMA, FHLMC or the Government National Mortgage Association ("GNMA"). These structures divide mortgage pools into two risk classes: a senior class and one or more subordinated classes. The subordinated classes provide protection to the senior class. When cash flow is impaired, debt service goes first to the holders of senior classes. In addition, incoming cash flows also may be held in a reserve fund to meet any future shortfalls of cash flow to holders of senior classes. The holders of subordinated classes may not receive any principal repayments until the holders of senior classes have been paid and, when appropriate, until a specified level of funds has been contributed to the reserve fund.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5" w:name="page26"/>
    <w:bookmarkEnd w:id="25"/>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Interest-only and principal-only securities are so-called stripped mortgage-related securities, in which interest coupons may be stripped from a mortgage-related security to create an interest-only ("IO") strip, where the investor receives all of the interest cash flows and none of the principal, and a principal-only ("PO") strip, where the investor receives all of the principal cash flows and none of the interest. Inverse floating rate interest-only ("Inverse IO") securities also have coupons which are stripped from a mortgage-related security. However, Inverse IOs have coupons whose interest rates change inversely with, and often as a multiple of, a specialized index such as the one-month London Interbank Offered Rate ("LIBOR").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w w:val="99"/>
              </w:rPr>
              <w:t>The  following  table  sets  forth</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fair</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value  of the</w:t>
            </w:r>
          </w:p>
        </w:tc>
        <w:tc>
          <w:tcPr>
            <w:tcW w:w="168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Company's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mortgage-backed  and  related  securities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available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for  sale</w:t>
            </w: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at</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w:t>
            </w:r>
          </w:p>
        </w:tc>
        <w:tc>
          <w:tcPr>
            <w:tcW w:w="12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dates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indicated.</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3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6"/>
              </w:rPr>
              <w:t>December 31,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4900" w:type="dxa"/>
            <w:vAlign w:val="bottom"/>
            <w:gridSpan w:val="7"/>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center"/>
              <w:ind w:right="687"/>
              <w:spacing w:after="0" w:line="168" w:lineRule="exact"/>
              <w:rPr>
                <w:sz w:val="20"/>
                <w:szCs w:val="20"/>
                <w:color w:val="auto"/>
              </w:rPr>
            </w:pPr>
            <w:r>
              <w:rPr>
                <w:rFonts w:ascii="Courier New" w:cs="Courier New" w:eastAsia="Courier New" w:hAnsi="Courier New"/>
                <w:sz w:val="15"/>
                <w:szCs w:val="15"/>
                <w:color w:val="auto"/>
                <w:w w:val="99"/>
              </w:rPr>
              <w:t>1996</w:t>
            </w:r>
          </w:p>
        </w:tc>
        <w:tc>
          <w:tcPr>
            <w:tcW w:w="2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Mortgage-related  securities: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5"/>
              </w:rPr>
              <w:t>CMOs (AAA-rated)............................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160,451</w:t>
            </w:r>
          </w:p>
        </w:tc>
        <w:tc>
          <w:tcPr>
            <w:tcW w:w="340" w:type="dxa"/>
            <w:vAlign w:val="bottom"/>
          </w:tcPr>
          <w:p>
            <w:pPr>
              <w:spacing w:after="0"/>
              <w:rPr>
                <w:sz w:val="14"/>
                <w:szCs w:val="14"/>
                <w:color w:val="auto"/>
              </w:rPr>
            </w:pP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73,935</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138,831</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only:</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8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AAA-rated.................................</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13,863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1,173</w:t>
            </w:r>
          </w:p>
        </w:tc>
        <w:tc>
          <w:tcPr>
            <w:tcW w:w="2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FHLMC.....................................</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64,745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47,571</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2,182</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FNMA......................................</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49,380</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9,592</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GNMA......................................</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29,766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Principal only..............................</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8,218</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Subordinates................................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67,830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19,164</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27,310</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PAC securities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REMIC residuals.............................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15,693</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20,560</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Futures contracts and swaps.................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(1,921)</w:t>
            </w:r>
          </w:p>
        </w:tc>
        <w:tc>
          <w:tcPr>
            <w:tcW w:w="2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411,969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209,862</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185,581</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w w:val="98"/>
              </w:rPr>
              <w:t>Multi-family residential and commercial:</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only:</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AAA-rated.................................</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83,590</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103,932</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FNMA......................................</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5,261</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Non-investment grade......................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3,477</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3,799</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Subordinates................................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14,048</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57,534</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42,954</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Futures contracts...........................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(780)</w:t>
            </w:r>
          </w:p>
        </w:tc>
        <w:tc>
          <w:tcPr>
            <w:tcW w:w="2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8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18,555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144,143</w:t>
            </w:r>
          </w:p>
        </w:tc>
        <w:tc>
          <w:tcPr>
            <w:tcW w:w="2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151,899</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84"/>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430,524</w:t>
            </w:r>
          </w:p>
        </w:tc>
        <w:tc>
          <w:tcPr>
            <w:tcW w:w="340" w:type="dxa"/>
            <w:vAlign w:val="bottom"/>
          </w:tcPr>
          <w:p>
            <w:pPr>
              <w:spacing w:after="0"/>
              <w:rPr>
                <w:sz w:val="14"/>
                <w:szCs w:val="14"/>
                <w:color w:val="auto"/>
              </w:rPr>
            </w:pP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354,005</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337,480</w:t>
            </w:r>
          </w:p>
        </w:tc>
      </w:tr>
      <w:tr>
        <w:trPr>
          <w:trHeight w:val="168"/>
        </w:trPr>
        <w:tc>
          <w:tcPr>
            <w:tcW w:w="38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6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At December 31, 1997, the carrying value of the Company's investment in IO strips amounted to $172.6 million. The Company invests in IO strips and PO strips from time to time based on its capital position, interest rate risk profile and the market for such securities. IO strips and PO strips exhibit considerably more price volatility than mortgages or ordinary mortgage pass-through securities, due in part to the uncertain cash flows that result from changes in the prepayment rates of the underlying mortgages. In the case of IO strips in particular, increased prepayments of the underlying mortgages as a result of a decrease in market interest rates or other factors can result in a loss of all or part of the purchase price of such security, although IO strips relating to mortgage-related securities backed by multi-family residential and commercial real estate loans (which amounted to $4.5 million of the $172.6 million of IO strips owned by the Company at December 31, 1997) generally have provisions which prohibit and/or provide economic disincentives to prepayments for specified periods. The Company generally attempts to offset the interest rate risk associated with a particular IO strip or PO strip by purchasing other securities. At December 31, 1997, all of the Company's IO strips were either issued by FHLMC, FNMA or GNMA or rated AAA by national rating agencies, with the exception of IO securities with an aggregate carrying value of $3.5 million, which were rated investment grade below this level.</w:t>
      </w:r>
    </w:p>
    <w:p>
      <w:pPr>
        <w:spacing w:after="0" w:line="34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Company generally retains subordinate securities, subordinate IOs and REMIC residual securities, which are certificated, related to its securitization of loans. Subordinate securities, subordinate IOs and REMIC residual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6" w:name="page27"/>
    <w:bookmarkEnd w:id="26"/>
    <w:p>
      <w:pPr>
        <w:ind w:right="3239"/>
        <w:spacing w:after="0" w:line="254" w:lineRule="auto"/>
        <w:rPr>
          <w:sz w:val="20"/>
          <w:szCs w:val="20"/>
          <w:color w:val="auto"/>
        </w:rPr>
      </w:pPr>
      <w:r>
        <w:rPr>
          <w:rFonts w:ascii="Courier New" w:cs="Courier New" w:eastAsia="Courier New" w:hAnsi="Courier New"/>
          <w:sz w:val="14"/>
          <w:szCs w:val="14"/>
          <w:color w:val="auto"/>
        </w:rPr>
        <w:t>securities retained represent the present value of the right to the excess cash flows generated by the securitized loans that represent the difference between</w:t>
      </w:r>
    </w:p>
    <w:p>
      <w:pPr>
        <w:spacing w:after="0" w:line="1" w:lineRule="exact"/>
        <w:rPr>
          <w:sz w:val="20"/>
          <w:szCs w:val="20"/>
          <w:color w:val="auto"/>
        </w:rPr>
      </w:pPr>
    </w:p>
    <w:p>
      <w:pPr>
        <w:jc w:val="both"/>
        <w:ind w:right="3239" w:firstLine="10"/>
        <w:spacing w:after="0" w:line="255" w:lineRule="auto"/>
        <w:tabs>
          <w:tab w:leader="none" w:pos="43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and interest at the stated rate paid by borrowers and (b) the sum of (i) principal and pass-through interest paid to third-party investors, (ii) trustee fees, (iii) third-party credit enhancement fees (if applicable), (iv) stipulated servicing fees and (v) estimated loan portfolio losses. The Company's right to receive this excess cash flow may begin after certain reserve requirements have been met, which are specific to each securitization and may be used as a means of credit enhancement. The Company determines the present value of anticipated cash flows at the time each securitization transaction closes, utilizing valuation assumptions appropriate for each particular transaction.</w:t>
      </w:r>
    </w:p>
    <w:p>
      <w:pPr>
        <w:spacing w:after="0" w:line="16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significant valuation assumptions are related to the anticipated average lives of the loans sold, the anticipated prepayment speeds and the anticipated credit losses related thereto. In order to determine the present value of this excess cash flow, the Company currently applies a discount rate of between 18% and 28% to the projected cash flows.</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annual prepayment rate of the securitized loans is a function of full and partial prepayments and defaults. The Company makes assumptions as to the prepayment rates of the underlying loans, which the Company believes are reasonable, in estimating fair values of the subordinate securities, subordinate IOs and REMIC residual securities retained. During fiscal 1997, the Company utilized proprietary prepayment curves generated by the Company (reaching an approximate maximum annual rate of 28%).</w:t>
      </w:r>
    </w:p>
    <w:p>
      <w:pPr>
        <w:spacing w:after="0" w:line="17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its estimates of annual loss rates, the Company utilizes assumptions that it believes are reasonable. The Company estimates annual losses of between 0.25% and 1.20% of the underlying loans.</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classifies its subordinate securities, subordinate IOs and REMIC residual securities retained as available for sale securities in accordance with SFAS No. 115. Securities available for sale are carried at fair value with the net unrealized gains or losses reported as a separate component of stockholders' equity, net of tax. The determination of fair value is based on the previously mentioned valuation basis and on broker valuation estimates. The subordinate securities, subordinate IOs and REMIC residual securities retained are amortized based on the interest method.</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retains the right to service loans it originates or purchases and then subsequently securitizes. Fees for servicing loans are based on a stipulated percentage which is equal to between 0.50% and 0.60% of the unpaid principal balance of the underlying loans. The Company recognizes a servicing asset as part of its gain on securitized loan sales.</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periodically assesses the carrying value of its subordinate securities, subordinate IOs and REMIC residual securities retained as well as the servicing assets for impairment. There can be no assurance that the Company's estimates used to determine the gain on securitized loan sales, subordinate securities, subordinate IOs and REMIC residual securities retained and servicing assets valuations will remain appropriate for the life of each securitization. If actual loan prepayments or defaults exceed the Company's estimates, the carrying value of the Company's subordinate securities, subordinate IOs and REMIC residual securities retained and/or servicing assets may be decreased or the Company may increase its allowance for possible credit losses on loans sold through a charge against earnings during the period management recognizes the disparity. Other factors may also result in a writedown of the Company's subordinate securities, subordinate IOs and REMIC residual securities retained in subsequent periods. As of December 31, 1997 the Company determined that no such impairment existed.</w:t>
      </w:r>
    </w:p>
    <w:p>
      <w:pPr>
        <w:spacing w:after="0" w:line="332"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At December 31, 1997, the carrying value of the Company's investment in subordinate classes of mortgage-related securities amounted to $81.9 million, and included $62.8 million of subordinated classes of mortgage-related securities acquired in connection with the securitization activities of the Company and $19.1 million acquired from the LLC in 1996 in connection with its securitization of HUD loans. During 1997, the Company acquired $50.1 million of subordinate classes of mortgage-related securities, all of which were acquired in connection with the Company's securitizations of loans. For additional information see "Business - Discount Loan Acquisition and Resolution Activities</w:t>
      </w:r>
    </w:p>
    <w:p>
      <w:pPr>
        <w:spacing w:after="0" w:line="3" w:lineRule="exact"/>
        <w:rPr>
          <w:sz w:val="20"/>
          <w:szCs w:val="20"/>
          <w:color w:val="auto"/>
        </w:rPr>
      </w:pPr>
    </w:p>
    <w:p>
      <w:pPr>
        <w:ind w:right="3059" w:firstLine="10"/>
        <w:spacing w:after="0" w:line="236" w:lineRule="auto"/>
        <w:tabs>
          <w:tab w:leader="none" w:pos="1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Activity in the Discount Loan Portfolio" and "Business - Lending Activities-Single Family Residential Loans." At December 31, 1997, the Company's subordinate securities supported senior classes of securities having an outstanding principal balance of $1.77 billion. Because of their subordinate position, subordinate classes of mortgage-related securities involve more risk than the other classes.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7" w:name="page28"/>
    <w:bookmarkEnd w:id="27"/>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During 1996, the Company retained residual securities in REMICs which were formed in connection with the securitization and sale of $211.2 million of subprime single family residential loans in two underwritten public offerings as partial payment for the loans sold by it. These REMIC residual securities had a carrying value of $15.7 million at December 31, 1997 and supported senior classes of securities having an outstanding principal balance of $135.6 million, which provide credit support similar to the senior-subordinated structure. Cash flows supporting the REMIC residuals are generated by the amount by which the interest collected on the underlying mortgage loans exceeds the interest due on the senior securities. See "Business - Lending Activities - Single family Residential Loans."</w:t>
      </w:r>
    </w:p>
    <w:p>
      <w:pPr>
        <w:spacing w:after="0" w:line="180"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generally does not intend to purchase subordinate classes of mortgage-related securities created by unaffiliated parties. The Company may retain subordinated classes resulting from the securitization of assets held by it directly or indirectly through the Bank and investments in joint ventures, although it is intended that any such securities held by the Bank will be distributed to the Company as a dividend subject to its ability to declare such dividends under applicable limitations.</w:t>
      </w:r>
    </w:p>
    <w:p>
      <w:pPr>
        <w:spacing w:after="0" w:line="17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Under a regulatory bulletin issued by the OTS, a federally-chartered savings institution such as the Bank generally may invest in "high risk" mortgage securities only to reduce its overall interest rate risk and after it has adopted various policies and procedures, although under specified circumstances such securities also may be acquired for trading purposes. A "high risk" mortgage security for this purpose generally is any mortgage-related security which meets one of three tests which are intended to measure the average life or price volatility of the security in relation to a benchmark fixed rate, 30-year mortgage-backed pass-through security. At December 31, 1997, the Bank held mortgage-related securities with a carrying value of $141.1 million (amortized cost of $137.0 million) which were classified as "high-risk" mortgage securities by the OTS.</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The expected actual maturity of a mortgage-backed and related security is shorter than its stated maturity due to prepayments of the underlying mortgages. Prepayments that are faster than anticipated may shorten the life of the security and adversely affect its yield to maturity. The yield is based upon the interest income and the amortization of any premium or accretion of any discount related to the mortgage-backed and related security. Prepayments on mortgage-backed and related securities have the effect of accelerating the amortization of premiums and accretion of discounts, which decrease and increase interest income, respectively. Although prepayments of underlying mortgages depend on many factors, including the type of mortgages, the coupon rate, the age of mortgages, the geographical location of the underlying real estate collateralizing the mortgages and general levels of market interest rates, the difference between the interest rates on the underlying mortgages and the prevailing mortgage interest rates generally is the most significant determinant of the rate of prepayments. During periods of falling mortgage interest rates, if the coupon rate of the underlying mortgages exceeds the prevailing market interest rates offered for mortgage loans, refinancing generally increases and accelerates the prepayment of the underlying mortgages and the related security. Similarly, during periods of increasing interest rates, refinancing generally decreases, thus lengthening the estimated maturity of mortgage loans.</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INVESTMENT SECURITIES. At December 31, 1997, investment securities consisted primarily of the Company's investment in OAIC and a required investment in FHLB stock and investments in other common stocks. Non-marketable equity securities held for investment are stated at cost because the Company has the ability and the intent to hold them to maturity. Marketable equity securities are designated as available for sale and are carried at market value based on quoted market prices. Net unrealized gains or losses are reported as a separate component of stockholders' equity. Unrealized losses on securities that reflect a decline in value which is other than temporary, if any, are charged to earnings.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8" w:name="page29"/>
    <w:bookmarkEnd w:id="28"/>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the Company's investment securities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8"/>
              </w:rPr>
              <w:t>December 31,</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4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1997</w:t>
            </w:r>
          </w:p>
        </w:tc>
        <w:tc>
          <w:tcPr>
            <w:tcW w:w="560" w:type="dxa"/>
            <w:vAlign w:val="bottom"/>
          </w:tcPr>
          <w:p>
            <w:pPr>
              <w:spacing w:after="0"/>
              <w:rPr>
                <w:sz w:val="14"/>
                <w:szCs w:val="14"/>
                <w:color w:val="auto"/>
              </w:rPr>
            </w:pPr>
          </w:p>
        </w:tc>
        <w:tc>
          <w:tcPr>
            <w:tcW w:w="15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86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equity securities:</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 common stocks (1)...............</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46,272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Non-marketable equity securities:</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6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10,036</w:t>
            </w:r>
          </w:p>
        </w:tc>
      </w:tr>
      <w:tr>
        <w:trPr>
          <w:trHeight w:val="168"/>
        </w:trPr>
        <w:tc>
          <w:tcPr>
            <w:tcW w:w="3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FHLB stock(2).........................</w:t>
            </w:r>
          </w:p>
        </w:tc>
        <w:tc>
          <w:tcPr>
            <w:tcW w:w="6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10,825</w:t>
            </w:r>
          </w:p>
        </w:tc>
        <w:tc>
          <w:tcPr>
            <w:tcW w:w="560" w:type="dxa"/>
            <w:vAlign w:val="bottom"/>
          </w:tcPr>
          <w:p>
            <w:pPr>
              <w:spacing w:after="0"/>
              <w:rPr>
                <w:sz w:val="14"/>
                <w:szCs w:val="14"/>
                <w:color w:val="auto"/>
              </w:rPr>
            </w:pP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8,798</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8,520</w:t>
            </w:r>
          </w:p>
        </w:tc>
      </w:tr>
      <w:tr>
        <w:trPr>
          <w:trHeight w:val="168"/>
        </w:trPr>
        <w:tc>
          <w:tcPr>
            <w:tcW w:w="3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Limited partnership interests (3).....</w:t>
            </w:r>
          </w:p>
        </w:tc>
        <w:tc>
          <w:tcPr>
            <w:tcW w:w="6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2,470</w:t>
            </w:r>
          </w:p>
        </w:tc>
        <w:tc>
          <w:tcPr>
            <w:tcW w:w="560" w:type="dxa"/>
            <w:vAlign w:val="bottom"/>
          </w:tcPr>
          <w:p>
            <w:pPr>
              <w:spacing w:after="0"/>
              <w:rPr>
                <w:sz w:val="14"/>
                <w:szCs w:val="14"/>
                <w:color w:val="auto"/>
              </w:rPr>
            </w:pP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103</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386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59,567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8,901</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18,665</w:t>
            </w:r>
          </w:p>
        </w:tc>
      </w:tr>
      <w:tr>
        <w:trPr>
          <w:trHeight w:val="168"/>
        </w:trPr>
        <w:tc>
          <w:tcPr>
            <w:tcW w:w="386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239" w:hanging="530"/>
        <w:spacing w:after="0" w:line="23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1997 consisted primarily of 1,715,000 shares of stock of OAIC.</w:t>
      </w:r>
    </w:p>
    <w:p>
      <w:pPr>
        <w:spacing w:after="0" w:line="173" w:lineRule="exact"/>
        <w:rPr>
          <w:rFonts w:ascii="Courier New" w:cs="Courier New" w:eastAsia="Courier New" w:hAnsi="Courier New"/>
          <w:sz w:val="15"/>
          <w:szCs w:val="15"/>
          <w:color w:val="auto"/>
        </w:rPr>
      </w:pPr>
    </w:p>
    <w:p>
      <w:pPr>
        <w:jc w:val="both"/>
        <w:ind w:left="540" w:right="3239" w:hanging="530"/>
        <w:spacing w:after="0" w:line="23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member of the FHLB of New York, the Bank is required to purchase and maintain stock in the FHLB of New York in an amount equal to at least 1% of its aggregate unpaid residential mortgage loans, home purchase contracts and similar obligations at the beginning of each year or 5% of borrowings, whichever is greater.</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at December 31, 1997 consisted primarily of 160,000 limited partnership units of OPLP.</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TRADING SECURITIES. When securities are purchased with the intent to resell in the near term, they are classified as trading securities and reported on the Company's consolidated statement of financial condition as a separately identified trading account. Securities in this account are carried at current market value. All trading securities are marked-to-market, and any increase or decrease in unrealized appreciation or depreciation is included in the Company's consolidated statements of operations.</w:t>
      </w:r>
    </w:p>
    <w:p>
      <w:pPr>
        <w:spacing w:after="0" w:line="176"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Under guidelines approved by the Board of Directors of the Company, the Company is authorized to hold a wide variety of securities as trading securities, including U.S. Government and agency securities and mortgage-backed and mortgage-related securities. The Company also is authorized by such guidelines to use various hedging techniques in connection with its trading activities, as well as to effect short sales of securities, pursuant to which the Company sells securities which are to be acquired by it at a future date. Under current guidelines, the amount of securities held by the Company in a trading account may not exceed on a gross basis the greater of $200 million or 15% of the Company's total assets, and the total net amount of securities (taking into account any related hedge or buy/sell agreement relating to similar securities) may not exceed the greater of $150 million or 10% of total assets.</w:t>
      </w:r>
    </w:p>
    <w:p>
      <w:pPr>
        <w:spacing w:after="0" w:line="164"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The Company's securities held for trading at December 31, 1996 amounted to $75.6 million and represented one AAA-rated CMO which was sold in January 1997. The Company held no securities for trading at December 31, 1997.</w:t>
      </w:r>
    </w:p>
    <w:p>
      <w:pPr>
        <w:spacing w:after="0" w:line="161"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INVESTMENTS IN LOW-INCOME HOUSING TAX CREDIT INTERESTS. The Company invests in low-income housing tax credit interests primarily through limited partnerships for the purpose of obtaining Federal income tax credits pursuant to Section 42 of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be rented only to qualified tenants for a period of 15 years, or a portion of any previously claimed tax credits will be subject to recapture, as discussed below.</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At December 31, 1997, the Company's investment in low-income housing tax credit interests amounted to $128.6 million or 4% of total assets, as compared to $93.3 million or 4% of total assets at December 31, 1996. The Company's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55" w:right="1440" w:bottom="1440" w:gutter="0" w:footer="0" w:header="0"/>
        </w:sectPr>
      </w:pPr>
    </w:p>
    <w:bookmarkStart w:id="29" w:name="page30"/>
    <w:bookmarkEnd w:id="29"/>
    <w:p>
      <w:pPr>
        <w:jc w:val="both"/>
        <w:ind w:right="3239"/>
        <w:spacing w:after="0" w:line="235" w:lineRule="auto"/>
        <w:rPr>
          <w:sz w:val="20"/>
          <w:szCs w:val="20"/>
          <w:color w:val="auto"/>
        </w:rPr>
      </w:pPr>
      <w:r>
        <w:rPr>
          <w:rFonts w:ascii="Courier New" w:cs="Courier New" w:eastAsia="Courier New" w:hAnsi="Courier New"/>
          <w:sz w:val="15"/>
          <w:szCs w:val="15"/>
          <w:color w:val="auto"/>
        </w:rPr>
        <w:t>investments in low-income housing tax credit interests are made by the Company indirectly through subsidiaries of the Company, which may be a general partner and/or a limited partner in the partnership.</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accordance with a 1995 pronouncement of the Emerging Issues Task Force, the Company's accounting for investments in low-income housing tax credit partnerships in which it acts solely as a limited partner, which amounted to $78.6 million in the aggregate at December 31, 1997, depends on whether the investment was made on or after May 18, 1995.</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Low-income housing tax credit partnerships in which the Company, through a subsidiary, acts as a general partner, are presented on a consolidated basis. At December 31, 1997, the Company's investment in low-income housing tax credit interests included $50.0 million of assets related to low-income housing tax credit partnerships in which a subsidiary of the Company acts as a general partner. At December 31, 1997, the Company had commitments to make $2.1 million of additional investments in such partnerships.</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also makes loans to low-income housing tax credit partnerships in which it has invested to construct the affordable housing project owned by the partnerships. At December 31, 1997, the Company had $37.6 million of construction loans outstanding to low-income housing tax credit partnerships and commitments to fund an additional $9.9 million of such loans. Approximately $7.3 million of such funded construction loans at December 31, 1997 were made to partnerships in which subsidiaries of the Company acted as the general partner and thus were consolidated with the Company for financial reporting purposes. The risks associated with these construction loans generally are the same as those made by the Company to unaffiliated third parties. See "Business-Lending Activities".</w:t>
      </w:r>
    </w:p>
    <w:p>
      <w:pPr>
        <w:spacing w:after="0" w:line="180"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affordable housing projects owned by the low-income housing tax credit partnerships in which the Company had invested at December 31, 1997 are geographically located throughout the United States. At December 31, 1997, the Company's largest funded investment in a low-income housing tax credit interest was a $9.7 million investment in a partnership which owned a 170-unit qualifying project located in Racine, Wisconsin, and the Company's largest unfunded investment in such a partnership was a $9.0 million commitment to fund equity and debt investments in a partnership which will construct a 96-unit qualifying project in Knoxville, Tennessee, of which $1.3 million of equity and $849,000 of debt was funded as of such date.</w:t>
      </w:r>
    </w:p>
    <w:p>
      <w:pPr>
        <w:spacing w:after="0" w:line="179"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At December 31, 1997, the Company had invested in or had commitments to invest in 43 low-income housing tax credit partnerships, of which 31 had been allocated tax credits. The Company estimates that the investment in low-income housing tax credit interests in which it had invested at December 31, 1997 will provide approximately $217.3 million of tax credits.</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During 1997, the Company sold an investment in a low-income housing tax credit interest which had a carrying value of $15.7 million for a gain of $6.3 million. During 1996, the Company sold $19.8 million of its investments in low-income housing tax credit interests for a gain of $4.9 million. Depending on available prices, its ability to utilize tax credits and other factors, the Company may seek to sell other of its low-income housing tax credit interests in the future.</w:t>
      </w:r>
    </w:p>
    <w:p>
      <w:pPr>
        <w:spacing w:after="0" w:line="17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The ownership of low-income housing tax credit interests produces two types of tax benefits. The primary tax benefit flows from the low-income housing tax credits under the Code which are generated by the ownership and operation of the real property in the manner required to obtain such tax credits. These credits may be used to offset Federal income tax on a dollar for dollar basis but may not offset the alternative minimum tax; tax credits thus may reduce the overall Federal income tax to an effective rate of 20%.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The taxpayer Relief Act of 1997 changed the tax credit carryback period from 3 years to 1 year and the carry forward period from 15 years to 20 years for credits that become available for use in years beginning after December 31, 1997. Tax credits are realized even if units in the project do not continue to be occupied once the units in the project have been initially rented to a qualifying tenant, and tax credits are not dependent on a project's operating income or appreciation. Tax credits can be claimed over a ten-year period and generally can be lost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0" w:name="page31"/>
    <w:bookmarkEnd w:id="30"/>
    <w:p>
      <w:pPr>
        <w:jc w:val="both"/>
        <w:ind w:right="3239"/>
        <w:spacing w:after="0" w:line="237" w:lineRule="auto"/>
        <w:rPr>
          <w:sz w:val="20"/>
          <w:szCs w:val="20"/>
          <w:color w:val="auto"/>
        </w:rPr>
      </w:pPr>
      <w:r>
        <w:rPr>
          <w:rFonts w:ascii="Courier New" w:cs="Courier New" w:eastAsia="Courier New" w:hAnsi="Courier New"/>
          <w:sz w:val="15"/>
          <w:szCs w:val="15"/>
          <w:color w:val="auto"/>
        </w:rPr>
        <w:t>recaptured only if non-qualifying tenants are placed in units, ownership of the project is transferred or the project is destroyed and not rebuilt during a 15-year compliance period for the project. The Company has established specific investment criteria for investment in multi-family residential projects which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the Company's efforts, there can be no assurance that the multi-family residential projects owned by the low-income housing tax credit partnerships in which it has invested will satisfy applicable criteria during the 15-year compliance period and that there will not be loss or recapture of the tax credits associated therewith.</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Investments made pursuant to the affordable housing tax credit program of the Code are subject to numerous risks resulting from changes in the Code. For example, the Balanced Budget Act of 1995, which was vetoed by the President of the United States in December 1995 for reasons which were unrelated to the tax credit program, generally would have established a sunset date for the affordable housing tax credit program of the Code for housing placed in service after December 31, 1997 and would have required a favorable vote by Congress to extend the credit program. Although this change would not have impacted the Company's existing investments, other potential changes in the Code, which have been discussed from time to time, could reduce the benefits associated with the Company's existing investments in low-income housing tax credit interests, including the replacement of the current graduated income taxation provisions in the Code with a "flat tax" based system and increases in the alternative minimum tax, which cannot be reduced by tax credits. Management of the Company is unable to predict whether any of the foregoing or other changes to the Code will be subject to future legislation and, if so, what the contents of such legislation will be and its effects, if any, on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GENERAL. Deposits, FHLB advances, reverse repurchase agreements, securities financings, maturities, resolutions and principal repayments on securities and loans and proceeds from the sale of securities, loans and real estate owned held for sale currently are the principal sources of funds for use in the Company's investment and lending activities and for other general business purposes. Management of the Company closely monitors rates and terms of competing sources of funds on a regular basis and generally utilizes the sources which are the most cost effective.</w:t>
      </w:r>
    </w:p>
    <w:p>
      <w:pPr>
        <w:spacing w:after="0" w:line="177"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DEPOSITS. The primary source of deposits for the Company currently is brokered certificates of deposit obtained primarily through national investment banking firms which, pursuant to agreements with the Company, solicit funds from their customers for deposit with the Company ("brokered deposits"). Such deposits obtained through national investment banking firms amounted to $1.34 billion or 68% of the Company's total deposits at December 31, 1997. In addition, during 1995, the Company commenced a program to obtain certificates of deposit from customers of regional and local investment banking firms which are made aware of the Company's products by the Company's direct solicitation and marketing efforts. At December 31, 1997, $251.9 million or 13% of the Company's deposits were obtained in this manner through over 140 regional and local investment banking firms. The Company also solicits certificates of deposit from institutional investors and high net worth individuals identified by the Company. At December 31, 1997, $177.9 million or 9% of the Company's total deposits consisted of deposits obtained by the Company from such efforts.</w:t>
      </w:r>
    </w:p>
    <w:p>
      <w:pPr>
        <w:spacing w:after="0" w:line="16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Company's brokered deposits at December 31, 1997 were net of $11.7 million of unamortized deferred fees. The amortization of deferred fees is computed using the interest method and is included in interest expense on certificates of deposit.</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believes that the effective cost of brokered and other wholesale deposits is more attractive to the Company than deposits obtained on a retail basis from branch offices after the general and administrative expense associated with the maintenance of branch offices is taken into account. Moreover, brokered and other wholesale deposits generally give the Company more flexibility than retail sources of funds in structuring the maturities of its deposits and in matching liabilities with comparably maturing assets. At December 31, 1997, $840.5 million or 46% of the Company's certificates of deposits were scheduled to mature within one year.</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Although management of the Company believes that brokered and other wholesale deposits are advantageous in certain respects, such funding sources, when compared to retail deposits attracted through a branch network, are generally more sensitive to changes in interest rates and volatility in the capital markets and are more likely to be compared by the investor to competing investments. In addition, such funding sources may be more sensitive to significant changes in the financial condition of the Company. There are also various regulatory limitations on the ability of all but well-capitalized insured financial institutions to obtain brokered deposits. See "Regulation The Bank - Brokered Deposits." These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022" w:gutter="0" w:footer="0" w:header="0"/>
        </w:sectPr>
      </w:pPr>
    </w:p>
    <w:bookmarkStart w:id="31" w:name="page32"/>
    <w:bookmarkEnd w:id="31"/>
    <w:p>
      <w:pPr>
        <w:jc w:val="both"/>
        <w:ind w:right="3239"/>
        <w:spacing w:after="0" w:line="236" w:lineRule="auto"/>
        <w:rPr>
          <w:sz w:val="20"/>
          <w:szCs w:val="20"/>
          <w:color w:val="auto"/>
        </w:rPr>
      </w:pPr>
      <w:r>
        <w:rPr>
          <w:rFonts w:ascii="Courier New" w:cs="Courier New" w:eastAsia="Courier New" w:hAnsi="Courier New"/>
          <w:sz w:val="15"/>
          <w:szCs w:val="15"/>
          <w:color w:val="auto"/>
        </w:rPr>
        <w:t>limitations currently are not applicable to the Company because the Bank is a well-capitalized financial institution under applicable laws and regulations. See "Regulation - The Bank -Regulatory Capital Requirements." There can be no assurances, however, that the Company will not become subject to such limitations in the future.</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As a result of the Company's reliance on brokered and other wholesale deposits, significant changes in the prevailing interest rate environment, in the availability of alternative investments for individual and institutional investors or in the Company's financial condition, among other factors, could affect the Company's liquidity and results of operations much more significantly than might be the case with an institution that obtained a greater portion of its funds from retail or core deposits attracted through a branch network.</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addition to brokered and other wholesale deposits, the Company obtains deposits from its office located in Bergen County, New Jersey. These deposits include non-interest bearing checking accounts, NOW and money market checking accounts, savings accounts and certificates of deposit and are obtained through advertising, walk-ins and other traditional means. At December 31, 1997, the deposits which were allocated to this office amounted to $60.7 million or 3% of the Company's deposits.</w:t>
      </w:r>
    </w:p>
    <w:p>
      <w:pPr>
        <w:spacing w:after="0" w:line="176"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information related to the Company's deposits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8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8"/>
              </w:rPr>
              <w:t>December 31,</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70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4"/>
              </w:rPr>
              <w:t>1996</w:t>
            </w:r>
          </w:p>
        </w:tc>
        <w:tc>
          <w:tcPr>
            <w:tcW w:w="118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7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3"/>
              </w:rPr>
              <w:t>-----------------------</w:t>
            </w:r>
          </w:p>
        </w:tc>
        <w:tc>
          <w:tcPr>
            <w:tcW w:w="920" w:type="dxa"/>
            <w:vAlign w:val="bottom"/>
          </w:tcPr>
          <w:p>
            <w:pPr>
              <w:spacing w:after="0"/>
              <w:rPr>
                <w:sz w:val="14"/>
                <w:szCs w:val="14"/>
                <w:color w:val="auto"/>
              </w:rPr>
            </w:pPr>
          </w:p>
        </w:tc>
        <w:tc>
          <w:tcPr>
            <w:tcW w:w="2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Avg. Rate</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Avg. Rate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Avg. Rate</w:t>
            </w: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80" w:type="dxa"/>
            <w:vAlign w:val="bottom"/>
            <w:gridSpan w:val="2"/>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7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Non-interest bearing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checking accounts..........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130,372</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96,563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48,482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6"/>
              </w:rPr>
              <w:t>NOW and money market</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checking accounts..........</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27,624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22,208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17,147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Savings accounts..............</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1,664</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159,660</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121,532</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69,100</w:t>
            </w:r>
          </w:p>
        </w:tc>
        <w:tc>
          <w:tcPr>
            <w:tcW w:w="11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Certificates of deposit(1)....</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1,834,899</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1,809,098</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1,440,240</w:t>
            </w:r>
          </w:p>
        </w:tc>
        <w:tc>
          <w:tcPr>
            <w:tcW w:w="118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Unamortized deferred fees.....</w:t>
            </w:r>
          </w:p>
        </w:tc>
        <w:tc>
          <w:tcPr>
            <w:tcW w:w="1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(11,737)</w:t>
            </w:r>
          </w:p>
        </w:tc>
        <w:tc>
          <w:tcPr>
            <w:tcW w:w="9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(10,888)</w:t>
            </w:r>
          </w:p>
        </w:tc>
        <w:tc>
          <w:tcPr>
            <w:tcW w:w="13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(7,694)</w:t>
            </w:r>
          </w:p>
        </w:tc>
        <w:tc>
          <w:tcPr>
            <w:tcW w:w="11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certificates of deposit.</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1,823,162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1,798,210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1,432,546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deposits...........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1,982,822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$1,919,742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$1,501,646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27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36"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1996 and 1995, certificates of deposit issued on an uninsured basis amounted to $133.7 million, $147.5 million and $80.0 million, respectively. Of the $133.7 million of uninsured deposits at December 31, 1997, $98.1 million were from political subdivisions in New Jersey and secured or collateralized as required under state law.</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by various interest rate categories, the certificates of deposit in the Company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December 31,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20" w:type="dxa"/>
            <w:vAlign w:val="bottom"/>
          </w:tcPr>
          <w:p>
            <w:pPr>
              <w:spacing w:after="0"/>
              <w:rPr>
                <w:sz w:val="14"/>
                <w:szCs w:val="14"/>
                <w:color w:val="auto"/>
              </w:rPr>
            </w:pPr>
          </w:p>
        </w:tc>
        <w:tc>
          <w:tcPr>
            <w:tcW w:w="74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800" w:type="dxa"/>
            <w:vAlign w:val="bottom"/>
          </w:tcPr>
          <w:p>
            <w:pPr>
              <w:spacing w:after="0"/>
              <w:rPr>
                <w:sz w:val="14"/>
                <w:szCs w:val="14"/>
                <w:color w:val="auto"/>
              </w:rPr>
            </w:pPr>
          </w:p>
        </w:tc>
        <w:tc>
          <w:tcPr>
            <w:tcW w:w="1400" w:type="dxa"/>
            <w:vAlign w:val="bottom"/>
          </w:tcPr>
          <w:p>
            <w:pPr>
              <w:jc w:val="center"/>
              <w:ind w:right="727"/>
              <w:spacing w:after="0" w:line="168" w:lineRule="exact"/>
              <w:rPr>
                <w:sz w:val="20"/>
                <w:szCs w:val="20"/>
                <w:color w:val="auto"/>
              </w:rPr>
            </w:pPr>
            <w:r>
              <w:rPr>
                <w:rFonts w:ascii="Courier New" w:cs="Courier New" w:eastAsia="Courier New" w:hAnsi="Courier New"/>
                <w:sz w:val="15"/>
                <w:szCs w:val="15"/>
                <w:color w:val="auto"/>
                <w:w w:val="99"/>
              </w:rPr>
              <w:t>1996</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1120" w:type="dxa"/>
            <w:vAlign w:val="bottom"/>
          </w:tcPr>
          <w:p>
            <w:pPr>
              <w:spacing w:after="0"/>
              <w:rPr>
                <w:sz w:val="14"/>
                <w:szCs w:val="14"/>
                <w:color w:val="auto"/>
              </w:rPr>
            </w:pPr>
          </w:p>
        </w:tc>
        <w:tc>
          <w:tcPr>
            <w:tcW w:w="41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20" w:type="dxa"/>
            <w:vAlign w:val="bottom"/>
          </w:tcPr>
          <w:p>
            <w:pPr>
              <w:spacing w:after="0"/>
              <w:rPr>
                <w:sz w:val="20"/>
                <w:szCs w:val="20"/>
                <w:color w:val="auto"/>
              </w:rPr>
            </w:pPr>
            <w:r>
              <w:rPr>
                <w:rFonts w:ascii="Courier New" w:cs="Courier New" w:eastAsia="Courier New" w:hAnsi="Courier New"/>
                <w:sz w:val="15"/>
                <w:szCs w:val="15"/>
                <w:color w:val="auto"/>
                <w:w w:val="93"/>
              </w:rPr>
              <w:t>2.99% or less</w:t>
            </w:r>
          </w:p>
        </w:tc>
        <w:tc>
          <w:tcPr>
            <w:tcW w:w="3240" w:type="dxa"/>
            <w:vAlign w:val="bottom"/>
          </w:tcPr>
          <w:p>
            <w:pPr>
              <w:jc w:val="right"/>
              <w:ind w:right="15"/>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841</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1,442</w:t>
            </w:r>
          </w:p>
        </w:tc>
        <w:tc>
          <w:tcPr>
            <w:tcW w:w="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3.00-3.50%.................................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3.51-4.50..................................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1,149</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42,751</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4.51-5.50..................................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292,192</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595,730</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454,653</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5.51-6.50..................................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1,300,463</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990,621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660,745</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6.51-7.50..................................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229,134</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208,774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273,655</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7.51-8.50..................................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w:t>
            </w:r>
          </w:p>
        </w:tc>
        <w:tc>
          <w:tcPr>
            <w:tcW w:w="80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490</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w:t>
            </w:r>
          </w:p>
        </w:tc>
      </w:tr>
      <w:tr>
        <w:trPr>
          <w:trHeight w:val="168"/>
        </w:trPr>
        <w:tc>
          <w:tcPr>
            <w:tcW w:w="1120" w:type="dxa"/>
            <w:vAlign w:val="bottom"/>
          </w:tcPr>
          <w:p>
            <w:pPr>
              <w:spacing w:after="0"/>
              <w:rPr>
                <w:sz w:val="14"/>
                <w:szCs w:val="14"/>
                <w:color w:val="auto"/>
              </w:rPr>
            </w:pPr>
          </w:p>
        </w:tc>
        <w:tc>
          <w:tcPr>
            <w:tcW w:w="41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20" w:type="dxa"/>
            <w:vAlign w:val="bottom"/>
          </w:tcPr>
          <w:p>
            <w:pPr>
              <w:spacing w:after="0"/>
              <w:rPr>
                <w:sz w:val="14"/>
                <w:szCs w:val="14"/>
                <w:color w:val="auto"/>
              </w:rPr>
            </w:pPr>
          </w:p>
        </w:tc>
        <w:tc>
          <w:tcPr>
            <w:tcW w:w="3240" w:type="dxa"/>
            <w:vAlign w:val="bottom"/>
          </w:tcPr>
          <w:p>
            <w:pPr>
              <w:jc w:val="right"/>
              <w:ind w:right="15"/>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1,823,162</w:t>
            </w:r>
          </w:p>
        </w:tc>
        <w:tc>
          <w:tcPr>
            <w:tcW w:w="22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$ 1,798,210</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$ 1,432,546</w:t>
            </w:r>
          </w:p>
        </w:tc>
      </w:tr>
      <w:tr>
        <w:trPr>
          <w:trHeight w:val="168"/>
        </w:trPr>
        <w:tc>
          <w:tcPr>
            <w:tcW w:w="1120" w:type="dxa"/>
            <w:vAlign w:val="bottom"/>
          </w:tcPr>
          <w:p>
            <w:pPr>
              <w:spacing w:after="0"/>
              <w:rPr>
                <w:sz w:val="14"/>
                <w:szCs w:val="14"/>
                <w:color w:val="auto"/>
              </w:rPr>
            </w:pPr>
          </w:p>
        </w:tc>
        <w:tc>
          <w:tcPr>
            <w:tcW w:w="41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20" w:type="dxa"/>
            <w:vAlign w:val="bottom"/>
          </w:tcPr>
          <w:p>
            <w:pPr>
              <w:spacing w:after="0"/>
              <w:rPr>
                <w:sz w:val="24"/>
                <w:szCs w:val="24"/>
                <w:color w:val="auto"/>
              </w:rPr>
            </w:pPr>
          </w:p>
        </w:tc>
        <w:tc>
          <w:tcPr>
            <w:tcW w:w="3240" w:type="dxa"/>
            <w:vAlign w:val="bottom"/>
          </w:tcPr>
          <w:p>
            <w:pPr>
              <w:jc w:val="right"/>
              <w:ind w:right="975"/>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32" w:name="page33"/>
    <w:bookmarkEnd w:id="32"/>
    <w:p>
      <w:pPr>
        <w:jc w:val="both"/>
        <w:ind w:left="800"/>
        <w:spacing w:after="0"/>
        <w:tabs>
          <w:tab w:leader="none" w:pos="1220" w:val="left"/>
          <w:tab w:leader="none" w:pos="2180" w:val="left"/>
          <w:tab w:leader="none" w:pos="2780" w:val="left"/>
          <w:tab w:leader="none" w:pos="3320" w:val="left"/>
          <w:tab w:leader="none" w:pos="4280" w:val="left"/>
          <w:tab w:leader="none" w:pos="4980" w:val="left"/>
          <w:tab w:leader="none" w:pos="5420" w:val="left"/>
          <w:tab w:leader="none" w:pos="6460" w:val="left"/>
        </w:tabs>
        <w:rPr>
          <w:sz w:val="20"/>
          <w:szCs w:val="20"/>
          <w:color w:val="auto"/>
        </w:rPr>
      </w:pPr>
      <w:r>
        <w:rPr>
          <w:rFonts w:ascii="Courier New" w:cs="Courier New" w:eastAsia="Courier New" w:hAnsi="Courier New"/>
          <w:sz w:val="15"/>
          <w:szCs w:val="15"/>
          <w:color w:val="auto"/>
        </w:rPr>
        <w:t>The</w:t>
        <w:tab/>
        <w:t>following</w:t>
        <w:tab/>
        <w:t>table</w:t>
        <w:tab/>
        <w:t>sets</w:t>
        <w:tab/>
        <w:t>forth the</w:t>
        <w:tab/>
        <w:t>amount</w:t>
        <w:tab/>
        <w:t>and</w:t>
        <w:tab/>
        <w:t>maturities</w:t>
      </w:r>
      <w:r>
        <w:rPr>
          <w:sz w:val="20"/>
          <w:szCs w:val="20"/>
          <w:color w:val="auto"/>
        </w:rPr>
        <w:tab/>
      </w:r>
      <w:r>
        <w:rPr>
          <w:rFonts w:ascii="Courier New" w:cs="Courier New" w:eastAsia="Courier New" w:hAnsi="Courier New"/>
          <w:sz w:val="14"/>
          <w:szCs w:val="14"/>
          <w:color w:val="auto"/>
        </w:rPr>
        <w:t>of the</w:t>
      </w:r>
    </w:p>
    <w:tbl>
      <w:tblPr>
        <w:tblLayout w:type="fixed"/>
        <w:tblInd w:w="0" w:type="dxa"/>
        <w:tblCellMar>
          <w:top w:w="0" w:type="dxa"/>
          <w:left w:w="0" w:type="dxa"/>
          <w:bottom w:w="0" w:type="dxa"/>
          <w:right w:w="0" w:type="dxa"/>
        </w:tblCellMar>
      </w:tblPr>
      <w:tr>
        <w:trPr>
          <w:trHeight w:val="168"/>
        </w:trPr>
        <w:tc>
          <w:tcPr>
            <w:tcW w:w="55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certificates of deposit in the Company at December 31, 1997.</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Over Six</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Months and</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One Year</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Six Months</w:t>
            </w:r>
          </w:p>
        </w:tc>
        <w:tc>
          <w:tcPr>
            <w:tcW w:w="32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Less than</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Through Two</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and Less</w:t>
            </w:r>
          </w:p>
        </w:tc>
        <w:tc>
          <w:tcPr>
            <w:tcW w:w="32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One Year</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2.99% or less.............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3.00-3.50%................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3.51-4.50.................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4.51-5.50.................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172,733</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32,710</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42,758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5.51-6.50.................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288,206</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287,208</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260,386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6.51-7.50.................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28,568</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30,201</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73,151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7.51-8.50.................</w:t>
            </w:r>
          </w:p>
        </w:tc>
        <w:tc>
          <w:tcPr>
            <w:tcW w:w="30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490,344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350,119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376,629</w:t>
            </w:r>
          </w:p>
        </w:tc>
      </w:tr>
      <w:tr>
        <w:trPr>
          <w:trHeight w:val="168"/>
        </w:trPr>
        <w:tc>
          <w:tcPr>
            <w:tcW w:w="2500" w:type="dxa"/>
            <w:vAlign w:val="bottom"/>
          </w:tcPr>
          <w:p>
            <w:pPr>
              <w:spacing w:after="0"/>
              <w:rPr>
                <w:sz w:val="14"/>
                <w:szCs w:val="14"/>
                <w:color w:val="auto"/>
              </w:rPr>
            </w:pPr>
          </w:p>
        </w:tc>
        <w:tc>
          <w:tcPr>
            <w:tcW w:w="14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firstLine="787"/>
        <w:spacing w:after="0" w:line="256" w:lineRule="auto"/>
        <w:rPr>
          <w:sz w:val="20"/>
          <w:szCs w:val="20"/>
          <w:color w:val="auto"/>
        </w:rPr>
      </w:pPr>
      <w:r>
        <w:rPr>
          <w:rFonts w:ascii="Courier New" w:cs="Courier New" w:eastAsia="Courier New" w:hAnsi="Courier New"/>
          <w:sz w:val="14"/>
          <w:szCs w:val="14"/>
          <w:color w:val="auto"/>
        </w:rPr>
        <w:t>At December 31, 1997, the Company had $194.5 million of certificates of deposit in amounts of $100,000 or more outstanding maturing as follows: $97.7 million within three months; $28.4 million over three months through six months; $19.4 million over six months through 12 months; and $49.0 million thereafter.</w:t>
      </w:r>
    </w:p>
    <w:p>
      <w:pPr>
        <w:spacing w:after="0" w:line="164" w:lineRule="exact"/>
        <w:rPr>
          <w:sz w:val="20"/>
          <w:szCs w:val="20"/>
          <w:color w:val="auto"/>
        </w:rPr>
      </w:pPr>
    </w:p>
    <w:p>
      <w:pPr>
        <w:jc w:val="both"/>
        <w:ind w:firstLine="787"/>
        <w:spacing w:after="0" w:line="234" w:lineRule="auto"/>
        <w:rPr>
          <w:sz w:val="20"/>
          <w:szCs w:val="20"/>
          <w:color w:val="auto"/>
        </w:rPr>
      </w:pPr>
      <w:r>
        <w:rPr>
          <w:rFonts w:ascii="Courier New" w:cs="Courier New" w:eastAsia="Courier New" w:hAnsi="Courier New"/>
          <w:sz w:val="15"/>
          <w:szCs w:val="15"/>
          <w:color w:val="auto"/>
        </w:rPr>
        <w:t>For additional information related to the Company's deposits, see Note 15 to the Consolidated Financial Statements included in Item 8 hereof.</w:t>
      </w:r>
    </w:p>
    <w:p>
      <w:pPr>
        <w:spacing w:after="0" w:line="173" w:lineRule="exact"/>
        <w:rPr>
          <w:sz w:val="20"/>
          <w:szCs w:val="20"/>
          <w:color w:val="auto"/>
        </w:rPr>
      </w:pPr>
    </w:p>
    <w:p>
      <w:pPr>
        <w:jc w:val="both"/>
        <w:ind w:firstLine="787"/>
        <w:spacing w:after="0" w:line="236" w:lineRule="auto"/>
        <w:rPr>
          <w:sz w:val="20"/>
          <w:szCs w:val="20"/>
          <w:color w:val="auto"/>
        </w:rPr>
      </w:pPr>
      <w:r>
        <w:rPr>
          <w:rFonts w:ascii="Courier New" w:cs="Courier New" w:eastAsia="Courier New" w:hAnsi="Courier New"/>
          <w:sz w:val="15"/>
          <w:szCs w:val="15"/>
          <w:color w:val="auto"/>
        </w:rPr>
        <w:t>BORROWINGS. Through the Bank, the Company obtains advances from the FHLB of New York upon the security of certain of its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its own interest rate, which may be fixed or adjustable, and range of maturities.</w:t>
      </w:r>
    </w:p>
    <w:p>
      <w:pPr>
        <w:spacing w:after="0" w:line="178" w:lineRule="exact"/>
        <w:rPr>
          <w:sz w:val="20"/>
          <w:szCs w:val="20"/>
          <w:color w:val="auto"/>
        </w:rPr>
      </w:pPr>
    </w:p>
    <w:p>
      <w:pPr>
        <w:jc w:val="both"/>
        <w:ind w:firstLine="787"/>
        <w:spacing w:after="0" w:line="255" w:lineRule="auto"/>
        <w:rPr>
          <w:sz w:val="20"/>
          <w:szCs w:val="20"/>
          <w:color w:val="auto"/>
        </w:rPr>
      </w:pPr>
      <w:r>
        <w:rPr>
          <w:rFonts w:ascii="Courier New" w:cs="Courier New" w:eastAsia="Courier New" w:hAnsi="Courier New"/>
          <w:sz w:val="14"/>
          <w:szCs w:val="14"/>
          <w:color w:val="auto"/>
        </w:rPr>
        <w:t>The Company also obtains funds pursuant to securities sold under reverse repurchase agreements. Under these agreements, the Company sells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the Company's consolidated financial statements and are held in safekeeping by broker-dealers.</w:t>
      </w:r>
    </w:p>
    <w:p>
      <w:pPr>
        <w:spacing w:after="0" w:line="166" w:lineRule="exact"/>
        <w:rPr>
          <w:sz w:val="20"/>
          <w:szCs w:val="20"/>
          <w:color w:val="auto"/>
        </w:rPr>
      </w:pPr>
    </w:p>
    <w:p>
      <w:pPr>
        <w:jc w:val="both"/>
        <w:ind w:firstLine="787"/>
        <w:spacing w:after="0" w:line="255" w:lineRule="auto"/>
        <w:rPr>
          <w:sz w:val="20"/>
          <w:szCs w:val="20"/>
          <w:color w:val="auto"/>
        </w:rPr>
      </w:pPr>
      <w:r>
        <w:rPr>
          <w:rFonts w:ascii="Courier New" w:cs="Courier New" w:eastAsia="Courier New" w:hAnsi="Courier New"/>
          <w:sz w:val="14"/>
          <w:szCs w:val="14"/>
          <w:color w:val="auto"/>
        </w:rPr>
        <w:t>Beginning in 1997, borrowings of the Company include lines of credit obtained by OFS, as follows: (i) a $200.0 million secured line of credit from Morgan Stanley Mortgage Capital Inc., (ii) a $50.0 million secured line of credit from Texas Commerce Bank National Association, (iii) a $200.0 million secured line of credit from Merrill Lynch and (iv) a $200.0 million secured line of credit from Lehman Commercial Paper, Inc. An aggregate of $118.3 million was outstanding to OFS under these lines of credit at December 31, 1997, which have interest rates which float in accordance with a designated prime rate.</w:t>
      </w:r>
    </w:p>
    <w:p>
      <w:pPr>
        <w:spacing w:after="0" w:line="166" w:lineRule="exact"/>
        <w:rPr>
          <w:sz w:val="20"/>
          <w:szCs w:val="20"/>
          <w:color w:val="auto"/>
        </w:rPr>
      </w:pPr>
    </w:p>
    <w:p>
      <w:pPr>
        <w:jc w:val="both"/>
        <w:ind w:firstLine="787"/>
        <w:spacing w:after="0" w:line="255" w:lineRule="auto"/>
        <w:rPr>
          <w:sz w:val="20"/>
          <w:szCs w:val="20"/>
          <w:color w:val="auto"/>
        </w:rPr>
      </w:pPr>
      <w:r>
        <w:rPr>
          <w:rFonts w:ascii="Courier New" w:cs="Courier New" w:eastAsia="Courier New" w:hAnsi="Courier New"/>
          <w:sz w:val="14"/>
          <w:szCs w:val="14"/>
          <w:color w:val="auto"/>
        </w:rPr>
        <w:t>The Company's borrowings also include notes, subordinated debentures and other interest-bearing obligations. At December 31, 1997, this category of borrowings consisted primarily of $100.0 million of 12% Subordinated Debentures issued by the Bank in June 1995 and due 2005 (the "Debentures") and $125.0 million of 11.875% Notes due 2003 (the "Notes") issued by the Company through a public offering on September 25, 1996 and due 2003. Historically, from time to time, the Company privately has raised funds by issuing short-term notes to certain executives and stockholders of the Company. Such notes were repaid during 1996 and amounted to $8.6 million at December 31, 1995.</w:t>
      </w:r>
    </w:p>
    <w:p>
      <w:pPr>
        <w:spacing w:after="0" w:line="32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Over Two</w:t>
      </w:r>
    </w:p>
    <w:p>
      <w:pPr>
        <w:ind w:left="340"/>
        <w:spacing w:after="0" w:line="237" w:lineRule="auto"/>
        <w:tabs>
          <w:tab w:leader="none" w:pos="1820" w:val="left"/>
        </w:tabs>
        <w:rPr>
          <w:sz w:val="20"/>
          <w:szCs w:val="20"/>
          <w:color w:val="auto"/>
        </w:rPr>
      </w:pP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860" w:val="left"/>
          <w:tab w:leader="none" w:pos="1460" w:val="left"/>
          <w:tab w:leader="none" w:pos="2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841</w:t>
      </w:r>
    </w:p>
    <w:p>
      <w:pPr>
        <w:jc w:val="both"/>
        <w:ind w:left="880"/>
        <w:spacing w:after="0" w:line="237" w:lineRule="auto"/>
        <w:tabs>
          <w:tab w:leader="none" w:pos="2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360" w:hanging="1401"/>
        <w:spacing w:after="0" w:line="238" w:lineRule="auto"/>
        <w:tabs>
          <w:tab w:leader="none" w:pos="2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43,991</w:t>
      </w:r>
      <w:r>
        <w:rPr>
          <w:rFonts w:ascii="Courier New" w:cs="Courier New" w:eastAsia="Courier New" w:hAnsi="Courier New"/>
          <w:sz w:val="14"/>
          <w:szCs w:val="14"/>
          <w:color w:val="auto"/>
        </w:rPr>
        <w:t>292,192</w:t>
      </w:r>
    </w:p>
    <w:tbl>
      <w:tblPr>
        <w:tblLayout w:type="fixed"/>
        <w:tblInd w:w="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464,663</w:t>
            </w:r>
          </w:p>
        </w:tc>
        <w:tc>
          <w:tcPr>
            <w:tcW w:w="1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1,300,463</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97,214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229,134</w:t>
            </w:r>
          </w:p>
        </w:tc>
      </w:tr>
      <w:tr>
        <w:trPr>
          <w:trHeight w:val="168"/>
        </w:trPr>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w:t>
            </w:r>
          </w:p>
        </w:tc>
      </w:tr>
      <w:tr>
        <w:trPr>
          <w:trHeight w:val="168"/>
        </w:trPr>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606,070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1,823,162</w:t>
            </w:r>
          </w:p>
        </w:tc>
      </w:tr>
      <w:tr>
        <w:trPr>
          <w:trHeight w:val="168"/>
        </w:trPr>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360"/>
            <w:col w:w="2879"/>
          </w:cols>
          <w:pgMar w:left="220" w:top="617" w:right="1440" w:bottom="1440" w:gutter="0" w:footer="0" w:header="0"/>
        </w:sectPr>
      </w:pPr>
    </w:p>
    <w:bookmarkStart w:id="33" w:name="page34"/>
    <w:bookmarkEnd w:id="33"/>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the Company's borrowings and other interest-bearing obligations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7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08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FHLB advances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$ 70,399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Reverse repurchase agreements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108,250</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74,546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84,761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outstanding under lines of</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credit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118,304</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 and other interest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jc w:val="right"/>
              <w:ind w:right="2067"/>
              <w:spacing w:after="0" w:line="168" w:lineRule="exact"/>
              <w:rPr>
                <w:sz w:val="20"/>
                <w:szCs w:val="20"/>
                <w:color w:val="auto"/>
              </w:rPr>
            </w:pPr>
            <w:r>
              <w:rPr>
                <w:rFonts w:ascii="Courier New" w:cs="Courier New" w:eastAsia="Courier New" w:hAnsi="Courier New"/>
                <w:sz w:val="15"/>
                <w:szCs w:val="15"/>
                <w:color w:val="auto"/>
              </w:rPr>
              <w:t>bearing obligations: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125,000</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125,000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Debentures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100,000</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100,000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Hotel mortgages payable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Short-term notes .........................</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1,975</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8,627</w:t>
            </w:r>
          </w:p>
        </w:tc>
      </w:tr>
      <w:tr>
        <w:trPr>
          <w:trHeight w:val="168"/>
        </w:trPr>
        <w:tc>
          <w:tcPr>
            <w:tcW w:w="408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226,975</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225,573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117,054</w:t>
            </w:r>
          </w:p>
        </w:tc>
      </w:tr>
      <w:tr>
        <w:trPr>
          <w:trHeight w:val="168"/>
        </w:trPr>
        <w:tc>
          <w:tcPr>
            <w:tcW w:w="408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8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453,529</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$300,518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$272,214</w:t>
            </w:r>
          </w:p>
        </w:tc>
      </w:tr>
      <w:tr>
        <w:trPr>
          <w:trHeight w:val="168"/>
        </w:trPr>
        <w:tc>
          <w:tcPr>
            <w:tcW w:w="4080" w:type="dxa"/>
            <w:vAlign w:val="bottom"/>
          </w:tcPr>
          <w:p>
            <w:pPr>
              <w:spacing w:after="0"/>
              <w:rPr>
                <w:sz w:val="14"/>
                <w:szCs w:val="14"/>
                <w:color w:val="auto"/>
              </w:rPr>
            </w:pP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relating to the Company's short term borrowings having average balances during any of the reported periods of greater than 30% of stockholders' equity at the end of the reported period.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4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At or for the Year Ended December 31,</w:t>
            </w: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4"/>
              </w:rPr>
              <w:t>1997</w:t>
            </w:r>
          </w:p>
        </w:tc>
        <w:tc>
          <w:tcPr>
            <w:tcW w:w="66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spacing w:after="0"/>
              <w:rPr>
                <w:sz w:val="14"/>
                <w:szCs w:val="14"/>
                <w:color w:val="auto"/>
              </w:rPr>
            </w:pP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FHLB ADVANCES: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amount outstanding during the period....</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9,482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71,221</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14,866</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Maximum</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month-end balance outstanding</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during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period..............................</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81,399</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100,399</w:t>
            </w: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Weighted average rate: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During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period..............................</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5.69%</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 end</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period...............................</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7.02%</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OBLIGATIONS OUTSTANDING UNDER LINES OF CREDIT:</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amount outstanding during the period....</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84,272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Maximum</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month-end balance outstanding</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during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period..............................</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267,095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Weighted average rate: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During</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period..............................</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6.62%</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At end</w:t>
            </w:r>
          </w:p>
        </w:tc>
        <w:tc>
          <w:tcPr>
            <w:tcW w:w="3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period...............................</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6.32%</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SYSTEMS AND USE OF TECHNOLOGY</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Company believes that its use of information technology has been a key factor in achieving success in the acquisition, management and resolution of discount loans and believes that this technology also has applicability to other aspects of its business which involve servicing intensive assets, including subprime residential mortgage lending, servicing of nonperforming or underperforming loans for third parties and asset management services.</w:t>
      </w:r>
    </w:p>
    <w:p>
      <w:pPr>
        <w:spacing w:after="0" w:line="166"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In addition to its standard industry software applications which have been customized to meet the Company's requirements, the Company has internally developed fully integrated proprietary applications designed to provide decision support, automation of decision execution, tracking and exception reporting associated with the management of nonperforming and underperforming loans. The Company also has deployed: a predictive dialing solution which permits the Company to direct the calls made by its collectors and increases the productivity of the department; an interactive voice response system which provides automated account information to customers; a document imaging system which permits immediate access to pertinent loan documents; and a data warehouse which permits corporate data to be shared on a centralized basis for decision support. The Company is also implementing electronic commerce which further automates the Company's communications with its third party service providers.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4" w:name="page35"/>
    <w:bookmarkEnd w:id="34"/>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The Company's proprietary systems result in a number of benefits including consistency of service to customers, reduced training periods for employees, resolution decisions which evaluate on an automated basis the optimal means to maximize the net resolution proceeds (which may include a variety of resolution alternatives including placing the borrowers on forbearance plans, pursuing a pre-approved sale of the property, or completing foreclosure proceedings), the ability to effect foreclosure as quickly as possible within state-specific foreclosure timelines and the management of third party service providers to ensure quality of service. The federal mortgage agencies and credit-rating agencies have established a variety of measurements for approved servicers, against which the Company compares favorably. See "Business-Loan Servicing Activities."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Through its document imaging system, the Company is able to produce complete foreclosure packages within minutes. The Company believes that the industry standard generally is to prepare a complete foreclosure package within sixty days. Delays in the time to resolution result in increased third party costs, opportunity costs and direct servicing expenses. As a result, the Company has designed its systems and procedures to move a loan through the foreclosure process in a timely manner.</w:t>
      </w:r>
    </w:p>
    <w:p>
      <w:pPr>
        <w:spacing w:after="0" w:line="17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 has invested in a sophisticated computer infrastructure to support its software applications. The Company uses an IBM RISC AS400 and NetFrame and COMPAQ Proliant file servers as its primary hardware platform. The Company uses CISCO Routers, Cabletron Hubs and chassis with fiber optic cabling throughout and between buildings so as to achieve the highest performance. The Company also has deployed a DAVOX predicative dialer which currently has capacity for 120 seats. The Company's document imaging system currently stores 6 million images. The Company's systems have significant capacity for expansion and upgrade.</w:t>
      </w:r>
    </w:p>
    <w:p>
      <w:pPr>
        <w:spacing w:after="0" w:line="178"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The Company protects its proprietary information by developing, maintaining and enforcing a comprehensive set of information security policies; by having each employee execute an intellectual property agreement with the Company, which among other things, prohibits disclosure of confidential information and provides for the assignment of developments; by affixing a copyright symbol to copies of any of the Company's proprietary information to which a third party has access; by emblazoning the start-up screen of any of the Company's proprietary software with the Company's logo and a copyright symbol; by having third-party contract employees and consultants execute a contract with the Company which contains, among other things, confidentiality and assignment provisions; and by otherwise limiting third-party access to the Company's proprietary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CONDITIONS</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GENERAL. 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or dispose of real estate owned and would otherwise have an adverse effect on its business, including the demand for new loans, the ability of customers to repay loans and the value of both the collateral pledged to the Company to secure its loans and its real estate owned. Moreover, earthquakes and 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At December 31, 1997, the Company had loans with an unpaid balance aggregating $375.1 million (including loans available for sale) secured by properties located in California and $48.3 million of the Company's real estate owned was located in California, which collectively represent 13.8% of the Company's total assets at such date.</w:t>
      </w:r>
    </w:p>
    <w:p>
      <w:pPr>
        <w:spacing w:after="0" w:line="175"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EFFECTS OF CHANGES IN INTEREST RATES. The Company's operating results depend to a large extent on its net interest income, which is the difference between the interest income earned on interest-earning assets and the interest expense incurred in connection with its interest-bearing liabilities. Changes in the general level of interest rates can affect the Company's net interest income by affecting the spread between the Company's interest-earning assets and interest-bearing liabilities, as well as, among other things, the ability of the Company to originate loans; the value of the Company's interest-earning assets and its ability to realize gains from the sale of such assets; the average life of the Company's interest-earning assets; the value of the Company's mortgage servicing rights; and the Company's ability to obtain deposits in competition with other available investment alternatives. Interest rates are highly sensitive to many factors, including governmental monetary policies, domestic and international economic and political conditions and other factors beyond the control of the Company. The Company actively monitors its assets and liabilities and employs a hedging strategy which seeks to limit the effects of changes in interest rates on its operations. Although management believes that the maturities of the Company's assets currently are well balanced in relation to its liabilities (based on various estimates as to how changes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021" w:gutter="0" w:footer="0" w:header="0"/>
        </w:sectPr>
      </w:pPr>
    </w:p>
    <w:bookmarkStart w:id="35" w:name="page36"/>
    <w:bookmarkEnd w:id="35"/>
    <w:p>
      <w:pPr>
        <w:jc w:val="both"/>
        <w:ind w:right="3239"/>
        <w:spacing w:after="0" w:line="258" w:lineRule="auto"/>
        <w:rPr>
          <w:sz w:val="20"/>
          <w:szCs w:val="20"/>
          <w:color w:val="auto"/>
        </w:rPr>
      </w:pPr>
      <w:r>
        <w:rPr>
          <w:rFonts w:ascii="Courier New" w:cs="Courier New" w:eastAsia="Courier New" w:hAnsi="Courier New"/>
          <w:sz w:val="14"/>
          <w:szCs w:val="14"/>
          <w:color w:val="auto"/>
        </w:rPr>
        <w:t>in the general level of interest rates will impact its assets and liabilities), there can be no assurance that the profitability of the Company would not be adversely affected during any period of changes in interest rates.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businesses in which the Company is engaged generally are highly competitive. The acquisition of discount loans is particularly competitive, as acquisitions of such loans are often based on competitive bidding. The Company also encounters significant competition in connection with its other lending activities, its investment and in its deposit-gathering activities. Many of the Company's competitors are significantly larger than the Company and have access to greater capital and other resources. In addition, many of the Company's competitors are not subject to the same extensive federal regulations that govern federally-insured institutions such as the Bank and their holding companies. As a result, many of the Company's competitors have advantages over the Company in conducting certain businesses and providing certain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Set forth below is a brief description of the operations of the Company's significant non-banking subsidiaries.</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IMI. Through subsidiaries, IMI owns an interest in the Westin Hotel in Columbus, Ohio, residential units in cooperative buildings which are acquired in connection with the foreclosure on loans held by the Bank or by deed-in-lieu thereof, as well as other real estate related ventures. During 1997, IMI sold a 69% partnership interest in the Westin Hotel for a small gain. At December 31, 1997, IMI also owned 9% of the outstanding common stock of OAIC.</w:t>
      </w:r>
    </w:p>
    <w:p>
      <w:pPr>
        <w:spacing w:after="0" w:line="166"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OFS. OFS was formed by the Company under Florida law in October 1996 for the purposes of purchasing substantially all of the assets of Admiral, the Company's primary correspondent mortgage banking firm for subprime single family residential loans, and assuming all of the Bank's subprime single family residential lending operations. Under the terms of the acquisition, a transaction which closed on May 1, 1997, the Company agreed to pay Admiral $6.8 million and to transfer to Admiral 20% of the voting stock of OFS. In addition, OFS assumed specified liabilities of Admiral in connection with this transaction, including a $3.0 million unsecured loan which was made by the Bank to Admiral at the time OFS entered into the asset acquisition agreement with Admiral, which loan was repaid with the proceeds from a $30.0 million unsecured, subordinated credit facility provided by the Company to OFS at the time of the closing of such acquisition. On December 3, 1997, Ocwen purchased 2,705 additional shares of common stock of OFS for $15.0 million, increasing its ownership percentage from 80% to 93.7%.</w:t>
      </w:r>
    </w:p>
    <w:p>
      <w:pPr>
        <w:spacing w:after="0"/>
        <w:rPr>
          <w:sz w:val="20"/>
          <w:szCs w:val="20"/>
          <w:color w:val="auto"/>
        </w:rPr>
      </w:pPr>
      <w:r>
        <w:rPr>
          <w:rFonts w:ascii="Courier New" w:cs="Courier New" w:eastAsia="Courier New" w:hAnsi="Courier New"/>
          <w:sz w:val="15"/>
          <w:szCs w:val="15"/>
          <w:color w:val="auto"/>
        </w:rPr>
        <w:t>See "Business- Lending Activities-Single Family Residential Loans."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OCC. OCC is a wholly-owned subsidiary of the Company which was formed under Florida law to manage the day-to-day operations of OAIC, subject to supervision by OAIC's Board of Directors. The directors and executive officers of OCC consist solely of William C. Erbey, Chairman, President and Chief Executive Officer, and other executive officers of the Company. OAIC is a Virginia corporation which elected to be taxed as a REIT under the Code. In May 1997, OAIC conducted an initial public offering of 17,250,000 shares of its common stock, which resulted in net proceeds of $238.8 million, inclusive of the $27.9 million contributed by the Company for an additional 1,875,000 shares, or 9.8% of the outstanding shares of OAIC common stock. The OAIC common stock is traded on the Nasdaq National Market under the symbol "OAIC."</w:t>
      </w:r>
    </w:p>
    <w:p>
      <w:pPr>
        <w:spacing w:after="0" w:line="180"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Pursuant to a management agreement between OCC and OAIC, and subject to supervision by OAIC's Board of Directors, OCC formulates operating strategies for OAIC, arranges for the acquisition of assets by OAIC, arranges for various types of financing for OAIC, monitors the performance of OAIC's assets and provides certain administrative and managerial services in connection with the operation of OAIC. For performing these services, OCC receives (i) a base management fee in an amount equal to 1% of total assets per annum, calculated and paid quarterly based upon the average invested assets, as defined, by OAIC, which is intended to cover OCC's cost of providing management services to the Company, and (ii) a quarterly incentive fee in an amount equal to the product of</w:t>
      </w:r>
    </w:p>
    <w:p>
      <w:pPr>
        <w:spacing w:after="0" w:line="3" w:lineRule="exact"/>
        <w:rPr>
          <w:sz w:val="20"/>
          <w:szCs w:val="20"/>
          <w:color w:val="auto"/>
        </w:rPr>
      </w:pPr>
    </w:p>
    <w:p>
      <w:pPr>
        <w:jc w:val="both"/>
        <w:ind w:right="3239" w:firstLine="10"/>
        <w:spacing w:after="0" w:line="236"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the dollar amount by which (1)(a) funds from operations, as defined, per share of OAIC common stock plus (b) gains (or minus losses) from debt restructuring and sales of property per share of OAIC common stock, exceeds (2) an amount equal to (a) the weighted average of the initial public offering price per share of the OAIC common stock and the prices per share of any secondary offerings of OAIC common stock by OAIC multiplied by (b) the ten-year U.S. Treasury rate plus 5% per annum, multiplied by (B) the weighted average number of shares of OAIC common stock outstanding. The Board of Directors of OAIC may adjust the base management fee in the future if necessary to align the fee more closely with the actual costs of</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6" w:name="page37"/>
    <w:bookmarkEnd w:id="36"/>
    <w:p>
      <w:pPr>
        <w:jc w:val="both"/>
        <w:ind w:right="3239"/>
        <w:spacing w:after="0" w:line="235" w:lineRule="auto"/>
        <w:rPr>
          <w:sz w:val="20"/>
          <w:szCs w:val="20"/>
          <w:color w:val="auto"/>
        </w:rPr>
      </w:pPr>
      <w:r>
        <w:rPr>
          <w:rFonts w:ascii="Courier New" w:cs="Courier New" w:eastAsia="Courier New" w:hAnsi="Courier New"/>
          <w:sz w:val="15"/>
          <w:szCs w:val="15"/>
          <w:color w:val="auto"/>
        </w:rPr>
        <w:t>such services. OCC also may be reimbursed for the costs of certain due diligence tasks performed by it on behalf of OAIC and will be reimbursed for the out-of-pocket expenses incurred by it on behalf of OAIC.</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Recently, the Company transferred the lending operations associated with its large multi-family residential and commercial real estate loans to OCC. To date, OCC has emphasized originating loans for OAIC (in order to enable OAIC to invest the proceeds from the initial public offering of OAIC's common stock) and not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At December 31, 1997 the Company had 990 full time employees. The employees are not represented by a collective bargaining agreement. Management considers the Company's employee relations to be satisfactory.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Financial institutions and their holding companies are extensively regulated under federal and state laws. As a result, the business, financial condition and prospects of the Company can be materially affected not only by management decisions and general economic conditions, but also by applicable statutes and regulations and other regulatory pronouncements and policies promulgated by regulatory agencies with jurisdiction over the Company and the Bank, such as the OTS and the FDIC.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which are not insured by the FDIC.</w:t>
      </w:r>
    </w:p>
    <w:p>
      <w:pPr>
        <w:spacing w:after="0" w:line="173" w:lineRule="exact"/>
        <w:rPr>
          <w:sz w:val="20"/>
          <w:szCs w:val="20"/>
          <w:color w:val="auto"/>
        </w:rPr>
      </w:pPr>
    </w:p>
    <w:p>
      <w:pPr>
        <w:jc w:val="both"/>
        <w:ind w:right="3239" w:firstLine="700"/>
        <w:spacing w:after="0" w:line="255" w:lineRule="auto"/>
        <w:rPr>
          <w:sz w:val="20"/>
          <w:szCs w:val="20"/>
          <w:color w:val="auto"/>
        </w:rPr>
      </w:pPr>
      <w:r>
        <w:rPr>
          <w:rFonts w:ascii="Courier New" w:cs="Courier New" w:eastAsia="Courier New" w:hAnsi="Courier New"/>
          <w:sz w:val="14"/>
          <w:szCs w:val="14"/>
          <w:color w:val="auto"/>
        </w:rPr>
        <w:t>The enforcement powers available to Federal banking regulators are substantial and include,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166" w:lineRule="exact"/>
        <w:rPr>
          <w:sz w:val="20"/>
          <w:szCs w:val="20"/>
          <w:color w:val="auto"/>
        </w:rPr>
      </w:pPr>
    </w:p>
    <w:p>
      <w:pPr>
        <w:jc w:val="both"/>
        <w:ind w:right="3239" w:firstLine="700"/>
        <w:spacing w:after="0" w:line="236" w:lineRule="auto"/>
        <w:rPr>
          <w:sz w:val="20"/>
          <w:szCs w:val="20"/>
          <w:color w:val="auto"/>
        </w:rPr>
      </w:pPr>
      <w:r>
        <w:rPr>
          <w:rFonts w:ascii="Courier New" w:cs="Courier New" w:eastAsia="Courier New" w:hAnsi="Courier New"/>
          <w:sz w:val="15"/>
          <w:szCs w:val="15"/>
          <w:color w:val="auto"/>
        </w:rPr>
        <w:t>The following discussion and other references to and descriptions of the regulation of financial institutions contained herein constitute brief summaries thereof as currently in effect. This discussion is not intended to constitute, and does not purport to be, a complete statement of all legal restrictions and requirements applicable to the Company and the Bank and all such descriptions are qualified in their entirety by reference to applicable statutes, regulations and other regulatory pronouncements.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GENERAL. The Company is a registered savings and loan holding company under the Home Owner's Loan Act (the "HOLA"). As such, the Company is subject to regulation, supervision and examination by the OTS.</w:t>
      </w:r>
    </w:p>
    <w:p>
      <w:pPr>
        <w:spacing w:after="0" w:line="174"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ACTIVITIES RESTRICTION. There are generally no restrictions on the activities of a savings and loan holding company, such as the Company, which holds only one subsidiary savings institution.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are deemed necessary to address such risk, including limiting: (i) payment of dividends by the savings institution; (ii) transactions between the savings institution and its affiliates; and (iii) any activities of the savings institution that might create a serious risk that the liabilities of the holding company and its affiliates may be imposed on the savings institution. Notwithstanding the above rules as to permissible business activities of unitary savings and loan holding companies, if the savings institution subsidiary of such a holding company fails to meet the qualified thrift lender ("QTL") test set forth in OTS regulations, then such unitary holding company shall become subject to the activities and restrictions applicable to multiple savings and loan holding companies and, unless the savings institution requalifies as a QTL within one year thereafter, shall register as, and become subject to the restriction applicable to, a bank holding company. See "The Bank-Qualified Thrift Lender Test."</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If the Company were to acquire control of another savings institution other than through merger or other business combination with the Bank, the Company would thereupon become a multiple savings and loan holding company. Except where such acquisition is pursuant to the authority to approve emergency thrift acquisition and where each subsidiary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7" w:name="page38"/>
    <w:bookmarkEnd w:id="37"/>
    <w:p>
      <w:pPr>
        <w:jc w:val="both"/>
        <w:ind w:right="3239"/>
        <w:spacing w:after="0" w:line="254" w:lineRule="auto"/>
        <w:rPr>
          <w:sz w:val="20"/>
          <w:szCs w:val="20"/>
          <w:color w:val="auto"/>
        </w:rPr>
      </w:pPr>
      <w:r>
        <w:rPr>
          <w:rFonts w:ascii="Courier New" w:cs="Courier New" w:eastAsia="Courier New" w:hAnsi="Courier New"/>
          <w:sz w:val="14"/>
          <w:szCs w:val="14"/>
          <w:color w:val="auto"/>
        </w:rPr>
        <w:t>savings institution meets the QTL test, as set forth below, the activities of the Company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 (i) furnishing or performing management services for a subsidiary savings institution; (ii) conducting an insurance agency or escrow business; (iii) holding, managing, or liquidating assets owned by or acquired from a subsidiary savings institution;</w:t>
      </w:r>
    </w:p>
    <w:p>
      <w:pPr>
        <w:spacing w:after="0" w:line="3" w:lineRule="exact"/>
        <w:rPr>
          <w:sz w:val="20"/>
          <w:szCs w:val="20"/>
          <w:color w:val="auto"/>
        </w:rPr>
      </w:pPr>
    </w:p>
    <w:p>
      <w:pPr>
        <w:jc w:val="both"/>
        <w:ind w:right="3239" w:firstLine="10"/>
        <w:spacing w:after="0" w:line="254" w:lineRule="auto"/>
        <w:tabs>
          <w:tab w:leader="none" w:pos="43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or managing properties used or occupied by a subsidiary savings institution; (v) acting as trustee under deeds of trust; (vi) those activities authorized by regulation as of March 5, 1987 to be engaged in by multiple savings and loan holding companies; or (vii) unless the Director of the OTS by regulation prohibits or limits such activities for savings and loan holding companies, those activities authorized by the Federal Reserve Board as permissible for bank holding companies. Those activities described in clause</w:t>
      </w:r>
    </w:p>
    <w:p>
      <w:pPr>
        <w:spacing w:after="0" w:line="2" w:lineRule="exact"/>
        <w:rPr>
          <w:sz w:val="20"/>
          <w:szCs w:val="20"/>
          <w:color w:val="auto"/>
        </w:rPr>
      </w:pPr>
    </w:p>
    <w:p>
      <w:pPr>
        <w:ind w:right="3239" w:firstLine="10"/>
        <w:spacing w:after="0" w:line="234" w:lineRule="auto"/>
        <w:tabs>
          <w:tab w:leader="none" w:pos="61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also must be approved by the Director of the OTS prior to being engaged in by a multiple savings and loan holding company.</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of the assets thereof; or (ii) more than 5% of the voting shares of a savings institution or holding company thereof which is not a subsidiary. Except with the prior approval of the Director of the OTS, no director or officer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180"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Director of the OTS may approve acquisitions resulting in the formation of a multiple savings and loan holding company which controls savings institutions in more than one state only if: (i) the multiple savings and loan holding company involved controls a savings institution which operated a home or branch office located in the state of the institution to be acquired as of March 5, 1987; (ii) the acquiror is authorized to acquire control of the savings institution pursuant to the emergency acquisition provisions of the Federal Deposit Insurance Act ("FDIA"); or (iii) the statutes of the state in which the institution to be acquired is located specifically permit institutions to be acquired by state-chartered savings institutions located in the state where the acquiring entity is located (or by a holding company that controls such state-chartered savings institutions).</w:t>
      </w:r>
    </w:p>
    <w:p>
      <w:pPr>
        <w:spacing w:after="0" w:line="164"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RESTRICTIONS ON TRANSACTIONS WITH AFFILIATES. Transactions between the Company or any of its non-bank subsidiaries and the Bank are subject to various restrictions, which are described below under "The Bank-Affiliate Transactions."</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BANK</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GENERAL. The Bank is a federally-chartered savings bank organized under the HOLA. As such, the Bank is subject to regulation, supervision and examination by the OTS. The deposit accounts of the Bank are insured up to applicable limits by the SAIF administered by the FDIC and, as a result, the Bank also is subject to regulation, supervision and examination by the FDIC.</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and changes in control of the Bank.</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INSURANCE OF ACCOUNTS. Pursuant to legislation enacted in September 1996, a fee was required to be paid by all SAIF-insured institutions at the rate of $0.657 per $100 of deposits held by such institutions at March 31, 1995. The money collected recapitalized the SAIF reserve to the level of 1.25% of insured deposits as required by law. In September 1996, the Bank recorded a pre-tax accrual of $7.1 million for this assessment, which was subsequently paid in November 1996. The recapitalization of the SAIF has resulted in lower deposit insurance premiums for most SAIF-insured financial institutions, including the Bank.</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Insured institutions also are required to share in the payment of interest on the bonds issued by a specially created government entity ("FICO"), the proceeds of which were applied toward resolution of the thrift industry crisis in the 1980s. Beginning on January 1, 1997, in addition to the insurance premiums paid by SAIF-insured institutions to maintain the SAIF reserve at its required level pursuant to the current risk classification system, SAIF-insured institutions pay deposit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8" w:name="page39"/>
    <w:bookmarkEnd w:id="38"/>
    <w:p>
      <w:pPr>
        <w:jc w:val="both"/>
        <w:ind w:right="3239"/>
        <w:spacing w:after="0" w:line="235" w:lineRule="auto"/>
        <w:rPr>
          <w:sz w:val="20"/>
          <w:szCs w:val="20"/>
          <w:color w:val="auto"/>
        </w:rPr>
      </w:pPr>
      <w:r>
        <w:rPr>
          <w:rFonts w:ascii="Courier New" w:cs="Courier New" w:eastAsia="Courier New" w:hAnsi="Courier New"/>
          <w:sz w:val="15"/>
          <w:szCs w:val="15"/>
          <w:color w:val="auto"/>
        </w:rPr>
        <w:t>insurance premiums at the annual rate of 6.4 basis points of their insured deposits and BIF-insured institutions will pay deposit insurance premiums at the annual rate of 1.3 basis points of their insured deposits towards the payment of interest on the FICO bonds.</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Under the current risk classification system, institutions are assigned to one of three capital groups which are based solely on the level of an institution's capital--"well capitalized," "adequately capitalized" and "undercapitalized"--which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180"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Management is aware of no existing circumstances which would result in termination of the Bank's deposit insurance.</w:t>
      </w:r>
    </w:p>
    <w:p>
      <w:pPr>
        <w:spacing w:after="0" w:line="16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REGULATORY CAPITAL REQUIREMENTS. Federally-insured savings associations are subject to three capital requirements of general applicability: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 qualifying purchased mortgage servicing rights, of which the Bank had $4.9 million at December 31, 1997.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332"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Bank's Debentures) which meets specified requirements, and general 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173"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OTS policy imposes a limitation on the amount of net deferred tax assets under SFAS No. 109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 The Bank's regulatory capital at December 31, 1997, has been reduced by $536,000 of disallowed deferred tax assets in excess of the OTS limit.</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August 1993, the OTS adopted a final rule incorporating an interest-rate risk component into the risk-based capital regulation. Under the rule, an institution with a greater than "normal" level of interest rate risk will be subject to a deduction of its interest rate risk component from total capital for purposes of determining whether it has met the risk-based capital requirement. As a result, such an institution will be required to maintain additional capital in order to comply with the risk-based capital requirement. Although the final rule was originally scheduled to be effective as of January 1994,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685" w:gutter="0" w:footer="0" w:header="0"/>
        </w:sectPr>
      </w:pPr>
    </w:p>
    <w:bookmarkStart w:id="39" w:name="page40"/>
    <w:bookmarkEnd w:id="39"/>
    <w:p>
      <w:pPr>
        <w:jc w:val="both"/>
        <w:ind w:right="3239"/>
        <w:spacing w:after="0" w:line="236" w:lineRule="auto"/>
        <w:rPr>
          <w:sz w:val="20"/>
          <w:szCs w:val="20"/>
          <w:color w:val="auto"/>
        </w:rPr>
      </w:pPr>
      <w:r>
        <w:rPr>
          <w:rFonts w:ascii="Courier New" w:cs="Courier New" w:eastAsia="Courier New" w:hAnsi="Courier New"/>
          <w:sz w:val="15"/>
          <w:szCs w:val="15"/>
          <w:color w:val="auto"/>
        </w:rPr>
        <w:t>OTS has indicated that it will delay invoking its interest rate risk rule until appeal procedures are implemented and evaluated. The OTS has not yet established an effective date for the capital deduction. Management of the Company does not believe that the adoption of an interest rate risk component to the risk-based capital requirement will adversely affect the Bank if it becomes effective in its current form.</w:t>
      </w:r>
    </w:p>
    <w:p>
      <w:pPr>
        <w:spacing w:after="0" w:line="175"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In April 1991, the OTS proposed to modify the 3% of adjusted total assets core capital requirement in the same manner as was done by the Comptroller of the Currency for national banks. Under the OTS proposal, only savings associations rated composite 1 under the CAMEL rating system will be permitted to operate at the regulatory minimum core capital ratio of 3%. For all other savings associations, the minimum core capital ratio will be 3% plus at least an additional 100 to 200 basis points, which will increase the core capital ratio requirement from 4% to 5% of adjusted total assets or more. In determining the amount of additional capital, the OTS will assess both the quality of risk management systems and the level of overall risk in each individual savings association through the supervisory process on a case-by-case basis.</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Under regulations adopted by the Federal banking regulators, an institution shall be deemed to be: (i) "well capitalized" if it has a total risk-based capital ratio of 10.0% or more, has a Tier I risk-based capital ratio of 6.0% or more, has a Tier I leverage capital ratio of 5.0% or more and is not subject to specified requirements to meet and maintain a specific capital level for any capital measure; (ii) "adequately capitalized" if it has a total risk-based capital ratio of 8.0% or more, a Tier I risk-based capital ratio of 4.0% or more and a Tier I leverage capital ratio of 4.0% or more (3.0% under certain circumstances) and does not meet the definition of "well capitalized," (iii) "undercapitalized" if it has a total risk-based capital ratio that is less than 8.0%, a Tier I risk-based capital ratio that is less than 4.0% or a Tier I leverage capital ratio that is less than 4.0% (3.0% under certain circumstances), (iv) "significantly undercapitalized" if it has a total risk-based capital ratio that is less than 6.0%, a Tier I risk-based capital ratio that is less than 3.0% or a Tier I leverage capital ratio that is less than 3.0%, and (v) "critically undercapitalized" if it has a ratio of tangible equity to adjusted total assets that is equal to or less than 2.0%. The regulations also permit the appropriate Federal banking regulator to downgrade an institution to the next lower category (provided that a significantly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 At December 31, 1997, the Bank was a "well capitalized" institution under the prompt corrective action regulations of the OTS.</w:t>
      </w:r>
    </w:p>
    <w:p>
      <w:pPr>
        <w:spacing w:after="0" w:line="177"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Depending upon the capital category to which an institution is assigned, the regulators' corrective powers, many of which are mandatory in certain circumstances, include: prohibition on capital distributions; prohibition on payment of management fees to controlling persons; requiring the submission of a capital restoration plan; placing limits on asset growth; limiting acquisitions, branching or new lines of business; requiring the institution to issue additional capital stock (including additional voting stock) or to be acquired; restricting transactions with affiliates; restricting the interest rates that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16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the QTL test set forth in the HOLA and regulations of the OTS thereunder to avoid certain restrictions on their operations. A savings association that does not meet the QTL test set forth in the HOLA and implementing regulations must either convert to a bank charter or comply with the following restrictions on its operations: (i) the association may not engage in any new activity or make any new investment, directly or indirectly, unless such activity or investment is permissible for a national bank; (ii) the branching powers of the association shall be restricted to those of a national bank; (iii) the association shall not be eligible to obtain any advances from its FHLB; and (iv) payment of dividends by the association shall be subject to the rules regarding payment of dividends by a national bank. Upon the expiration of three years from the date the association ceases to be a QTL, it must cease any activity and not retain any investment not permissible for a national bank and immediately repay any outstanding FHLB advances (subject to safety and soundness considerations). The Bank met the QTL test throughout 1997.</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021" w:gutter="0" w:footer="0" w:header="0"/>
        </w:sectPr>
      </w:pPr>
    </w:p>
    <w:bookmarkStart w:id="40" w:name="page41"/>
    <w:bookmarkEnd w:id="40"/>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RESTRICTIONS ON CAPITAL DISTRIBUTIONS. The OTS has promulgated a regulation governing capital distributions by savings associations, which include cash dividends, stock redemptions or repurchases, cash-out mergers, interest payments on certain convertible debt and other transactions charged to the capital account of a savings association as a capital distribution. Generally, the regulation creates three tiers of associations based on regulatory capital, with the top two tiers providing a safe harbor for specified levels of capital distributions from associations so long as such associations notify the OTS and receive no objection to the distribution from the OTS. Associations that do not qualify for the safe harbor provided for the top two tiers of associations are required to obtain prior OTS approval before making any capital distributions.</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Tier I associations may make the highest amount of capital distributions, and are defined as savings associations that, before and after the proposed distribution, meet or exceed their fully phased-in regulatory capital requirements. Tier I associations may make capital distributions during any calendar year equal to the greater of: (i) 100% of net income for the calendar year-to-date plus 50% of its "surplus capital ratio" at the beginning of the calendar year; and (ii) 75% of its net income over the most recent four-quarter period. The "surplus capital ratio" is defined to mean the percentage by which the association's ratio of total capital to assets exceeds the ratio of its fully phased-in capital requirement to assets, and "fully phased-in capital requirement" is defined to mean an association's capital requirement under the statutory and regulatory standards applicable on December 31, 1994, as modified to reflect any applicable individual minimum capital requirement imposed upon the association. At December 31, 1997, the Bank was a Tier I association under the OTS capital distribution regulation.</w:t>
      </w:r>
    </w:p>
    <w:p>
      <w:pPr>
        <w:spacing w:after="0" w:line="332"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December 1994, the OTS published a notice of proposed rulemaking to amend its capital distribution regulation. Under the proposal, the three tiered approach contained in existing regulations would be replaced and institutions would be permitted to make capital distributions that would not result in their capital being reduced below the level required to remain "adequately capitalized," as defined above under "Prompt Corrective Action."</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LOAN-TO-ONE BORROWER. Under applicable laws and regulations, the amount of loans and extensions of credit which may be extended by a savings institution such as the Bank to any one borrower, including related entities, generally may not exceed the greater of $500,000 or 15% of the unimpaired capital and unimpaired surplus of the institution. Loans in an amount equal to an additional 10% of unimpaired capital and unimpaired surplus also may be made to a borrower if the loans are fully secured by readily marketable securities. An institution's "unimpaired capital and unimpaired surplus" includes, among other things, the amount of its core capital and supplementary capital included in its total capital under OTS regulations.</w:t>
      </w:r>
    </w:p>
    <w:p>
      <w:pPr>
        <w:spacing w:after="0" w:line="179"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At December 31, 1997, the Bank's unimpaired capital and surplus amounted to $405.1 million, resulting in a general loans-to-one borrower limitation of $60.8 million under applicable laws and regulations. See "Business-Discount Loan Acquisition and Resolution Activities-Composition of the Discount Loan Portfolio" and "Lending Activities-Composition of Loan Portfolio."</w:t>
      </w:r>
    </w:p>
    <w:p>
      <w:pPr>
        <w:spacing w:after="0" w:line="16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and any employee of any insured depository institution, which engages, directly or indirectly, in the solicitation of deposits by offering rates of interest (with respect to such deposits) which are significantly higher than the prevailing rates of interest on deposits offered by other insured depository institutions having the same type of charter in such depository institution's normal market area. As a result of the definition of "deposit broker," all of the Bank's brokered deposits, as well as possibly its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subject to the no-brokered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(a) 75 basis points, the effective yield paid on deposits of comparable size and maturity in such institution's normal market area for deposits accepted in its normal market area or (b) by 120% for retail deposits and 130% for wholesale deposits, respectively, of the current yield on comparable maturity U.S. Treasury obligations for deposits accepted outside the institution's normal market area. Undercapitalized institutions are not permitted to accept brokered deposits and may not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021" w:gutter="0" w:footer="0" w:header="0"/>
        </w:sectPr>
      </w:pPr>
    </w:p>
    <w:bookmarkStart w:id="41" w:name="page42"/>
    <w:bookmarkEnd w:id="41"/>
    <w:p>
      <w:pPr>
        <w:jc w:val="both"/>
        <w:ind w:right="3239"/>
        <w:spacing w:after="0" w:line="236" w:lineRule="auto"/>
        <w:rPr>
          <w:sz w:val="20"/>
          <w:szCs w:val="20"/>
          <w:color w:val="auto"/>
        </w:rPr>
      </w:pPr>
      <w:r>
        <w:rPr>
          <w:rFonts w:ascii="Courier New" w:cs="Courier New" w:eastAsia="Courier New" w:hAnsi="Courier New"/>
          <w:sz w:val="15"/>
          <w:szCs w:val="15"/>
          <w:color w:val="auto"/>
        </w:rPr>
        <w:t>solicit deposits by offering an effective yield that exceeds by more than 75 basis points, the prevailing effective yields on insured deposits of comparable maturity in the institution's normal market area or in the market area in which such deposits are being solicited. At December 31, 1997, the Bank was a well-capitalized institution which was not subject to restrictions on brokered deposits. See "Business - Sources of Funds - Deposits."</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LIQUIDITY REQUIREMENTS. All savings associations are required to maintain an average daily balance of liquid assets, which include specified short-term assets and certain long-term assets, equal to a certain percentage of the sum of its average daily balance of net withdrawable deposit accounts and borrowings payable in one year or less. The liquidity requirement may vary from time to time (between 4% and 10%) depending upon economic conditions and savings flows of all savings associations. In November 1997, the OTS amended its liquidity regulations to, among other things, provide that a savings association shall maintain liquid assets of not less than 4% of the amount of its liquidity base at the end of the preceding calendar quarter as well as to provide that each savings association must maintain sufficient liquidity to ensure its safe and sound operation. Prior to November 1997, the required liquid asset ratio was 5%. Historically, the Bank has operated in compliance with these requirements.</w:t>
      </w:r>
    </w:p>
    <w:p>
      <w:pPr>
        <w:spacing w:after="0" w:line="16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AFFILIATE TRANSACTIONS. Under federal law and regulation, transactions between a savings association and its affiliates are subject to quantitative and qualitative restrictions. Affiliates of a savings association include, among other entities, companies that control, are controlled by or are under common control with the savings association. As a result, the Company, OAIC and the Company's non-bank subsidiaries are affiliates of the Bank.</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17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COMMUNITY INVESTMENT AND CONSUMER PROTECTION LAWS. In connection with its lending activities, the Bank is subject to a variety of federal laws designed to protect borrowers and promote lending to various sectors of the economy and population. Included among these are the Federal Home Mortgage Disclosure Act, Real Estate Settlement Procedures Act, Truth-in-Lending Act, Equal Credit Opportunity Act, Fair Credit Reporting Act and the Community Reinvestment Act.</w:t>
      </w:r>
    </w:p>
    <w:p>
      <w:pPr>
        <w:spacing w:after="0" w:line="176"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SAFETY AND SOUNDNESS. Other regulations include: (i) real estate lending standards for insured institutions, which provide guidelines concerning loan-to-value ratios for various types of real estate loans; (ii)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w:t>
      </w:r>
    </w:p>
    <w:p>
      <w:pPr>
        <w:spacing w:after="0" w:line="2" w:lineRule="exact"/>
        <w:rPr>
          <w:sz w:val="20"/>
          <w:szCs w:val="20"/>
          <w:color w:val="auto"/>
        </w:rPr>
      </w:pPr>
    </w:p>
    <w:p>
      <w:pPr>
        <w:jc w:val="both"/>
        <w:ind w:right="3239" w:firstLine="10"/>
        <w:spacing w:after="0" w:line="235" w:lineRule="auto"/>
        <w:tabs>
          <w:tab w:leader="none" w:pos="5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TAXATION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GENERAL. The Company and all of its subsidiaries currently file, and expect to continue to file, a consolidated Federal income tax return based on a calendar year. Prior to October 1, 1996, IMI and its subsidiaries filed a separate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2" w:name="page43"/>
    <w:bookmarkEnd w:id="42"/>
    <w:p>
      <w:pPr>
        <w:jc w:val="both"/>
        <w:ind w:right="3239"/>
        <w:spacing w:after="0" w:line="235" w:lineRule="auto"/>
        <w:rPr>
          <w:sz w:val="20"/>
          <w:szCs w:val="20"/>
          <w:color w:val="auto"/>
        </w:rPr>
      </w:pPr>
      <w:r>
        <w:rPr>
          <w:rFonts w:ascii="Courier New" w:cs="Courier New" w:eastAsia="Courier New" w:hAnsi="Courier New"/>
          <w:sz w:val="15"/>
          <w:szCs w:val="15"/>
          <w:color w:val="auto"/>
        </w:rPr>
        <w:t>Federal consolidated tax return. Consolidated returns have the effect of eliminating inter-company transactions, including dividends, from the computation of taxable income.</w:t>
      </w:r>
    </w:p>
    <w:p>
      <w:pPr>
        <w:spacing w:after="0" w:line="174" w:lineRule="exact"/>
        <w:rPr>
          <w:sz w:val="20"/>
          <w:szCs w:val="20"/>
          <w:color w:val="auto"/>
        </w:rPr>
      </w:pPr>
    </w:p>
    <w:p>
      <w:pPr>
        <w:jc w:val="both"/>
        <w:ind w:right="3239" w:firstLine="787"/>
        <w:spacing w:after="0" w:line="237" w:lineRule="auto"/>
        <w:rPr>
          <w:sz w:val="20"/>
          <w:szCs w:val="20"/>
          <w:color w:val="auto"/>
        </w:rPr>
      </w:pPr>
      <w:r>
        <w:rPr>
          <w:rFonts w:ascii="Courier New" w:cs="Courier New" w:eastAsia="Courier New" w:hAnsi="Courier New"/>
          <w:sz w:val="15"/>
          <w:szCs w:val="15"/>
          <w:color w:val="auto"/>
        </w:rPr>
        <w:t>For taxable years beginning prior to January 1, 1996, a savings institution, such as the Bank, that met certain definitional tests relating to the composition of its assets and the sources of its income (a "qualifying savings institution") was permitted to establish reserves for bad debts and to claim annual tax deductions for additions to such reserves. A qualifying savings institution was permitted to make annual additions to such reserves based on the institution's loss experience. Alternatively, a qualifying savings institution could elect, on an annual basis, to use the "percentage of taxable income" method to compute its addition to its bad debt reserve on qualifying real property loans (generally, loans secured by an interest in improved real estate). The percentage of taxable income method permitted the institution to deduct a specified percentage of its taxable income before such deduction, regardless of the institution's actual bad debt experience, subject to certain limitations. From 1988 to 1995, the Bank has claimed bad debt deductions under the percentage of taxable income method because that method produced a greater deduction than did the experience method.</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On August 20, 1996, President Clinton signed the Small Business Job Protection Act ("the Act") into law. One provision of the Act repealed the reserve method of accounting for bad debts for savings institutions effective for taxable years beginning after 1995 and provided for recapture of a portion of the reserves existing at the close of the last taxable year beginning before January 1, 1996. For its tax years beginning on or after January 1, 1996, the Bank is required to account for its bad debts under the specific charge-off method. Under this method, deductions may be claimed only as and to the extent that loans become wholly or partially worthless.</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79"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TAX RESIDUALS. From time to time, the Company acquires REMIC residuals or retains residual securities in REMICs which were formed by the Company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the Company in the first several years of the REMIC and equal amounts of tax deductions thereafter. The Company receives cash payments in connection with the acquisition of tax residuals to compensate the Company for the time value of money associated with the tax payments related to these securities and the costs of modeling, recording, monitoring and reporting the securities. The Company defers all fees received and recognizes such fees in interest income on a level yield basis over the expected life of the deferred tax asset related to tax residuals. The Company also adjusts the recognition in interest income of fees deferred based upon the changes in the actual prepayment rates of the underlying mortgages held by the REMIC and periodic reassessments of the expected life of the deferred tax asset related to tax residuals. At December 31, 1997, the Company's gross deferred tax assets included $3.5 million which was attributable to the Company's tax residuals and related deferred income.</w:t>
      </w:r>
    </w:p>
    <w:p>
      <w:pPr>
        <w:spacing w:after="0" w:line="34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INVESTMENTS IN LOW-INCOME HOUSING TAX CREDIT INTERESTS. For a discussion of the tax effects of investments in low-income housing tax credit interests, see "Business-Investment Activities-Investment in Low-Income Housing Tax Credit Interests."</w:t>
      </w:r>
    </w:p>
    <w:p>
      <w:pPr>
        <w:spacing w:after="0" w:line="175"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EXAMINATIONS. The most recent examination by the IRS of the Company's Federal income tax return was of the tax return filed for 1993. The statute of limitations has run out with respect to 1993 and all prior tax years. Thus, the Federal income tax returns for the years 1994 through 1997 are open for examination. The Internal Revenue Service currently is completing an examination of the Company's Federal income tax return for 1994; management of the Company does not anticipate any material adjustments as a result of this examination, although there can be no assurances in this regard. No state return of the Company has been examined, and no notification has been received by the Company that any state intends to examine any of the Company's tax returns.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STATE TAXATION</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Company's income is subject to tax by the States of Florida and California, which have statutory tax rates of 5.5% and 11.3%, respectively, and is determined based on certain apportionment factors. The Company is taxed in New Jersey on income, net of expenses, earned in New Jersey at a statutory rate of 3.0%.</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At December 31, 1997, the Company conducted business from its executive and administrative offices located in West Palm Beach, Florida and a full-service banking office located in northern New Jersey.</w:t>
      </w:r>
    </w:p>
    <w:p>
      <w:pPr>
        <w:spacing w:after="0" w:line="174"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the Company's executive and main offices at December 31, 1997.</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Location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Net Book Value of Property or</w:t>
      </w:r>
    </w:p>
    <w:p>
      <w:pPr>
        <w:ind w:left="2960"/>
        <w:spacing w:after="0" w:line="237" w:lineRule="auto"/>
        <w:rPr>
          <w:sz w:val="20"/>
          <w:szCs w:val="20"/>
          <w:color w:val="auto"/>
        </w:rPr>
      </w:pPr>
      <w:r>
        <w:rPr>
          <w:rFonts w:ascii="Courier New" w:cs="Courier New" w:eastAsia="Courier New" w:hAnsi="Courier New"/>
          <w:sz w:val="15"/>
          <w:szCs w:val="15"/>
          <w:color w:val="auto"/>
        </w:rPr>
        <w:t>Leasehold</w:t>
      </w:r>
    </w:p>
    <w:p>
      <w:pPr>
        <w:ind w:left="340"/>
        <w:spacing w:after="0" w:line="238" w:lineRule="auto"/>
        <w:tabs>
          <w:tab w:leader="none" w:pos="2780" w:val="left"/>
        </w:tabs>
        <w:rPr>
          <w:sz w:val="20"/>
          <w:szCs w:val="20"/>
          <w:color w:val="auto"/>
        </w:rPr>
      </w:pPr>
      <w:r>
        <w:rPr>
          <w:rFonts w:ascii="Courier New" w:cs="Courier New" w:eastAsia="Courier New" w:hAnsi="Courier New"/>
          <w:sz w:val="15"/>
          <w:szCs w:val="15"/>
          <w:color w:val="auto"/>
        </w:rPr>
        <w:t>Owned/Leased</w:t>
      </w:r>
      <w:r>
        <w:rPr>
          <w:sz w:val="20"/>
          <w:szCs w:val="20"/>
          <w:color w:val="auto"/>
        </w:rPr>
        <w:tab/>
      </w:r>
      <w:r>
        <w:rPr>
          <w:rFonts w:ascii="Courier New" w:cs="Courier New" w:eastAsia="Courier New" w:hAnsi="Courier New"/>
          <w:sz w:val="15"/>
          <w:szCs w:val="15"/>
          <w:color w:val="auto"/>
        </w:rPr>
        <w:t>Improvements</w:t>
      </w:r>
    </w:p>
    <w:p>
      <w:pPr>
        <w:ind w:left="23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ectPr>
          <w:pgSz w:w="11900" w:h="16838" w:orient="portrait"/>
          <w:cols w:equalWidth="0" w:num="2">
            <w:col w:w="4480" w:space="260"/>
            <w:col w:w="5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1675 Palm Beach Lakes Blvd.</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West Palm Beach,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6,021</w:t>
      </w:r>
    </w:p>
    <w:p>
      <w:pPr>
        <w:spacing w:after="0" w:line="170" w:lineRule="exact"/>
        <w:rPr>
          <w:sz w:val="20"/>
          <w:szCs w:val="20"/>
          <w:color w:val="auto"/>
        </w:rPr>
      </w:pPr>
    </w:p>
    <w:p>
      <w:pPr>
        <w:sectPr>
          <w:pgSz w:w="11900" w:h="16838" w:orient="portrait"/>
          <w:cols w:equalWidth="0" w:num="4">
            <w:col w:w="4620" w:space="720"/>
            <w:col w:w="1380" w:space="720"/>
            <w:col w:w="100" w:space="520"/>
            <w:col w:w="21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Main Office: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2400 Lemoine Ave</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Fort Lee, NJ..............................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4">
            <w:col w:w="4620" w:space="720"/>
            <w:col w:w="1380" w:space="720"/>
            <w:col w:w="160" w:space="720"/>
            <w:col w:w="1919"/>
          </w:cols>
          <w:pgMar w:left="220" w:top="617" w:right="1440" w:bottom="1440" w:gutter="0" w:footer="0" w:header="0"/>
          <w:type w:val="continuous"/>
        </w:sectPr>
      </w:pPr>
    </w:p>
    <w:p>
      <w:pPr>
        <w:spacing w:after="0" w:line="309"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addition to the above offices, OFS maintains 27 loan production offices in 7 states, including 18 offices in California. These offices are operated pursuant to leases with up to three-year terms, each of which can be readily replaced on commercially reasonable terms.</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 w:leader="none" w:pos="1820" w:val="left"/>
          <w:tab w:leader="none" w:pos="2260" w:val="left"/>
          <w:tab w:leader="none" w:pos="3480" w:val="left"/>
          <w:tab w:leader="none" w:pos="4180" w:val="left"/>
          <w:tab w:leader="none" w:pos="5240" w:val="left"/>
          <w:tab w:leader="none" w:pos="6020" w:val="left"/>
        </w:tabs>
        <w:rPr>
          <w:sz w:val="20"/>
          <w:szCs w:val="20"/>
          <w:color w:val="auto"/>
        </w:rPr>
      </w:pPr>
      <w:r>
        <w:rPr>
          <w:rFonts w:ascii="Courier New" w:cs="Courier New" w:eastAsia="Courier New" w:hAnsi="Courier New"/>
          <w:sz w:val="15"/>
          <w:szCs w:val="15"/>
          <w:color w:val="auto"/>
        </w:rPr>
        <w:t>ITEM 5.</w:t>
        <w:tab/>
        <w:t>MARKET FOR</w:t>
        <w:tab/>
        <w:t>THE</w:t>
        <w:tab/>
        <w:t>REGISTRANT'S</w:t>
        <w:tab/>
        <w:t>COMMON</w:t>
        <w:tab/>
        <w:t>EQUITY AND</w:t>
        <w:tab/>
        <w:t>RELATED</w:t>
      </w:r>
      <w:r>
        <w:rPr>
          <w:sz w:val="20"/>
          <w:szCs w:val="20"/>
          <w:color w:val="auto"/>
        </w:rPr>
        <w:tab/>
      </w:r>
      <w:r>
        <w:rPr>
          <w:rFonts w:ascii="Courier New" w:cs="Courier New" w:eastAsia="Courier New" w:hAnsi="Courier New"/>
          <w:sz w:val="14"/>
          <w:szCs w:val="14"/>
          <w:color w:val="auto"/>
        </w:rPr>
        <w:t>STOCKHOLDER</w:t>
      </w:r>
    </w:p>
    <w:p>
      <w:pPr>
        <w:ind w:left="80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"Shareholder Information" on page 71 of the Annual Report to Stockholders and is incorporated herein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INFORMATION</w:t>
      </w:r>
    </w:p>
    <w:p>
      <w:pPr>
        <w:spacing w:after="0" w:line="166" w:lineRule="exact"/>
        <w:rPr>
          <w:sz w:val="20"/>
          <w:szCs w:val="20"/>
          <w:color w:val="auto"/>
        </w:rPr>
      </w:pPr>
    </w:p>
    <w:p>
      <w:pPr>
        <w:jc w:val="right"/>
        <w:ind w:right="3239"/>
        <w:spacing w:after="0"/>
        <w:tabs>
          <w:tab w:leader="none" w:pos="5040" w:val="left"/>
          <w:tab w:leader="none" w:pos="760" w:val="left"/>
        </w:tabs>
        <w:rPr>
          <w:sz w:val="20"/>
          <w:szCs w:val="20"/>
          <w:color w:val="auto"/>
        </w:rPr>
      </w:pPr>
      <w:r>
        <w:rPr>
          <w:rFonts w:ascii="Courier New" w:cs="Courier New" w:eastAsia="Courier New" w:hAnsi="Courier New"/>
          <w:sz w:val="15"/>
          <w:szCs w:val="15"/>
          <w:color w:val="auto"/>
        </w:rPr>
        <w:t>Information</w:t>
        <w:tab/>
        <w:t>required by this Item appears under the caption</w:t>
      </w:r>
      <w:r>
        <w:rPr>
          <w:sz w:val="20"/>
          <w:szCs w:val="20"/>
          <w:color w:val="auto"/>
        </w:rPr>
        <w:tab/>
      </w:r>
      <w:r>
        <w:rPr>
          <w:rFonts w:ascii="Courier New" w:cs="Courier New" w:eastAsia="Courier New" w:hAnsi="Courier New"/>
          <w:sz w:val="14"/>
          <w:szCs w:val="14"/>
          <w:color w:val="auto"/>
        </w:rPr>
        <w:t>"Selected</w:t>
      </w:r>
    </w:p>
    <w:p>
      <w:pPr>
        <w:spacing w:after="0"/>
        <w:tabs>
          <w:tab w:leader="none" w:pos="1220" w:val="left"/>
          <w:tab w:leader="none" w:pos="2180" w:val="left"/>
          <w:tab w:leader="none" w:pos="3400" w:val="left"/>
          <w:tab w:leader="none" w:pos="5500" w:val="left"/>
          <w:tab w:leader="none" w:pos="6200" w:val="left"/>
        </w:tabs>
        <w:rPr>
          <w:sz w:val="20"/>
          <w:szCs w:val="20"/>
          <w:color w:val="auto"/>
        </w:rPr>
      </w:pPr>
      <w:r>
        <w:rPr>
          <w:rFonts w:ascii="Courier New" w:cs="Courier New" w:eastAsia="Courier New" w:hAnsi="Courier New"/>
          <w:sz w:val="15"/>
          <w:szCs w:val="15"/>
          <w:color w:val="auto"/>
        </w:rPr>
        <w:t>Consolidated</w:t>
        <w:tab/>
        <w:t>Financial</w:t>
        <w:tab/>
        <w:t>Information"</w:t>
        <w:tab/>
        <w:t>on pages 1 to 2 of the</w:t>
        <w:tab/>
        <w:t>Annual</w:t>
      </w:r>
      <w:r>
        <w:rPr>
          <w:sz w:val="20"/>
          <w:szCs w:val="20"/>
          <w:color w:val="auto"/>
        </w:rPr>
        <w:tab/>
      </w:r>
      <w:r>
        <w:rPr>
          <w:rFonts w:ascii="Courier New" w:cs="Courier New" w:eastAsia="Courier New" w:hAnsi="Courier New"/>
          <w:sz w:val="14"/>
          <w:szCs w:val="14"/>
          <w:color w:val="auto"/>
        </w:rPr>
        <w:t>Report to</w:t>
      </w:r>
    </w:p>
    <w:p>
      <w:pPr>
        <w:spacing w:after="0" w:line="238" w:lineRule="auto"/>
        <w:rPr>
          <w:sz w:val="20"/>
          <w:szCs w:val="20"/>
          <w:color w:val="auto"/>
        </w:rPr>
      </w:pPr>
      <w:r>
        <w:rPr>
          <w:rFonts w:ascii="Courier New" w:cs="Courier New" w:eastAsia="Courier New" w:hAnsi="Courier New"/>
          <w:sz w:val="15"/>
          <w:szCs w:val="15"/>
          <w:color w:val="auto"/>
        </w:rPr>
        <w:t>Stockholders and is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type w:val="continuous"/>
        </w:sectPr>
      </w:pPr>
    </w:p>
    <w:bookmarkStart w:id="44" w:name="page45"/>
    <w:bookmarkEnd w:id="44"/>
    <w:p>
      <w:pPr>
        <w:jc w:val="both"/>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"Management's Discussion and Analysis of Financial Condition and Results of Operations" on pages 4 to 20 of the Annual Report to Stockholders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Information required by this Item appears under the caption "Asset and Liability Management" on pages 15 to 17 of the Annual Report to Stockholders and is incorporated herein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Information required by this Item appears on pages 22 to 70 in the Annual Report to Stockholders and is incorporated herein by reference.</w:t>
      </w:r>
    </w:p>
    <w:p>
      <w:pPr>
        <w:spacing w:after="0" w:line="173" w:lineRule="exact"/>
        <w:rPr>
          <w:sz w:val="20"/>
          <w:szCs w:val="20"/>
          <w:color w:val="auto"/>
        </w:rPr>
      </w:pPr>
    </w:p>
    <w:p>
      <w:pPr>
        <w:jc w:val="both"/>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information contained in the Company's 1998 Proxy Statement under the captions "Election of Directors -- Nominees for Director," "Executive Officers Who Are Not Directors," and "Security Ownership of Certain Beneficial Owners -- Section 16(a) Beneficial Ownership Reporting Compliance"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information contained in the Company's 1998 Proxy Statement under the captions "Executive Compensation," other than under the sub-caption "Report of the Nominating and Compensation Committee," and "Board of Directors Compensation"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information contained in the Company's 1998 Proxy Statement under the caption "Security Ownership of Certain Beneficial Owners -- Beneficial Ownership of Common Stock"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information contained in the Company's 1998 Proxy Statement under the caption "Certain Relationships and Related Transactions" is incorporated herein by reference.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5" w:name="page46"/>
    <w:bookmarkEnd w:id="45"/>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EXHIBITS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3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and Restated Articles of Incorporation (1)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Bylaws (1)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3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Certificate of Common Stock (1)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3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Indenture between the Company and Bank One,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Columbus,</w:t>
            </w:r>
          </w:p>
        </w:tc>
      </w:tr>
      <w:tr>
        <w:trPr>
          <w:trHeight w:val="168"/>
        </w:trPr>
        <w:tc>
          <w:tcPr>
            <w:tcW w:w="960" w:type="dxa"/>
            <w:vAlign w:val="bottom"/>
          </w:tcPr>
          <w:p>
            <w:pPr>
              <w:spacing w:after="0"/>
              <w:rPr>
                <w:sz w:val="14"/>
                <w:szCs w:val="14"/>
                <w:color w:val="auto"/>
              </w:rPr>
            </w:pP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NA as Trustee (1)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3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Note due 2003 (included in Exhibit 4.1) (1)</w:t>
            </w: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46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8"/>
              </w:rPr>
              <w:t>Certificate of Trust of Ocwen Capital Trust I (3)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and  Restated  Declaration</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 Trust of Ocwen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Trust I</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39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Capital Security of Ocwen Capital Trust I (4)</w:t>
            </w: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Indenture</w:t>
            </w:r>
          </w:p>
        </w:tc>
        <w:tc>
          <w:tcPr>
            <w:tcW w:w="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relating</w:t>
            </w:r>
          </w:p>
        </w:tc>
        <w:tc>
          <w:tcPr>
            <w:tcW w:w="1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to 10 7/8%  Junior</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Subordinated</w:t>
            </w:r>
          </w:p>
        </w:tc>
      </w:tr>
      <w:tr>
        <w:trPr>
          <w:trHeight w:val="168"/>
        </w:trPr>
        <w:tc>
          <w:tcPr>
            <w:tcW w:w="960" w:type="dxa"/>
            <w:vAlign w:val="bottom"/>
          </w:tcPr>
          <w:p>
            <w:pPr>
              <w:spacing w:after="0"/>
              <w:rPr>
                <w:sz w:val="14"/>
                <w:szCs w:val="14"/>
                <w:color w:val="auto"/>
              </w:rPr>
            </w:pPr>
          </w:p>
        </w:tc>
        <w:tc>
          <w:tcPr>
            <w:tcW w:w="46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rPr>
              <w:t>Debentures due 2027 of the Company (3)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47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10 7/8% Junior Subordinated Debentures due 2027 of the</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Company</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Guarantee</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of the</w:t>
            </w:r>
          </w:p>
        </w:tc>
        <w:tc>
          <w:tcPr>
            <w:tcW w:w="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1"/>
              </w:rPr>
              <w:t>Company</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relating  to the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960" w:type="dxa"/>
            <w:vAlign w:val="bottom"/>
          </w:tcPr>
          <w:p>
            <w:pPr>
              <w:spacing w:after="0"/>
              <w:rPr>
                <w:sz w:val="14"/>
                <w:szCs w:val="14"/>
                <w:color w:val="auto"/>
              </w:rPr>
            </w:pPr>
          </w:p>
        </w:tc>
        <w:tc>
          <w:tcPr>
            <w:tcW w:w="46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rPr>
              <w:t>Securities of Ocwen Capital Trust I (3)</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47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Indenture between the Company and The Bank of New York</w:t>
            </w:r>
          </w:p>
        </w:tc>
      </w:tr>
      <w:tr>
        <w:trPr>
          <w:trHeight w:val="168"/>
        </w:trPr>
        <w:tc>
          <w:tcPr>
            <w:tcW w:w="960" w:type="dxa"/>
            <w:vAlign w:val="bottom"/>
          </w:tcPr>
          <w:p>
            <w:pPr>
              <w:spacing w:after="0"/>
              <w:rPr>
                <w:sz w:val="14"/>
                <w:szCs w:val="14"/>
                <w:color w:val="auto"/>
              </w:rPr>
            </w:pP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as Trustee</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4.10</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Form of</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Subordinated</w:t>
            </w:r>
          </w:p>
        </w:tc>
        <w:tc>
          <w:tcPr>
            <w:tcW w:w="3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Debentures due 2005 (included in Exhibit</w:t>
            </w:r>
          </w:p>
        </w:tc>
      </w:tr>
      <w:tr>
        <w:trPr>
          <w:trHeight w:val="168"/>
        </w:trPr>
        <w:tc>
          <w:tcPr>
            <w:tcW w:w="96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332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rPr>
              <w:t>Ocwen Financial  Corporation 1991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Non-Qualified</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Stock Option</w:t>
            </w:r>
          </w:p>
        </w:tc>
      </w:tr>
      <w:tr>
        <w:trPr>
          <w:trHeight w:val="168"/>
        </w:trPr>
        <w:tc>
          <w:tcPr>
            <w:tcW w:w="960" w:type="dxa"/>
            <w:vAlign w:val="bottom"/>
          </w:tcPr>
          <w:p>
            <w:pPr>
              <w:spacing w:after="0"/>
              <w:rPr>
                <w:sz w:val="14"/>
                <w:szCs w:val="14"/>
                <w:color w:val="auto"/>
              </w:rPr>
            </w:pP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Plan, as amended (1)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w:t>
            </w:r>
          </w:p>
        </w:tc>
        <w:tc>
          <w:tcPr>
            <w:tcW w:w="254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Annual Incentive Plan (1)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w:t>
            </w:r>
          </w:p>
        </w:tc>
        <w:tc>
          <w:tcPr>
            <w:tcW w:w="568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w w:val="96"/>
              </w:rPr>
              <w:t>Ocwen Financial Corporation 1996 Stock Plan for Directors,  as</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w:t>
            </w:r>
          </w:p>
        </w:tc>
        <w:tc>
          <w:tcPr>
            <w:tcW w:w="568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rPr>
              <w:t>Ocwen Financial Corporation 1998 Annual Incentive Plan (6)</w:t>
            </w: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w:t>
            </w:r>
          </w:p>
        </w:tc>
        <w:tc>
          <w:tcPr>
            <w:tcW w:w="568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rPr>
              <w:t>Ocwen Financial Corporation Long-Term Incentive Plan (6)</w:t>
            </w: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46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rPr>
              <w:t>Computation of earnings per share (7)</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w:t>
            </w:r>
          </w:p>
        </w:tc>
        <w:tc>
          <w:tcPr>
            <w:tcW w:w="284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8"/>
              </w:rPr>
              <w:t>Annual Report to Stockholders</w:t>
            </w:r>
          </w:p>
        </w:tc>
        <w:tc>
          <w:tcPr>
            <w:tcW w:w="2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for the year ended December 31,</w:t>
            </w:r>
          </w:p>
        </w:tc>
      </w:tr>
      <w:tr>
        <w:trPr>
          <w:trHeight w:val="168"/>
        </w:trPr>
        <w:tc>
          <w:tcPr>
            <w:tcW w:w="960" w:type="dxa"/>
            <w:vAlign w:val="bottom"/>
          </w:tcPr>
          <w:p>
            <w:pPr>
              <w:spacing w:after="0"/>
              <w:rPr>
                <w:sz w:val="14"/>
                <w:szCs w:val="14"/>
                <w:color w:val="auto"/>
              </w:rPr>
            </w:pP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w:t>
            </w:r>
          </w:p>
        </w:tc>
        <w:tc>
          <w:tcPr>
            <w:tcW w:w="46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rPr>
              <w:t>Subsidiaries (see "Business-General")</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Consent</w:t>
            </w:r>
          </w:p>
        </w:tc>
        <w:tc>
          <w:tcPr>
            <w:tcW w:w="2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of Price Waterhouse LLP</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w:t>
            </w:r>
          </w:p>
        </w:tc>
        <w:tc>
          <w:tcPr>
            <w:tcW w:w="568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w w:val="96"/>
              </w:rPr>
              <w:t>Financial Data Schedule - For the year ended December 31, 1997</w:t>
            </w: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27.2</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472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6"/>
              </w:rPr>
              <w:t>Financial Data Schedule - For the year ended December</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31, 1996</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472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6"/>
              </w:rPr>
              <w:t>Financial  Data  Schedule  -  For  the  period  ended</w:t>
            </w:r>
          </w:p>
        </w:tc>
      </w:tr>
      <w:tr>
        <w:trPr>
          <w:trHeight w:val="168"/>
        </w:trPr>
        <w:tc>
          <w:tcPr>
            <w:tcW w:w="960" w:type="dxa"/>
            <w:vAlign w:val="bottom"/>
          </w:tcPr>
          <w:p>
            <w:pPr>
              <w:spacing w:after="0"/>
              <w:rPr>
                <w:sz w:val="14"/>
                <w:szCs w:val="14"/>
                <w:color w:val="auto"/>
              </w:rPr>
            </w:pP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September 30, 1996</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Financial</w:t>
            </w:r>
          </w:p>
        </w:tc>
        <w:tc>
          <w:tcPr>
            <w:tcW w:w="3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Data Schedule - For the period ended March</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31, 1997</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Financial</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31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Schedule - For the period ended June</w:t>
            </w:r>
          </w:p>
        </w:tc>
      </w:tr>
      <w:tr>
        <w:trPr>
          <w:trHeight w:val="168"/>
        </w:trPr>
        <w:tc>
          <w:tcPr>
            <w:tcW w:w="960" w:type="dxa"/>
            <w:vAlign w:val="bottom"/>
          </w:tcPr>
          <w:p>
            <w:pPr>
              <w:spacing w:after="0"/>
              <w:rPr>
                <w:sz w:val="14"/>
                <w:szCs w:val="14"/>
                <w:color w:val="auto"/>
              </w:rPr>
            </w:pP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30, 1997</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Amended</w:t>
            </w:r>
          </w:p>
        </w:tc>
        <w:tc>
          <w:tcPr>
            <w:tcW w:w="472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6"/>
              </w:rPr>
              <w:t>Financial  Data  Schedule  -  For  the  period  ended</w:t>
            </w:r>
          </w:p>
        </w:tc>
      </w:tr>
      <w:tr>
        <w:trPr>
          <w:trHeight w:val="168"/>
        </w:trPr>
        <w:tc>
          <w:tcPr>
            <w:tcW w:w="960" w:type="dxa"/>
            <w:vAlign w:val="bottom"/>
          </w:tcPr>
          <w:p>
            <w:pPr>
              <w:spacing w:after="0"/>
              <w:rPr>
                <w:sz w:val="14"/>
                <w:szCs w:val="14"/>
                <w:color w:val="auto"/>
              </w:rPr>
            </w:pPr>
          </w:p>
        </w:tc>
        <w:tc>
          <w:tcPr>
            <w:tcW w:w="20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September 30, 1997</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99.0</w:t>
            </w:r>
          </w:p>
        </w:tc>
        <w:tc>
          <w:tcPr>
            <w:tcW w:w="568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rPr>
              <w:t>BCBF, L.L.C. December 31, 1997 audited financial statements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540" w:right="3239" w:hanging="530"/>
        <w:spacing w:after="0" w:line="258" w:lineRule="auto"/>
        <w:tabs>
          <w:tab w:leader="none" w:pos="5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filed in connection with the Registrant's Registration Statement on Form S-1, File No. 333-5153, declared effective by the commission on September 25, 1996.</w:t>
      </w:r>
    </w:p>
    <w:p>
      <w:pPr>
        <w:spacing w:after="0" w:line="161" w:lineRule="exact"/>
        <w:rPr>
          <w:rFonts w:ascii="Courier New" w:cs="Courier New" w:eastAsia="Courier New" w:hAnsi="Courier New"/>
          <w:sz w:val="14"/>
          <w:szCs w:val="14"/>
          <w:color w:val="auto"/>
        </w:rPr>
      </w:pPr>
    </w:p>
    <w:p>
      <w:pPr>
        <w:jc w:val="both"/>
        <w:ind w:left="540" w:right="3239" w:hanging="530"/>
        <w:spacing w:after="0" w:line="235"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described exhibit included with the Registrants Quarterly Report on Form 10-Q for the quarter ended September 30, 1996.</w:t>
      </w:r>
    </w:p>
    <w:p>
      <w:pPr>
        <w:spacing w:after="0" w:line="173" w:lineRule="exact"/>
        <w:rPr>
          <w:rFonts w:ascii="Courier New" w:cs="Courier New" w:eastAsia="Courier New" w:hAnsi="Courier New"/>
          <w:sz w:val="15"/>
          <w:szCs w:val="15"/>
          <w:color w:val="auto"/>
        </w:rPr>
      </w:pPr>
    </w:p>
    <w:p>
      <w:pPr>
        <w:jc w:val="both"/>
        <w:ind w:left="540" w:right="3239" w:hanging="530"/>
        <w:spacing w:after="0" w:line="235"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identified exhibit filed in connection with the Company's Registration Statement on Form S-1 (File No. 333-28889), as amended, declared effective by the Commission on August 6, 1997.</w:t>
      </w:r>
    </w:p>
    <w:p>
      <w:pPr>
        <w:spacing w:after="0" w:line="7" w:lineRule="exact"/>
        <w:rPr>
          <w:rFonts w:ascii="Courier New" w:cs="Courier New" w:eastAsia="Courier New" w:hAnsi="Courier New"/>
          <w:sz w:val="15"/>
          <w:szCs w:val="15"/>
          <w:color w:val="auto"/>
        </w:rPr>
      </w:pPr>
    </w:p>
    <w:p>
      <w:pPr>
        <w:jc w:val="both"/>
        <w:ind w:left="540" w:right="3239" w:hanging="530"/>
        <w:spacing w:after="0" w:line="235"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similarly described exhibit included with Registrant's Quarterly Report on Form 10-Q for the quarter ended September 30, 1997.</w:t>
      </w:r>
    </w:p>
    <w:p>
      <w:pPr>
        <w:spacing w:after="0" w:line="173" w:lineRule="exact"/>
        <w:rPr>
          <w:rFonts w:ascii="Courier New" w:cs="Courier New" w:eastAsia="Courier New" w:hAnsi="Courier New"/>
          <w:sz w:val="15"/>
          <w:szCs w:val="15"/>
          <w:color w:val="auto"/>
        </w:rPr>
      </w:pPr>
    </w:p>
    <w:p>
      <w:pPr>
        <w:jc w:val="both"/>
        <w:ind w:left="540" w:right="3239" w:hanging="530"/>
        <w:spacing w:after="0" w:line="235"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described exhibit filed in connection with Amendment No. 2 to Offering Circular on Form OC (on Form S-1) filed on June 7, 1995.</w:t>
      </w:r>
    </w:p>
    <w:p>
      <w:pPr>
        <w:spacing w:after="0" w:line="173" w:lineRule="exact"/>
        <w:rPr>
          <w:rFonts w:ascii="Courier New" w:cs="Courier New" w:eastAsia="Courier New" w:hAnsi="Courier New"/>
          <w:sz w:val="15"/>
          <w:szCs w:val="15"/>
          <w:color w:val="auto"/>
        </w:rPr>
      </w:pPr>
    </w:p>
    <w:p>
      <w:pPr>
        <w:jc w:val="both"/>
        <w:ind w:left="540" w:right="3239" w:hanging="530"/>
        <w:spacing w:after="0" w:line="235"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described exhibit to the Company's Definitive Proxy Statement with respect to the Company's 1998 Annual Meeting as filed with the Commission on March 31, 1998.</w:t>
      </w:r>
    </w:p>
    <w:p>
      <w:pPr>
        <w:spacing w:after="0" w:line="173" w:lineRule="exact"/>
        <w:rPr>
          <w:rFonts w:ascii="Courier New" w:cs="Courier New" w:eastAsia="Courier New" w:hAnsi="Courier New"/>
          <w:sz w:val="15"/>
          <w:szCs w:val="15"/>
          <w:color w:val="auto"/>
        </w:rPr>
      </w:pPr>
    </w:p>
    <w:p>
      <w:pPr>
        <w:ind w:left="540" w:right="3239" w:hanging="530"/>
        <w:spacing w:after="0" w:line="234" w:lineRule="auto"/>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 appears on page 55 in the Annual Report to Stockholders and is incorporated herein by reference.</w:t>
      </w:r>
    </w:p>
    <w:p>
      <w:pPr>
        <w:spacing w:after="0" w:line="173" w:lineRule="exact"/>
        <w:rPr>
          <w:rFonts w:ascii="Courier New" w:cs="Courier New" w:eastAsia="Courier New" w:hAnsi="Courier New"/>
          <w:sz w:val="15"/>
          <w:szCs w:val="15"/>
          <w:color w:val="auto"/>
        </w:rPr>
      </w:pPr>
    </w:p>
    <w:p>
      <w:pPr>
        <w:ind w:left="5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management contracts or compensatory plans or arrangements consist of Exhibits No. 10.1, 10.2, 10.3, 10.4 and 10.5.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6" w:name="page47"/>
    <w:bookmarkEnd w:id="46"/>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FINANCIAL STATEMENTS AND SCHEDULES. The following Consolidated Financial Statements of Ocwen Financial Corporation and Report of Price Waterhouse LLP, Independent Certified Public Accountants are incorporated by reference to pages 22 to 70 of the Company's Annual Report to Stockholders:</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73" w:lineRule="exact"/>
        <w:rPr>
          <w:sz w:val="20"/>
          <w:szCs w:val="20"/>
          <w:color w:val="auto"/>
        </w:rPr>
      </w:pPr>
    </w:p>
    <w:p>
      <w:pPr>
        <w:ind w:left="1240" w:right="3239"/>
        <w:spacing w:after="0" w:line="234" w:lineRule="auto"/>
        <w:rPr>
          <w:sz w:val="20"/>
          <w:szCs w:val="20"/>
          <w:color w:val="auto"/>
        </w:rPr>
      </w:pPr>
      <w:r>
        <w:rPr>
          <w:rFonts w:ascii="Courier New" w:cs="Courier New" w:eastAsia="Courier New" w:hAnsi="Courier New"/>
          <w:sz w:val="15"/>
          <w:szCs w:val="15"/>
          <w:color w:val="auto"/>
        </w:rPr>
        <w:t>Consolidated Statements of Financial Condition at December 31, 1997 and 1996</w:t>
      </w:r>
    </w:p>
    <w:p>
      <w:pPr>
        <w:spacing w:after="0" w:line="173" w:lineRule="exact"/>
        <w:rPr>
          <w:sz w:val="20"/>
          <w:szCs w:val="20"/>
          <w:color w:val="auto"/>
        </w:rPr>
      </w:pPr>
    </w:p>
    <w:p>
      <w:pPr>
        <w:ind w:left="1240" w:right="3239"/>
        <w:spacing w:after="0" w:line="234"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December 31, 1997</w:t>
      </w:r>
    </w:p>
    <w:p>
      <w:pPr>
        <w:spacing w:after="0" w:line="173" w:lineRule="exact"/>
        <w:rPr>
          <w:sz w:val="20"/>
          <w:szCs w:val="20"/>
          <w:color w:val="auto"/>
        </w:rPr>
      </w:pPr>
    </w:p>
    <w:p>
      <w:pPr>
        <w:ind w:left="1240" w:right="3239"/>
        <w:spacing w:after="0" w:line="234" w:lineRule="auto"/>
        <w:rPr>
          <w:sz w:val="20"/>
          <w:szCs w:val="20"/>
          <w:color w:val="auto"/>
        </w:rPr>
      </w:pPr>
      <w:r>
        <w:rPr>
          <w:rFonts w:ascii="Courier New" w:cs="Courier New" w:eastAsia="Courier New" w:hAnsi="Courier New"/>
          <w:sz w:val="15"/>
          <w:szCs w:val="15"/>
          <w:color w:val="auto"/>
        </w:rPr>
        <w:t>Consolidated Statements of Changes in Stockholders' Equity for each of the three years in the period ended December 31, 1997</w:t>
      </w:r>
    </w:p>
    <w:p>
      <w:pPr>
        <w:spacing w:after="0" w:line="173" w:lineRule="exact"/>
        <w:rPr>
          <w:sz w:val="20"/>
          <w:szCs w:val="20"/>
          <w:color w:val="auto"/>
        </w:rPr>
      </w:pPr>
    </w:p>
    <w:p>
      <w:pPr>
        <w:ind w:left="1240" w:right="3239"/>
        <w:spacing w:after="0" w:line="234"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December 31, 1997</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Financial statement schedules have been omitted because they are not applicable or the required information is shown in the Consolidated Financial Statements or notes thereto.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REPORTS ON FORM 8-K FILED DURING THE QUARTER ENDED DECEMBER 31, 1997.</w:t>
      </w:r>
    </w:p>
    <w:p>
      <w:pPr>
        <w:spacing w:after="0" w:line="178" w:lineRule="exact"/>
        <w:rPr>
          <w:sz w:val="20"/>
          <w:szCs w:val="20"/>
          <w:color w:val="auto"/>
        </w:rPr>
      </w:pPr>
    </w:p>
    <w:p>
      <w:pPr>
        <w:jc w:val="both"/>
        <w:ind w:left="800" w:right="3239" w:hanging="790"/>
        <w:spacing w:after="0" w:line="235"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was filed by the Company on October 30, 1997 which contained a news release announcing the Company's financial results for the three and nine months ended September 30, 1997.</w:t>
      </w:r>
    </w:p>
    <w:p>
      <w:pPr>
        <w:spacing w:after="0" w:line="173" w:lineRule="exact"/>
        <w:rPr>
          <w:rFonts w:ascii="Courier New" w:cs="Courier New" w:eastAsia="Courier New" w:hAnsi="Courier New"/>
          <w:sz w:val="15"/>
          <w:szCs w:val="15"/>
          <w:color w:val="auto"/>
        </w:rPr>
      </w:pPr>
    </w:p>
    <w:p>
      <w:pPr>
        <w:jc w:val="both"/>
        <w:ind w:left="800" w:right="3239" w:hanging="790"/>
        <w:spacing w:after="0" w:line="236"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8-K/A was filed by the Company on November 21, 1997 which contained the news release announcing the Company's financial results for the three and nine months ended September 30, 1997 dated October 27, 1997 and originally filed on October 30, 1997, amended for changes to reflect the final financial information as determined in connection with the filing by the Company of its Form 10-Q for the quarter ended September 30, 1997, including the retroactive adjustment for the 2-for-1 stock split approved by the Board of Directors on October 29, 1997.</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OCWEN FINANCIAL CORPORATION</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William C. Erbey</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William C. Erbey</w:t>
      </w:r>
    </w:p>
    <w:p>
      <w:pPr>
        <w:ind w:left="3160"/>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ind w:left="316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3160"/>
        <w:spacing w:after="0" w:line="237" w:lineRule="auto"/>
        <w:rPr>
          <w:sz w:val="20"/>
          <w:szCs w:val="20"/>
          <w:color w:val="auto"/>
        </w:rPr>
      </w:pPr>
      <w:r>
        <w:rPr>
          <w:rFonts w:ascii="Courier New" w:cs="Courier New" w:eastAsia="Courier New" w:hAnsi="Courier New"/>
          <w:sz w:val="15"/>
          <w:szCs w:val="15"/>
          <w:color w:val="auto"/>
        </w:rPr>
        <w:t>(duly authorized representative)</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March 31, 1998</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167"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63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C. Erbey, Chairman of the Board, Chief Executive Officer and President (principal executive officer)</w:t>
      </w:r>
    </w:p>
    <w:p>
      <w:pPr>
        <w:spacing w:after="0" w:line="200" w:lineRule="exact"/>
        <w:rPr>
          <w:sz w:val="20"/>
          <w:szCs w:val="20"/>
          <w:color w:val="auto"/>
        </w:rPr>
      </w:pPr>
    </w:p>
    <w:p>
      <w:pPr>
        <w:spacing w:after="0" w:line="291"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200" w:lineRule="exact"/>
        <w:rPr>
          <w:sz w:val="20"/>
          <w:szCs w:val="20"/>
          <w:color w:val="auto"/>
        </w:rPr>
      </w:pPr>
    </w:p>
    <w:p>
      <w:pPr>
        <w:spacing w:after="0" w:line="303"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W.C. Martin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200" w:lineRule="exact"/>
        <w:rPr>
          <w:sz w:val="20"/>
          <w:szCs w:val="20"/>
          <w:color w:val="auto"/>
        </w:rPr>
      </w:pPr>
    </w:p>
    <w:p>
      <w:pPr>
        <w:spacing w:after="0" w:line="303"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Howard H. Simon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Howard H. Simon, Director</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 w:leader="none" w:pos="5160" w:val="left"/>
          <w:tab w:leader="none" w:pos="5760" w:val="left"/>
        </w:tabs>
        <w:rPr>
          <w:sz w:val="20"/>
          <w:szCs w:val="20"/>
          <w:color w:val="auto"/>
        </w:rPr>
      </w:pPr>
      <w:r>
        <w:rPr>
          <w:rFonts w:ascii="Courier New" w:cs="Courier New" w:eastAsia="Courier New" w:hAnsi="Courier New"/>
          <w:sz w:val="15"/>
          <w:szCs w:val="15"/>
          <w:color w:val="auto"/>
        </w:rPr>
        <w:t>/s/ Hon.</w:t>
        <w:tab/>
        <w:t>Thomas F. Lewis</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Hon. Thomas F. Lewis, Director</w:t>
      </w:r>
    </w:p>
    <w:p>
      <w:pPr>
        <w:spacing w:after="0" w:line="335" w:lineRule="exact"/>
        <w:rPr>
          <w:sz w:val="20"/>
          <w:szCs w:val="20"/>
          <w:color w:val="auto"/>
        </w:rPr>
      </w:pPr>
    </w:p>
    <w:p>
      <w:pPr>
        <w:spacing w:after="0"/>
        <w:tabs>
          <w:tab w:leader="none" w:pos="5160" w:val="left"/>
          <w:tab w:leader="none" w:pos="5760" w:val="left"/>
        </w:tabs>
        <w:rPr>
          <w:sz w:val="20"/>
          <w:szCs w:val="20"/>
          <w:color w:val="auto"/>
        </w:rPr>
      </w:pPr>
      <w:r>
        <w:rPr>
          <w:rFonts w:ascii="Courier New" w:cs="Courier New" w:eastAsia="Courier New" w:hAnsi="Courier New"/>
          <w:sz w:val="15"/>
          <w:szCs w:val="15"/>
          <w:color w:val="auto"/>
        </w:rPr>
        <w:t>/s/ Mark S. Zeidman</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March 31, 1998</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60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Mark S. Zeidman, Chief Financial Officer (principal financial and accounting officer)</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73" w:lineRule="exact"/>
        <w:rPr>
          <w:sz w:val="20"/>
          <w:szCs w:val="20"/>
          <w:color w:val="auto"/>
        </w:rPr>
      </w:pPr>
    </w:p>
    <w:p>
      <w:pPr>
        <w:jc w:val="both"/>
        <w:ind w:right="4120" w:firstLine="350"/>
        <w:spacing w:after="0" w:line="255" w:lineRule="auto"/>
        <w:rPr>
          <w:sz w:val="20"/>
          <w:szCs w:val="20"/>
          <w:color w:val="auto"/>
        </w:rPr>
      </w:pPr>
      <w:r>
        <w:rPr>
          <w:rFonts w:ascii="Courier New" w:cs="Courier New" w:eastAsia="Courier New" w:hAnsi="Courier New"/>
          <w:sz w:val="14"/>
          <w:szCs w:val="14"/>
          <w:color w:val="auto"/>
        </w:rPr>
        <w:t>The following tables present selected consolidated financial data of the Ocwen Financial Corporation and its subsidiaries ("Ocwen" or the "Company") at the dates and for the periods indicated. The historical operations and balance sheet data at and for the years ended December 31, 1997, 1996, 1995, 1994 and 1993 have been derived from financial statements audited by Price Waterhouse LLP, independent certified public accountants. The selected consolidated financial data should be read in conjunction with, and is qualified in its entirety by reference to, the information in the Consolidated Financial Statements and related notes set forth elsewhere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w w:val="96"/>
              </w:rPr>
              <w:t>Year Ended December 31,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56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1995(1)</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1994(1)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1993(2)</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(Dollars in Thousands, Except per share data)</w:t>
            </w:r>
          </w:p>
        </w:tc>
        <w:tc>
          <w:tcPr>
            <w:tcW w:w="70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income..........................................</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$ 272,531</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$ 193,894</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$ 137,275</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$131,458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$ 78,923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156,289</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116,160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84,060</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62,598</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35,306</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Net interest income.................................</w:t>
            </w:r>
          </w:p>
        </w:tc>
        <w:tc>
          <w:tcPr>
            <w:tcW w:w="22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116,242</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77,734</w:t>
            </w:r>
          </w:p>
        </w:tc>
        <w:tc>
          <w:tcPr>
            <w:tcW w:w="40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53,215</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68,860</w:t>
            </w:r>
          </w:p>
        </w:tc>
        <w:tc>
          <w:tcPr>
            <w:tcW w:w="2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43,617</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Provision for loan losses (3)............................</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32,218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22,450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interest income after provision for loan losses.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84,024</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55,284</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52,133</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68,860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43,617</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Gains on sales of interest earning assets, net...........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82,212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21,682</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6,916</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5,727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8,386</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Servicing fees and other charges.........................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25,881</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4,682</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2,870</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3,738</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Gain on sale of branch offices...........................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5,430</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62,600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(loss) on real estate owned, net..................</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7,277</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3,827</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9,540</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Fees on financing transactions (4).......................</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15,340</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non-interest income................................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8,498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7,112</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6,385</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9,566</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non-interest income...........................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123,868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37,303</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31,141</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81,575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35,872</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Non-interest expense.....................................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126,793</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69,606</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45,573</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68,858</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41,859</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Distributions on capital securities......................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5,249</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Equity in earnings of investment in joint venture (5)....</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23,688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38,320</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(21,309)</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(11,159)</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(29,724)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(10,325)</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Minority interest in net loss of consolidated subsidiary.</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703</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78,932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50,142</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33,139</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51,853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27,305</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Discontinued operations (6)..............................</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(2,270)</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Extraordinary gains......................................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Cumulative effect of a change in accounting principle....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(1,341)</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78,932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50,142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25,467</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$ 47,339</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$ 25,232</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per share (16):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(16):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0.38</w:t>
            </w:r>
          </w:p>
        </w:tc>
      </w:tr>
      <w:tr>
        <w:trPr>
          <w:trHeight w:val="168"/>
        </w:trPr>
        <w:tc>
          <w:tcPr>
            <w:tcW w:w="504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0.37</w:t>
            </w:r>
          </w:p>
        </w:tc>
      </w:tr>
      <w:tr>
        <w:trPr>
          <w:trHeight w:val="505"/>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60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2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1995(1)</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1993(2)</w:t>
            </w:r>
          </w:p>
        </w:tc>
      </w:tr>
      <w:tr>
        <w:trPr>
          <w:trHeight w:val="168"/>
        </w:trPr>
        <w:tc>
          <w:tcPr>
            <w:tcW w:w="51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$3,069,165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$2,483,685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$1,973,590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$1,226,403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$1,396,677</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available for sale (7)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430,524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354,005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337,480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187,717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527,183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available for sale (7)(8)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177,041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126,366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251,790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102,293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101,066</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securities, net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59,567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18,665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17,011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32,568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Mortgage-related securities held for investment, net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91,917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121,550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portfolio, net (8)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266,299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402,582</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295,605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57,045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88,288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 loan portfolio (8)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1,434,176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1,060,953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669,771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529,460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303,634</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low-income housing tax credit interests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93,309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81,362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49,442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16,203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owned, net (9)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167,265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103,704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166,556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96,667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33,497</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joint ventures (15)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67,909</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Excess of purchase price over net assets acquired, net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10,467</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Deposits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1,982,822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1,919,742</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1,501,646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1,023,268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871,879</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Borrowings and other interest-bearing obligations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453,529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300,518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272,214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25,510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373,792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securities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 (10)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419,692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203,596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139,547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153,383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111,831</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assets (11)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$2,835,514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$2,013,283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$1,521,368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$1,714,953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$1,152,655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equity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290,030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161,332</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121,291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119,500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97,895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 (11)(12):</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Income from continuing operations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2.35%</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equity (12):</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Income from continuing operations .....................</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27.89</w:t>
            </w:r>
          </w:p>
        </w:tc>
      </w:tr>
    </w:tbl>
    <w:p>
      <w:pPr>
        <w:sectPr>
          <w:pgSz w:w="11900" w:h="16838" w:orient="portrait"/>
          <w:cols w:equalWidth="0" w:num="1">
            <w:col w:w="11120"/>
          </w:cols>
          <w:pgMar w:left="220" w:top="303" w:right="55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 income ............................................</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27.22</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31.08</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Average equity to average assets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10.23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8.01</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7.97</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interest spread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4.81</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interest margin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4.91</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4.84</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4.54</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Efficiency ratio (13)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48.06</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45.38</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54.00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45.77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52.66</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Nonperforming loans to loans at end of period (14).......</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3.39</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0.56</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Allowance for loan losses to loans at end of period (14).</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1.37</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0.87</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r>
      <w:tr>
        <w:trPr>
          <w:trHeight w:val="168"/>
        </w:trPr>
        <w:tc>
          <w:tcPr>
            <w:tcW w:w="52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6"/>
              </w:rPr>
              <w:t>Bank regulatory capital ratios at end of period:</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Tangible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10.66</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6.52</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Core (Leverage)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10.66</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6.52</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Risk-based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14.83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w:t>
            </w:r>
          </w:p>
        </w:tc>
      </w:tr>
      <w:tr>
        <w:trPr>
          <w:trHeight w:val="168"/>
        </w:trPr>
        <w:tc>
          <w:tcPr>
            <w:tcW w:w="5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Number of full-service offices at end of period .........</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505"/>
        </w:trPr>
        <w:tc>
          <w:tcPr>
            <w:tcW w:w="5260" w:type="dxa"/>
            <w:vAlign w:val="bottom"/>
          </w:tcPr>
          <w:p>
            <w:pPr>
              <w:spacing w:after="0"/>
              <w:rPr>
                <w:sz w:val="24"/>
                <w:szCs w:val="24"/>
                <w:color w:val="auto"/>
              </w:rPr>
            </w:pPr>
          </w:p>
        </w:tc>
        <w:tc>
          <w:tcPr>
            <w:tcW w:w="12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40"/>
          </w:cols>
          <w:pgMar w:left="220" w:top="135" w:right="63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NOTES TO SELECTED CONSOLIDATED FINANCIAL INFORMATION</w:t>
      </w:r>
    </w:p>
    <w:p>
      <w:pPr>
        <w:spacing w:after="0" w:line="173" w:lineRule="exact"/>
        <w:rPr>
          <w:sz w:val="20"/>
          <w:szCs w:val="20"/>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at December 31, 1995 and 1994 reflects the Company's sale of two and twenty-three branch offices, respectively, which resulted in the transfer of deposits of $111.7 million and $909.3 million, respectively, and resulted in a gain on sale of $5.4 million and $62.6 million during 1995 and 1994, respectively. Operations data for 1995 and 1994 reflects the gains from these transactions. Exclusive of these gains and related income taxes and profit sharing expense, the Company's income from continuing operations would have been $30.3 million and $24.0 million during 1995 and 1994, respectively. See "Management's Discussion and Analysis of Financial Condition and Results of Operations - Results of Operations."</w:t>
      </w:r>
    </w:p>
    <w:p>
      <w:pPr>
        <w:spacing w:after="0" w:line="180"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data at December 31, 1993 reflects the merger of Berkeley Federal Savings Company ("Old Berkeley") into the Bank on June 3, 1993, and operations data for the year ended December 31, 1993 reflects the operations of Old Berkeley from the date of merger. This transaction was accounted for using the purchase method of accounting.</w:t>
      </w:r>
    </w:p>
    <w:p>
      <w:pPr>
        <w:spacing w:after="0" w:line="173" w:lineRule="exact"/>
        <w:rPr>
          <w:rFonts w:ascii="Courier New" w:cs="Courier New" w:eastAsia="Courier New" w:hAnsi="Courier New"/>
          <w:sz w:val="15"/>
          <w:szCs w:val="15"/>
          <w:color w:val="auto"/>
        </w:rPr>
      </w:pPr>
    </w:p>
    <w:p>
      <w:pPr>
        <w:jc w:val="both"/>
        <w:ind w:left="620" w:right="3239" w:hanging="610"/>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loan losses in 1997 and 1996 consists primarily of $31.9 million and $20.6 million, respectively, related to the Company's discount loan portfolio. Beginning in the first quarter of 1996, the Company began recording general valuation allowances on discount loans. See "Management's Discussion and Analysis of Financial Condition and Results of Operations-Results of Operations-Provision for Loan Losses."</w:t>
      </w:r>
    </w:p>
    <w:p>
      <w:pPr>
        <w:spacing w:after="0" w:line="166" w:lineRule="exact"/>
        <w:rPr>
          <w:rFonts w:ascii="Courier New" w:cs="Courier New" w:eastAsia="Courier New" w:hAnsi="Courier New"/>
          <w:sz w:val="14"/>
          <w:szCs w:val="14"/>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portion of the amounts paid to the Company in connection with the Company's acquisition of certain mortgage-related securities which generate taxable income in the first several years of the instrument's life and tax losses of an equal amount thereafter, but have minimal or no cash flows. Commencing in 1994, such amounts are deferred and recognized in interest income on a level yield basis over the expected life of that portion of the deferred tax asset which relates to tax residuals.</w:t>
      </w:r>
    </w:p>
    <w:p>
      <w:pPr>
        <w:spacing w:after="0" w:line="177" w:lineRule="exact"/>
        <w:rPr>
          <w:rFonts w:ascii="Courier New" w:cs="Courier New" w:eastAsia="Courier New" w:hAnsi="Courier New"/>
          <w:sz w:val="15"/>
          <w:szCs w:val="15"/>
          <w:color w:val="auto"/>
        </w:rPr>
      </w:pPr>
    </w:p>
    <w:p>
      <w:pPr>
        <w:jc w:val="both"/>
        <w:ind w:left="620" w:right="3239"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Relates to the Company's investment in BCBF, L.L.C. (the "LLC"), a 50% owned joint venture formed between the Bank and BlackRock Capital Finance ("BlackRock") to acquire loans from the Department of Housing and Urban Development ("HUD") in April 1996.</w:t>
      </w:r>
    </w:p>
    <w:p>
      <w:pPr>
        <w:spacing w:after="0" w:line="175"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1995, the Company announced its decision to dispose of its automated banking division, which was substantially complete at December 31, 1995. See "Management's Discussion and Analysis of Financial Condition and Results of Operations - Results of Operations - Discontinued Operations" and Note 3 to the Consolidated Financial Statements.</w:t>
      </w:r>
    </w:p>
    <w:p>
      <w:pPr>
        <w:spacing w:after="0" w:line="174" w:lineRule="exact"/>
        <w:rPr>
          <w:rFonts w:ascii="Courier New" w:cs="Courier New" w:eastAsia="Courier New" w:hAnsi="Courier New"/>
          <w:sz w:val="15"/>
          <w:szCs w:val="15"/>
          <w:color w:val="auto"/>
        </w:rPr>
      </w:pPr>
    </w:p>
    <w:p>
      <w:pPr>
        <w:ind w:left="620" w:right="3239"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available for sale are carried at market value. Loans available for sale are carried at the lower of cost or market value.</w:t>
      </w:r>
    </w:p>
    <w:p>
      <w:pPr>
        <w:spacing w:after="0" w:line="173"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 loan portfolio consists of mortgage loans purchased at a discount to the unpaid debt, most of which were nonperforming or subperforming at the date of acquisition. The loan portfolio and loans available for sale consist of other loans which were originated or purchased by the Company for investment or for potential sale, respectively. Data related to discount loans does not include discount loans held by the LLC.</w:t>
      </w:r>
    </w:p>
    <w:p>
      <w:pPr>
        <w:spacing w:after="0" w:line="175" w:lineRule="exact"/>
        <w:rPr>
          <w:rFonts w:ascii="Courier New" w:cs="Courier New" w:eastAsia="Courier New" w:hAnsi="Courier New"/>
          <w:sz w:val="15"/>
          <w:szCs w:val="15"/>
          <w:color w:val="auto"/>
        </w:rPr>
      </w:pPr>
    </w:p>
    <w:p>
      <w:pPr>
        <w:jc w:val="both"/>
        <w:ind w:left="620" w:right="3239" w:hanging="610"/>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owned consists of properties acquired by foreclosure or by deed-in-lieu thereof on loans and is primarily attributable to the Company's discount loan acquisition and resolution business.</w:t>
      </w:r>
    </w:p>
    <w:p>
      <w:pPr>
        <w:spacing w:after="0" w:line="173" w:lineRule="exact"/>
        <w:rPr>
          <w:rFonts w:ascii="Courier New" w:cs="Courier New" w:eastAsia="Courier New" w:hAnsi="Courier New"/>
          <w:sz w:val="15"/>
          <w:szCs w:val="15"/>
          <w:color w:val="auto"/>
        </w:rPr>
      </w:pPr>
    </w:p>
    <w:p>
      <w:pPr>
        <w:ind w:left="620" w:right="3239"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Company's repurchase of 8,815,060 shares of its common stock during 1995 for an aggregate of $42.0 million.</w:t>
      </w:r>
    </w:p>
    <w:p>
      <w:pPr>
        <w:spacing w:after="0" w:line="173" w:lineRule="exact"/>
        <w:rPr>
          <w:rFonts w:ascii="Courier New" w:cs="Courier New" w:eastAsia="Courier New" w:hAnsi="Courier New"/>
          <w:sz w:val="15"/>
          <w:szCs w:val="15"/>
          <w:color w:val="auto"/>
        </w:rPr>
      </w:pPr>
    </w:p>
    <w:p>
      <w:pPr>
        <w:ind w:left="620" w:right="3239"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Company's pro rata share of the average assets held by the LLC.</w:t>
      </w:r>
    </w:p>
    <w:p>
      <w:pPr>
        <w:spacing w:after="0" w:line="173"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of a one-time assessment to recapitalize the Savings Association Insurance Fund (the "SAIF") in 1996 and of gains from the sales of branch offices in 1995 and 1994 and related income taxes and profit sharing expense, (i) return on average assets on income from continuing operations amounted to 2.54% and 2.00% and 1.40% during 1996, 1995 and 1994, respectively, and (ii) return on average equity on income from continuing operations amounted to 33.35%, 25.02% and 20.06% during 1996, 1995 and 1994, respectively.</w:t>
      </w:r>
    </w:p>
    <w:p>
      <w:pPr>
        <w:spacing w:after="0" w:line="177" w:lineRule="exact"/>
        <w:rPr>
          <w:rFonts w:ascii="Courier New" w:cs="Courier New" w:eastAsia="Courier New" w:hAnsi="Courier New"/>
          <w:sz w:val="15"/>
          <w:szCs w:val="15"/>
          <w:color w:val="auto"/>
        </w:rPr>
      </w:pPr>
    </w:p>
    <w:p>
      <w:pPr>
        <w:jc w:val="both"/>
        <w:ind w:left="620" w:right="3239" w:hanging="610"/>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 of net interest income before provision for loan losses, non-interest income and equity in earnings of investment in joint venture. Exclusive of the SAIF assessment in 1996 and gains from the sales of branch offices in 1995 and 1994 and related profit sharing expense, the efficiency ratio amounted to 41.33%, 56.34% and 64.14% during 1996, 1995 and 1994, respectively.</w:t>
      </w:r>
    </w:p>
    <w:p>
      <w:pPr>
        <w:spacing w:after="0" w:line="175" w:lineRule="exact"/>
        <w:rPr>
          <w:rFonts w:ascii="Courier New" w:cs="Courier New" w:eastAsia="Courier New" w:hAnsi="Courier New"/>
          <w:sz w:val="15"/>
          <w:szCs w:val="15"/>
          <w:color w:val="auto"/>
        </w:rPr>
      </w:pPr>
    </w:p>
    <w:p>
      <w:pPr>
        <w:ind w:left="620" w:right="3239" w:hanging="610"/>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loans and total loans do not include loans in the Company's discount loan portfolio or loans available for sale.</w:t>
      </w:r>
    </w:p>
    <w:p>
      <w:pPr>
        <w:spacing w:after="0" w:line="173" w:lineRule="exact"/>
        <w:rPr>
          <w:rFonts w:ascii="Courier New" w:cs="Courier New" w:eastAsia="Courier New" w:hAnsi="Courier New"/>
          <w:sz w:val="15"/>
          <w:szCs w:val="15"/>
          <w:color w:val="auto"/>
        </w:rPr>
      </w:pPr>
    </w:p>
    <w:p>
      <w:pPr>
        <w:jc w:val="both"/>
        <w:ind w:left="620" w:right="3239" w:hanging="610"/>
        <w:spacing w:after="0" w:line="255"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Relates to the Company's investment in BCFL, L.L.C. ("BCFL"), a limited liability corporation in which the Company has a 10% interest which was formed in January 1997 with BlackRock to acquire multi-family residential loans from HUD, at December 31, 1997 and the LLC at December 31, 1996. At December 31, 1996, the net discount loans, which were available for sale, held by the LLC amounted to $110.7 million. See "Management's Discussion and Analysis of Financial Condition and Results of Operations-Changes in</w:t>
      </w:r>
    </w:p>
    <w:p>
      <w:pPr>
        <w:sectPr>
          <w:pgSz w:w="11900" w:h="16838" w:orient="portrait"/>
          <w:cols w:equalWidth="0" w:num="1">
            <w:col w:w="10239"/>
          </w:cols>
          <w:pgMar w:left="220" w:top="449" w:right="1440" w:bottom="0" w:gutter="0" w:footer="0" w:header="0"/>
        </w:sectPr>
      </w:pPr>
    </w:p>
    <w:bookmarkStart w:id="51" w:name="page52"/>
    <w:bookmarkEnd w:id="51"/>
    <w:p>
      <w:pPr>
        <w:ind w:left="610"/>
        <w:spacing w:after="0"/>
        <w:rPr>
          <w:sz w:val="20"/>
          <w:szCs w:val="20"/>
          <w:color w:val="auto"/>
        </w:rPr>
      </w:pPr>
      <w:r>
        <w:rPr>
          <w:rFonts w:ascii="Courier New" w:cs="Courier New" w:eastAsia="Courier New" w:hAnsi="Courier New"/>
          <w:sz w:val="15"/>
          <w:szCs w:val="15"/>
          <w:color w:val="auto"/>
        </w:rPr>
        <w:t>Financial Condition - Investment in Joint Ventures."</w:t>
      </w:r>
    </w:p>
    <w:p>
      <w:pPr>
        <w:spacing w:after="0" w:line="173" w:lineRule="exact"/>
        <w:rPr>
          <w:sz w:val="20"/>
          <w:szCs w:val="20"/>
          <w:color w:val="auto"/>
        </w:rPr>
      </w:pPr>
    </w:p>
    <w:p>
      <w:pPr>
        <w:jc w:val="both"/>
        <w:ind w:left="610" w:right="3239" w:hanging="610"/>
        <w:spacing w:after="0" w:line="236" w:lineRule="auto"/>
        <w:tabs>
          <w:tab w:leader="none" w:pos="6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 share amounts have been adjusted retroactively to reflect the 10-for-1 stock split in 1996 and the 2-for-1 stock split in 1997. In addition, all per share amounts have been adjusted for the adoption of Statement of Financial Accounting Standards No. 128, "Earnings per share." See Note 23 to the Consolidated Financial Statements.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135" w:right="1440" w:bottom="1440" w:gutter="0" w:footer="0" w:header="0"/>
        </w:sectPr>
      </w:pPr>
    </w:p>
    <w:bookmarkStart w:id="52" w:name="page53"/>
    <w:bookmarkEnd w:id="52"/>
    <w:p>
      <w:pPr>
        <w:ind w:right="4040"/>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jc w:val="both"/>
        <w:ind w:right="4040" w:firstLine="437"/>
        <w:spacing w:after="0" w:line="256" w:lineRule="auto"/>
        <w:rPr>
          <w:sz w:val="20"/>
          <w:szCs w:val="20"/>
          <w:color w:val="auto"/>
        </w:rPr>
      </w:pPr>
      <w:r>
        <w:rPr>
          <w:rFonts w:ascii="Courier New" w:cs="Courier New" w:eastAsia="Courier New" w:hAnsi="Courier New"/>
          <w:sz w:val="14"/>
          <w:szCs w:val="14"/>
          <w:color w:val="auto"/>
        </w:rPr>
        <w:t>The following discussion of the Company's consolidated financial condition, results of operations and capital resources and liquidity should be read in conjunction with Selected Consolidated Financial Data and the Consolidated Financial Statements and related notes included elsewhere 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4040" w:firstLine="437"/>
        <w:spacing w:after="0" w:line="235" w:lineRule="auto"/>
        <w:rPr>
          <w:sz w:val="20"/>
          <w:szCs w:val="20"/>
          <w:color w:val="auto"/>
        </w:rPr>
      </w:pPr>
      <w:r>
        <w:rPr>
          <w:rFonts w:ascii="Courier New" w:cs="Courier New" w:eastAsia="Courier New" w:hAnsi="Courier New"/>
          <w:sz w:val="15"/>
          <w:szCs w:val="15"/>
          <w:color w:val="auto"/>
        </w:rPr>
        <w:t>GENERAL. The Company recorded net income of $78.9 million for 1997, compared with $50.1 million for 1996 and $25.5 million for 1995. Diluted earnings per share were $1.39 for 1997, as compared with $0.94 for 1996 and $0.46 for 1995.</w:t>
      </w:r>
    </w:p>
    <w:p>
      <w:pPr>
        <w:spacing w:after="0" w:line="175" w:lineRule="exact"/>
        <w:rPr>
          <w:sz w:val="20"/>
          <w:szCs w:val="20"/>
          <w:color w:val="auto"/>
        </w:rPr>
      </w:pPr>
    </w:p>
    <w:p>
      <w:pPr>
        <w:jc w:val="both"/>
        <w:ind w:right="4040" w:firstLine="437"/>
        <w:spacing w:after="0" w:line="255" w:lineRule="auto"/>
        <w:rPr>
          <w:sz w:val="20"/>
          <w:szCs w:val="20"/>
          <w:color w:val="auto"/>
        </w:rPr>
      </w:pPr>
      <w:r>
        <w:rPr>
          <w:rFonts w:ascii="Courier New" w:cs="Courier New" w:eastAsia="Courier New" w:hAnsi="Courier New"/>
          <w:sz w:val="14"/>
          <w:szCs w:val="14"/>
          <w:color w:val="auto"/>
        </w:rPr>
        <w:t>The Company has emphasized discount loan acquisition and resolution activities and a variety of other mortgage lending activities, which generally reflect the Company's focus on business lines which offer the potential for greater returns without increased risk of loss. As a result of the Company's business strategy, the average balance of the Company's discount loan portfolio (which does not include the Company's pro rata share of discount loans held by LLC), loan portfolio and loans available for sale have increased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72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9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 of</w:t>
            </w:r>
          </w:p>
        </w:tc>
        <w:tc>
          <w:tcPr>
            <w:tcW w:w="1080" w:type="dxa"/>
            <w:vAlign w:val="bottom"/>
          </w:tcPr>
          <w:p>
            <w:pPr>
              <w:spacing w:after="0"/>
              <w:rPr>
                <w:sz w:val="14"/>
                <w:szCs w:val="14"/>
                <w:color w:val="auto"/>
              </w:rPr>
            </w:pP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 of</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of</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Average</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w:t>
            </w:r>
          </w:p>
        </w:tc>
        <w:tc>
          <w:tcPr>
            <w:tcW w:w="1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Average</w:t>
            </w:r>
          </w:p>
        </w:tc>
        <w:tc>
          <w:tcPr>
            <w:tcW w:w="220" w:type="dxa"/>
            <w:vAlign w:val="bottom"/>
          </w:tcPr>
          <w:p>
            <w:pPr>
              <w:spacing w:after="0"/>
              <w:rPr>
                <w:sz w:val="14"/>
                <w:szCs w:val="14"/>
                <w:color w:val="auto"/>
              </w:rPr>
            </w:pPr>
          </w:p>
        </w:tc>
        <w:tc>
          <w:tcPr>
            <w:tcW w:w="11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Balance</w:t>
            </w: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Assets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Balance</w:t>
            </w:r>
          </w:p>
        </w:tc>
        <w:tc>
          <w:tcPr>
            <w:tcW w:w="14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1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Balance</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Discount loan portfolio...................</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$1,283,020</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45%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675,345</w:t>
            </w:r>
          </w:p>
        </w:tc>
        <w:tc>
          <w:tcPr>
            <w:tcW w:w="1460" w:type="dxa"/>
            <w:vAlign w:val="bottom"/>
          </w:tcPr>
          <w:p>
            <w:pPr>
              <w:ind w:left="620"/>
              <w:spacing w:after="0"/>
              <w:rPr>
                <w:sz w:val="20"/>
                <w:szCs w:val="20"/>
                <w:color w:val="auto"/>
              </w:rPr>
            </w:pPr>
            <w:r>
              <w:rPr>
                <w:rFonts w:ascii="Courier New" w:cs="Courier New" w:eastAsia="Courier New" w:hAnsi="Courier New"/>
                <w:sz w:val="15"/>
                <w:szCs w:val="15"/>
                <w:color w:val="auto"/>
              </w:rPr>
              <w:t>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483,204</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portfolio............................</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410,863</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328,378</w:t>
            </w: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130,901</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available for sale..................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171,837</w:t>
            </w:r>
          </w:p>
        </w:tc>
        <w:tc>
          <w:tcPr>
            <w:tcW w:w="11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175,078</w:t>
            </w:r>
          </w:p>
        </w:tc>
        <w:tc>
          <w:tcPr>
            <w:tcW w:w="1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167,011</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$1,865,720</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$1,178,801</w:t>
            </w: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781,116</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8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4040" w:firstLine="437"/>
        <w:spacing w:after="0" w:line="236" w:lineRule="auto"/>
        <w:rPr>
          <w:sz w:val="20"/>
          <w:szCs w:val="20"/>
          <w:color w:val="auto"/>
        </w:rPr>
      </w:pPr>
      <w:r>
        <w:rPr>
          <w:rFonts w:ascii="Courier New" w:cs="Courier New" w:eastAsia="Courier New" w:hAnsi="Courier New"/>
          <w:sz w:val="15"/>
          <w:szCs w:val="15"/>
          <w:color w:val="auto"/>
        </w:rPr>
        <w:t>This growth in the Company's lending activities, particularly its discount loan activities, has substantially contributed to the Company's profitability in recent periods. In this regard, the Company estimates that its discount loan acquisition and resolution activities, which includes the single family, large commercial and small commercial business lines, accounted for approximately 65%, 64% and 75% of its net income during the years ended December 31, 1997, 1996 and 1995, respectively.</w:t>
      </w:r>
    </w:p>
    <w:p>
      <w:pPr>
        <w:spacing w:after="0" w:line="176" w:lineRule="exact"/>
        <w:rPr>
          <w:sz w:val="20"/>
          <w:szCs w:val="20"/>
          <w:color w:val="auto"/>
        </w:rPr>
      </w:pPr>
    </w:p>
    <w:p>
      <w:pPr>
        <w:jc w:val="both"/>
        <w:ind w:right="4040" w:firstLine="437"/>
        <w:spacing w:after="0" w:line="236" w:lineRule="auto"/>
        <w:rPr>
          <w:sz w:val="20"/>
          <w:szCs w:val="20"/>
          <w:color w:val="auto"/>
        </w:rPr>
      </w:pPr>
      <w:r>
        <w:rPr>
          <w:rFonts w:ascii="Courier New" w:cs="Courier New" w:eastAsia="Courier New" w:hAnsi="Courier New"/>
          <w:sz w:val="15"/>
          <w:szCs w:val="15"/>
          <w:color w:val="auto"/>
        </w:rPr>
        <w:t>The Company's discount loan activities also include investments in joint ventures to acquire discount loans, which to date have consisted primarily of the Company's 50% interest in the LLC. Equity in earnings of investment in joint ventures amounted to $23.7 million and $38.3 million during the years ended December 31, 1997 and 1996, respectively, and were primarily comprised of $14.0 million and $35.6 million of gains related to the securitization of discount single family residential loans acquired from HUD, respectively. See "Changes In Financial Condition -- Investment in Joint Ventures."</w:t>
      </w:r>
    </w:p>
    <w:p>
      <w:pPr>
        <w:spacing w:after="0" w:line="177" w:lineRule="exact"/>
        <w:rPr>
          <w:sz w:val="20"/>
          <w:szCs w:val="20"/>
          <w:color w:val="auto"/>
        </w:rPr>
      </w:pPr>
    </w:p>
    <w:p>
      <w:pPr>
        <w:jc w:val="both"/>
        <w:ind w:right="4040" w:firstLine="437"/>
        <w:spacing w:after="0" w:line="235" w:lineRule="auto"/>
        <w:rPr>
          <w:sz w:val="20"/>
          <w:szCs w:val="20"/>
          <w:color w:val="auto"/>
        </w:rPr>
      </w:pPr>
      <w:r>
        <w:rPr>
          <w:rFonts w:ascii="Courier New" w:cs="Courier New" w:eastAsia="Courier New" w:hAnsi="Courier New"/>
          <w:sz w:val="15"/>
          <w:szCs w:val="15"/>
          <w:color w:val="auto"/>
        </w:rPr>
        <w:t>The Company currently anticipates that the available current and future supply of discount loans is sufficient to support the Company's operational needs, but this is not a certainty and could change as a result of a variety of factors which bear on market availability.</w:t>
      </w:r>
    </w:p>
    <w:p>
      <w:pPr>
        <w:spacing w:after="0" w:line="175" w:lineRule="exact"/>
        <w:rPr>
          <w:sz w:val="20"/>
          <w:szCs w:val="20"/>
          <w:color w:val="auto"/>
        </w:rPr>
      </w:pPr>
    </w:p>
    <w:p>
      <w:pPr>
        <w:jc w:val="both"/>
        <w:ind w:right="4040" w:firstLine="437"/>
        <w:spacing w:after="0" w:line="236" w:lineRule="auto"/>
        <w:rPr>
          <w:sz w:val="20"/>
          <w:szCs w:val="20"/>
          <w:color w:val="auto"/>
        </w:rPr>
      </w:pPr>
      <w:r>
        <w:rPr>
          <w:rFonts w:ascii="Courier New" w:cs="Courier New" w:eastAsia="Courier New" w:hAnsi="Courier New"/>
          <w:sz w:val="15"/>
          <w:szCs w:val="15"/>
          <w:color w:val="auto"/>
        </w:rPr>
        <w:t>The Company's lending activities and increasing use of securitizations have resulted in gains on the sale of interest-earning assets becoming a significant part of the Company's operating results. Gains from the sale of interest-earning assets amounted to $82.2 million, $21.7 and $7.0 million during the years ended December 31, 1997, 1996 and 1995, respectively. A significant component of these gains in 1997 and 1996 (approximately $71.9 million and $15.2 million, respectively) were gains from the securitization of discount loans and subprime single family residential loans.</w:t>
      </w:r>
    </w:p>
    <w:p>
      <w:pPr>
        <w:spacing w:after="0" w:line="177" w:lineRule="exact"/>
        <w:rPr>
          <w:sz w:val="20"/>
          <w:szCs w:val="20"/>
          <w:color w:val="auto"/>
        </w:rPr>
      </w:pPr>
    </w:p>
    <w:p>
      <w:pPr>
        <w:jc w:val="both"/>
        <w:ind w:right="4040" w:firstLine="437"/>
        <w:spacing w:after="0" w:line="255" w:lineRule="auto"/>
        <w:rPr>
          <w:sz w:val="20"/>
          <w:szCs w:val="20"/>
          <w:color w:val="auto"/>
        </w:rPr>
      </w:pPr>
      <w:r>
        <w:rPr>
          <w:rFonts w:ascii="Courier New" w:cs="Courier New" w:eastAsia="Courier New" w:hAnsi="Courier New"/>
          <w:sz w:val="14"/>
          <w:szCs w:val="14"/>
          <w:color w:val="auto"/>
        </w:rPr>
        <w:t>The Company's operating results in 1995 were significantly affected by the effects of the sale of branch offices at the end of 1995 and 1994, which resulted in $5.4 million and $62.6 million of gains before profit sharing expense and income taxes during these respective periods. As a result of these sales, the Company's average assets decreased during 1995 and the Company's principal source of deposits shifted to brokered and other wholesale deposits. The Company's operating results during 1995 were also affected by losses from discontinued operations of its automated banking division and related activities, which, net of the applicable tax effect, amounted to $7.7 million.</w:t>
      </w:r>
    </w:p>
    <w:p>
      <w:pPr>
        <w:spacing w:after="0" w:line="165" w:lineRule="exact"/>
        <w:rPr>
          <w:sz w:val="20"/>
          <w:szCs w:val="20"/>
          <w:color w:val="auto"/>
        </w:rPr>
      </w:pPr>
    </w:p>
    <w:p>
      <w:pPr>
        <w:jc w:val="both"/>
        <w:ind w:right="4040" w:firstLine="437"/>
        <w:spacing w:after="0" w:line="236" w:lineRule="auto"/>
        <w:rPr>
          <w:sz w:val="20"/>
          <w:szCs w:val="20"/>
          <w:color w:val="auto"/>
        </w:rPr>
      </w:pPr>
      <w:r>
        <w:rPr>
          <w:rFonts w:ascii="Courier New" w:cs="Courier New" w:eastAsia="Courier New" w:hAnsi="Courier New"/>
          <w:sz w:val="15"/>
          <w:szCs w:val="15"/>
          <w:color w:val="auto"/>
        </w:rPr>
        <w:t>NET INTEREST INCOME. The operations of the Company are substantially dependent on its net interest income, which is the difference between the interest income received from its interest-earning assets and the interest expense paid on its interest-bearing liabilities. Net interest income is determined by an institution's net interest spread (i.e., the difference between the yield earned on its interest-earning assets and the rates paid on its interest-bearing liabilities), the relative amount of interest-earning assets and interest-bearing liabilities and the degree of mismatch in the maturity and repricing characteristics of its interest-earning assets and interest-bearing liabilities.</w:t>
      </w:r>
    </w:p>
    <w:p>
      <w:pPr>
        <w:sectPr>
          <w:pgSz w:w="11900" w:h="16838" w:orient="portrait"/>
          <w:cols w:equalWidth="0" w:num="1">
            <w:col w:w="11040"/>
          </w:cols>
          <w:pgMar w:left="220" w:top="624" w:right="639" w:bottom="0" w:gutter="0" w:footer="0" w:header="0"/>
        </w:sectPr>
      </w:pPr>
    </w:p>
    <w:bookmarkStart w:id="53" w:name="page54"/>
    <w:bookmarkEnd w:id="53"/>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for the periods indicated, information regarding the total amount of income from interest-earning assets and the resultant average yields, the interest expense associated with interest-bearing liabilities, expressed in dollars and rates, and the net interest spread and net interest margin. Information is based on average daily balances during the indicated periods.</w:t>
      </w:r>
    </w:p>
    <w:p>
      <w:pPr>
        <w:spacing w:after="0" w:line="168"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41"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Year Ended December 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8120" w:type="dxa"/>
            <w:vAlign w:val="bottom"/>
            <w:gridSpan w:val="14"/>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7"/>
                <w:szCs w:val="7"/>
                <w:color w:val="auto"/>
                <w:w w:val="73"/>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Average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100" w:type="dxa"/>
            <w:vAlign w:val="bottom"/>
          </w:tcPr>
          <w:p>
            <w:pPr>
              <w:spacing w:after="0"/>
              <w:rPr>
                <w:sz w:val="14"/>
                <w:szCs w:val="14"/>
                <w:color w:val="auto"/>
              </w:rPr>
            </w:pP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Average</w:t>
            </w:r>
          </w:p>
        </w:tc>
        <w:tc>
          <w:tcPr>
            <w:tcW w:w="84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Balance</w:t>
            </w:r>
          </w:p>
        </w:tc>
        <w:tc>
          <w:tcPr>
            <w:tcW w:w="80" w:type="dxa"/>
            <w:vAlign w:val="bottom"/>
          </w:tcPr>
          <w:p>
            <w:pPr>
              <w:spacing w:after="0"/>
              <w:rPr>
                <w:sz w:val="14"/>
                <w:szCs w:val="14"/>
                <w:color w:val="auto"/>
              </w:rPr>
            </w:pP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Interest Yield/Rate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Balance</w:t>
            </w:r>
          </w:p>
        </w:tc>
        <w:tc>
          <w:tcPr>
            <w:tcW w:w="80" w:type="dxa"/>
            <w:vAlign w:val="bottom"/>
          </w:tcPr>
          <w:p>
            <w:pPr>
              <w:spacing w:after="0"/>
              <w:rPr>
                <w:sz w:val="14"/>
                <w:szCs w:val="14"/>
                <w:color w:val="auto"/>
              </w:rPr>
            </w:pPr>
          </w:p>
        </w:tc>
        <w:tc>
          <w:tcPr>
            <w:tcW w:w="1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Interest Yield/Rate</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Balance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Yield/Rate</w:t>
            </w: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2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 agreements..............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163,671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84,997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4,681</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5.51%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55,256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3,502</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Securities held for trading...........</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3,295</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21,291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Securities available for sale(1)......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299,558</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28,545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284,433</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9.47</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211,559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18,391</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Loans available for sale(2)...........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171,837</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175,078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17,092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9.76</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15,608</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9.35</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securities and other(3)....</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36,905</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4,033</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8.68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held for investment................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77,257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4,313</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Loan portfolio (1)....................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410,863</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54,701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328,378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15,430</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11.79</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Discount loan portfolio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1,283,020</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157,649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675,345</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103,165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15.28</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483,204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75,998</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15.73</w:t>
            </w: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880" w:type="dxa"/>
            <w:vAlign w:val="bottom"/>
          </w:tcPr>
          <w:p>
            <w:pPr>
              <w:spacing w:after="0"/>
              <w:rPr>
                <w:sz w:val="14"/>
                <w:szCs w:val="14"/>
                <w:color w:val="auto"/>
              </w:rPr>
            </w:pPr>
          </w:p>
        </w:tc>
        <w:tc>
          <w:tcPr>
            <w:tcW w:w="1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90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interest earning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2,369,149</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272,531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1,605,786</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193,894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12.07</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1,171,628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137,275</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11.72</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Non-interest earning cash.............</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14,843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17,715</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Allowance for loan losses.............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low-income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housing tax credit interests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96,096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83,110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63,925</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 in joint ventures..........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34,777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46,193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Real estate owned.....................</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131,007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137,250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144,348</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211,643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145,822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124,932</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$2,835,514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$ 2,013,283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$1,521,368</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Average Liabilities and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Interest-bearing demand deposits......</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31,719</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33,167</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31,373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1,031</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3.29</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Savings deposits......................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2,121</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Certificates of deposit...............</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1,964,351</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120,801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1,481,197</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93,075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6.28</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1,119,836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70,371</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6.28</w:t>
            </w: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Total interest-bearing deposits.......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1,998,191</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122,070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1,517,758</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93,773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1,171,579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71,853</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repurchase......................</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16,717</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16,754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Securities sold but not yet purchased.</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from the Federal Home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 Bank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9,482</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71,221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7.57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outstanding under lines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credit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84,272</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 and 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bearing obligations.......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228,233</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27,123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148,282</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17,233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11.62</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78,718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8,988</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9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1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interest-bearing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2,336,895</w:t>
            </w:r>
          </w:p>
        </w:tc>
        <w:tc>
          <w:tcPr>
            <w:tcW w:w="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156,289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1,756,842</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116,160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6.61</w:t>
            </w: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1,299,066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84,060</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Non-interest bearing deposits.........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23,224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10,938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19,960</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Escrow deposits.......................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78,986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41,306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4,073</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106,379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42,865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76,978</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2,545,484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1,851,951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1,400,077</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Stockholders' equity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290,030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161,332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121,291</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 equity ............</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$2,835,514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$ 2,013,283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$1,521,368</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interest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116,242</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77,734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$ 53,215</w:t>
            </w: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interest spread...................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interest margin...................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interest-earning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interest-bearing liabilities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4540" w:hanging="530"/>
        <w:spacing w:after="0" w:line="234" w:lineRule="auto"/>
        <w:tabs>
          <w:tab w:leader="none" w:pos="5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effect of unrealized gains or losses on securities available for sale, net of taxes.</w:t>
      </w:r>
    </w:p>
    <w:p>
      <w:pPr>
        <w:sectPr>
          <w:pgSz w:w="11900" w:h="16838" w:orient="portrait"/>
          <w:cols w:equalWidth="0" w:num="1">
            <w:col w:w="11540"/>
          </w:cols>
          <w:pgMar w:left="220" w:top="953" w:right="139" w:bottom="0" w:gutter="0" w:footer="0" w:header="0"/>
        </w:sectPr>
      </w:pPr>
    </w:p>
    <w:p>
      <w:pPr>
        <w:spacing w:after="0" w:line="173" w:lineRule="exact"/>
        <w:rPr>
          <w:sz w:val="20"/>
          <w:szCs w:val="20"/>
          <w:color w:val="auto"/>
        </w:rPr>
      </w:pPr>
    </w:p>
    <w:p>
      <w:pPr>
        <w:jc w:val="both"/>
        <w:ind w:left="540" w:hanging="530"/>
        <w:spacing w:after="0" w:line="235"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balances of loans include nonperforming loans, basis.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available for sale and the loan</w:t>
      </w:r>
      <w:r>
        <w:rPr>
          <w:sz w:val="20"/>
          <w:szCs w:val="20"/>
          <w:color w:val="auto"/>
        </w:rPr>
        <w:tab/>
      </w:r>
      <w:r>
        <w:rPr>
          <w:rFonts w:ascii="Courier New" w:cs="Courier New" w:eastAsia="Courier New" w:hAnsi="Courier New"/>
          <w:sz w:val="14"/>
          <w:szCs w:val="14"/>
          <w:color w:val="auto"/>
        </w:rPr>
        <w:t>portfolio</w:t>
      </w:r>
    </w:p>
    <w:p>
      <w:pPr>
        <w:spacing w:after="0"/>
        <w:tabs>
          <w:tab w:leader="none" w:pos="1900" w:val="left"/>
        </w:tabs>
        <w:rPr>
          <w:sz w:val="20"/>
          <w:szCs w:val="20"/>
          <w:color w:val="auto"/>
        </w:rPr>
      </w:pPr>
      <w:r>
        <w:rPr>
          <w:rFonts w:ascii="Courier New" w:cs="Courier New" w:eastAsia="Courier New" w:hAnsi="Courier New"/>
          <w:sz w:val="15"/>
          <w:szCs w:val="15"/>
          <w:color w:val="auto"/>
        </w:rPr>
        <w:t>interest on which is</w:t>
      </w:r>
      <w:r>
        <w:rPr>
          <w:sz w:val="20"/>
          <w:szCs w:val="20"/>
          <w:color w:val="auto"/>
        </w:rPr>
        <w:tab/>
      </w:r>
      <w:r>
        <w:rPr>
          <w:rFonts w:ascii="Courier New" w:cs="Courier New" w:eastAsia="Courier New" w:hAnsi="Courier New"/>
          <w:sz w:val="14"/>
          <w:szCs w:val="14"/>
          <w:color w:val="auto"/>
        </w:rPr>
        <w:t>recognized on a cash</w:t>
      </w:r>
    </w:p>
    <w:p>
      <w:pPr>
        <w:spacing w:after="0" w:line="341" w:lineRule="exact"/>
        <w:rPr>
          <w:sz w:val="20"/>
          <w:szCs w:val="20"/>
          <w:color w:val="auto"/>
        </w:rPr>
      </w:pPr>
    </w:p>
    <w:p>
      <w:pPr>
        <w:sectPr>
          <w:pgSz w:w="11900" w:h="16838" w:orient="portrait"/>
          <w:cols w:equalWidth="0" w:num="2">
            <w:col w:w="3160" w:space="180"/>
            <w:col w:w="8200"/>
          </w:cols>
          <w:pgMar w:left="220" w:top="953" w:right="139" w:bottom="0" w:gutter="0" w:footer="0" w:header="0"/>
          <w:type w:val="continuous"/>
        </w:sectPr>
      </w:pPr>
    </w:p>
    <w:p>
      <w:pPr>
        <w:jc w:val="both"/>
        <w:ind w:left="540" w:right="4540" w:hanging="530"/>
        <w:spacing w:after="0" w:line="236" w:lineRule="auto"/>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from investment securities and other includes interest income attributable to that portion of the Company's deferred tax asset which relates to tax residuals. See Note 21 to the Consolidated Financial Statements. If the average balance of the deferred tax asset related to tax residuals was included in the average balance of investment securities and other, the weighted average yield would have been 10.88%, 7.34% and 5.93% during 1997, 1996 and 1995, respectively.</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953" w:right="139" w:bottom="0" w:gutter="0" w:footer="0" w:header="0"/>
          <w:type w:val="continuous"/>
        </w:sectPr>
      </w:pPr>
    </w:p>
    <w:bookmarkStart w:id="55" w:name="page56"/>
    <w:bookmarkEnd w:id="55"/>
    <w:p>
      <w:pPr>
        <w:jc w:val="both"/>
        <w:ind w:right="3240" w:firstLine="437"/>
        <w:spacing w:after="0" w:line="254"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interest-earning assets and interest-bearing liabilities have affected the Company's interest income and expense during the periods indicated. For each category of interest-earning assets and interest-bearing liabilities, information is provided on changes attributable to</w:t>
      </w:r>
    </w:p>
    <w:p>
      <w:pPr>
        <w:spacing w:after="0" w:line="2" w:lineRule="exact"/>
        <w:rPr>
          <w:sz w:val="20"/>
          <w:szCs w:val="20"/>
          <w:color w:val="auto"/>
        </w:rPr>
      </w:pPr>
    </w:p>
    <w:p>
      <w:pPr>
        <w:jc w:val="both"/>
        <w:ind w:right="3240" w:firstLine="10"/>
        <w:spacing w:after="0" w:line="236"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volume (change in volume multiplied by prior rate), (ii) changes in rate (change in rate multiplied by prior volume) and (iii) total change in rate and volume. Changes attributable to both volume and rate have been allocated proportionately to the change due to volume and the change due to rate.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6"/>
              </w:rPr>
              <w:t>Year Ended December 31,</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616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1997 vs. 1996</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1996 vs. 1995</w:t>
            </w:r>
          </w:p>
        </w:tc>
        <w:tc>
          <w:tcPr>
            <w:tcW w:w="88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7"/>
                <w:szCs w:val="7"/>
                <w:color w:val="auto"/>
                <w:w w:val="77"/>
              </w:rPr>
              <w: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(Decrease) Due To</w:t>
            </w:r>
          </w:p>
        </w:tc>
        <w:tc>
          <w:tcPr>
            <w:tcW w:w="260" w:type="dxa"/>
            <w:vAlign w:val="bottom"/>
          </w:tcPr>
          <w:p>
            <w:pPr>
              <w:spacing w:after="0"/>
              <w:rPr>
                <w:sz w:val="14"/>
                <w:szCs w:val="14"/>
                <w:color w:val="auto"/>
              </w:rPr>
            </w:pPr>
          </w:p>
        </w:tc>
        <w:tc>
          <w:tcPr>
            <w:tcW w:w="27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(Decrease) Due To</w:t>
            </w:r>
          </w:p>
        </w:tc>
      </w:tr>
      <w:tr>
        <w:trPr>
          <w:trHeight w:val="168"/>
        </w:trPr>
        <w:tc>
          <w:tcPr>
            <w:tcW w:w="40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Courier New" w:cs="Courier New" w:eastAsia="Courier New" w:hAnsi="Courier New"/>
                <w:sz w:val="7"/>
                <w:szCs w:val="7"/>
                <w:color w:val="auto"/>
                <w:w w:val="77"/>
              </w:rPr>
              <w:t>--------------------------------</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Rate</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Volume</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Rate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Volume</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Federal funds sold and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agreements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4,307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4,278</w:t>
            </w:r>
          </w:p>
        </w:tc>
        <w:tc>
          <w:tcPr>
            <w:tcW w:w="2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1,686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1,179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Securities available for sale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1,613</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8,541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Securities held for trading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(968)</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Loans available for sale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 held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 investment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Loan portfolio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7,642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10,241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17,883</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21,388</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Discount loan portfolio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(23,426)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77,910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54,484</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27,167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securities and other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interest-earning assets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(13,746)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92,383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78,637</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56,124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56,619</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Interest-Bearing Liabilities: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Interest-bearing demand deposits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Savings deposits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Certificates of deposit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29,752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27,726</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22,707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22,704</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29,695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28,297</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22,373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21,920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 under agreements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 repurchase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Securities sold but not yet purchased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Advances from the Federal Home Loan Bank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(3,535)</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Obligations outstanding under lines of credit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5,578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5,578</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 and other interest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bearing obligations ......................</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397</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9,890</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8,082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8,245</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interest-bearing liabilities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41,219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40,129</w:t>
            </w:r>
          </w:p>
        </w:tc>
        <w:tc>
          <w:tcPr>
            <w:tcW w:w="26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32,744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32,100</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Increase (decrease) in net interest income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(12,656)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$ 51,164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$ 38,508</w:t>
            </w:r>
          </w:p>
        </w:tc>
        <w:tc>
          <w:tcPr>
            <w:tcW w:w="2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$ 23,380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$ 24,519</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1997 VERSUS 1996</w:t>
      </w:r>
    </w:p>
    <w:p>
      <w:pPr>
        <w:spacing w:after="0" w:line="173" w:lineRule="exact"/>
        <w:rPr>
          <w:sz w:val="20"/>
          <w:szCs w:val="20"/>
          <w:color w:val="auto"/>
        </w:rPr>
      </w:pPr>
    </w:p>
    <w:p>
      <w:pPr>
        <w:jc w:val="both"/>
        <w:ind w:right="3240" w:firstLine="437"/>
        <w:spacing w:after="0" w:line="255" w:lineRule="auto"/>
        <w:rPr>
          <w:sz w:val="20"/>
          <w:szCs w:val="20"/>
          <w:color w:val="auto"/>
        </w:rPr>
      </w:pPr>
      <w:r>
        <w:rPr>
          <w:rFonts w:ascii="Courier New" w:cs="Courier New" w:eastAsia="Courier New" w:hAnsi="Courier New"/>
          <w:sz w:val="14"/>
          <w:szCs w:val="14"/>
          <w:color w:val="auto"/>
        </w:rPr>
        <w:t>The Company's net interest income before provision for loan losses of $116.2 million increased $38.5 million or 50% during 1997 as compared to the prior year. This increase resulted from a $78.6 million or 41% increase in interest income due to a $763.4 million or 48% increase in average interest-earning assets during 1997, offset in part by a 57 basis point decrease in the weighted average yield earned. The increase in interest income was offset in part by a $40.1 million or 35% increase in interest expense due to a $580.1 million or 33% increase in the Company's average interest-bearing liabilities.</w:t>
      </w:r>
    </w:p>
    <w:p>
      <w:pPr>
        <w:spacing w:after="0" w:line="166" w:lineRule="exact"/>
        <w:rPr>
          <w:sz w:val="20"/>
          <w:szCs w:val="20"/>
          <w:color w:val="auto"/>
        </w:rPr>
      </w:pPr>
    </w:p>
    <w:p>
      <w:pPr>
        <w:jc w:val="both"/>
        <w:ind w:right="3240" w:firstLine="437"/>
        <w:spacing w:after="0" w:line="255" w:lineRule="auto"/>
        <w:rPr>
          <w:sz w:val="20"/>
          <w:szCs w:val="20"/>
          <w:color w:val="auto"/>
        </w:rPr>
      </w:pPr>
      <w:r>
        <w:rPr>
          <w:rFonts w:ascii="Courier New" w:cs="Courier New" w:eastAsia="Courier New" w:hAnsi="Courier New"/>
          <w:sz w:val="14"/>
          <w:szCs w:val="14"/>
          <w:color w:val="auto"/>
        </w:rPr>
        <w:t>Interest income on the discount loan portfolio increased by $54.5 million or 53% in 1997 versus 1996 as a result of a $607.7 million or 90% increase in the average balance of the discount loan portfolio, which was offset in part by a 299 basis point decrease in the weighted average yield earned. The decline in the yield during 1997, as compared to 1996, is primarily attributable to an increase in the average balance of single family discount loans as a result of acquisitions from HUD and the Company's decision to cease accretion of discount on nonperforming single family residential discount loans effective January 1, 1997. Discount accretion on nonperforming single family discount loans amounted to $4.6 million or 69 basis points in yield during 1996. The Company believes that the yield earned on its single family residential discount loan portfolio in 1997 remained below</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220" w:top="455" w:right="1439" w:bottom="1440" w:gutter="0" w:footer="0" w:header="0"/>
        </w:sectPr>
      </w:pPr>
    </w:p>
    <w:bookmarkStart w:id="56" w:name="page57"/>
    <w:bookmarkEnd w:id="56"/>
    <w:p>
      <w:pPr>
        <w:jc w:val="both"/>
        <w:ind w:right="3239"/>
        <w:spacing w:after="0" w:line="254" w:lineRule="auto"/>
        <w:rPr>
          <w:sz w:val="20"/>
          <w:szCs w:val="20"/>
          <w:color w:val="auto"/>
        </w:rPr>
      </w:pPr>
      <w:r>
        <w:rPr>
          <w:rFonts w:ascii="Courier New" w:cs="Courier New" w:eastAsia="Courier New" w:hAnsi="Courier New"/>
          <w:sz w:val="14"/>
          <w:szCs w:val="14"/>
          <w:color w:val="auto"/>
        </w:rPr>
        <w:t>the yield earned in the prior year also due to its current strategy of attempting to work with borrowers to either (i) bring their loans current, (ii) modify the terms of their loans, (iii) enter into forbearance agreements that require the borrower to make monthly payments greater than or equal to scheduled payment amounts or (iv) refinance the loans with the Company. This resolution strategy results in lower initial yields as compared to borrowers paying off their loans in full or in part and, to the extent the loans are ultimately sold, will result in a significant portion of the earnings being reflected in gains on sales of interest earning assets. In addition, the majority of the single family HUD loans acquired by the Company in February and September 1997 are currently under a HUD forbearance plan whereby the borrower makes payments based upon ability to pay for a specific period of time, which generally results in a lower effective yield than the contract rate. Once this period is over the borrower must make at least its contractual mortgage payment or the Company can pursue foreclosure or other actions. The yield on the overall discount loan portfolio is also likely to continue to fluctuate from year to year as a result of the timing of resolutions, particularly the resolution of large multifamily residential and commercial real estate loans, and the mix of the overall portfolio between paying and nonpaying loans.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Interest income on the loan portfolio increased by $17.9 million or 49% in 1997 from 1996 primarily due to $12.3 million of additional interest received in connection with the payoff of ten loans secured by hotel and office properties and, to a lesser extent, an increase in the average balance of the loan portfolio for 1997 of $82.5 million or 25% over that of 1996.</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Interest income on federal funds sold and repurchase agreements increased $4.3 million or 91% during 1997 as compared to 1996 primarily as a result of a $78.7 million or 93% increase in the average balance.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Interest expense on deposits increased $28.3 million or 30% during 1997 as compared to 1996, and reflects the Company's continued use of certificates of deposit to fund its asset growth. The average amount of the Company's certificates of deposits increased from $1.48 billion during 1996 to $1.96 billion during 1997.</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Interest expense on notes, debentures and other interest-bearing obligations increased by $9.9 million or 57% during 1997 as compared to 1996 primarily due to the issuance of $125.0 million of 11.875% Notes (the "Notes") in September 1996.</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Also contributing to the increase in interest expense during 1997 is the interest expense on lines of credit established at Ocwen Financial Services, Inc. ("OFS") (see "Changes in Financial Condition - Obligations Outstanding Under Lines of Credit"), which amounted to $5.6 million during 1997, as compared to $0 during 1996 and 1995. OFS, a recently formed, 93.7% owned subsidiary of the Company, acquired substantially all of the assets of Admiral Home Loan ("Admiral"), the Company's primary correspondent mortgage banking firm for subprime single family loans.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1996 VERSUS 1995</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Company's net interest income before provision for loan losses increased by $24.5 million or 46.1% during 1996, as compared to the prior year. This increase resulted from a $56.6 million or 41% increase in interest income due to a $434.2 million or 37% increase in average interest-earning assets and, to a lesser extent, a 35 basis point increase in the weighted average yield on such assets. The increase in interest income was offset in part by a $32.1 million or 38% increase in interest expense due to a $457.8 million or 35% increase in average interest-bearing liabilities, primarily certificates of deposit, Federal Home Loan Bank ("FHLB") advances, notes and debentures, and to a lesser extent, a 14 basis point increase in the weighted average rate paid on interest-bearing liabilities. The Company's net interest margin increased to 4.84% in 1996 from 4.54% in 1995.</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increase in interest income during 1996, as compared to the prior year, reflects substantial increases in the average balances of the discount loan portfolio, loan portfolio and securities available for sale. Beginning in 1996, adjustments to reduce the carrying value of discount loans to the fair value of the property securing the loan are charged against the allowance for loan losses on the discount loan portfolio. Prior to 1996, such adjustments were charged against interest income on discount loans. Had charge-offs on discount loans been included as a reduction of interest income in 1996, the weighted average yield on the discount loan portfolio would have been 13.9%.</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average balance of the Company's interest-bearing liabilities increased substantially during 1996, as compared to the prior year, as a result of a $361.4 million or 32% increase in the average balance of certificates of deposit, a $56.4 million or 379% increase in the average balance of FHLB advances and a $69.6 million or 88% increase in the average balance of notes and debentures, which reflect the Company's reliance on brokered and other wholesale certificates of deposit and advances from the FHLB as a source of funds, the Company's issuance of the Notes in September 1996 and the Bank's issuance of 12% Subordinated Debentures (the "Debentures") in June 1995, respectively.</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PROVISIONS FOR LOAN LOSSES. Provisions for losses on loans are charged to operations to maintain an allowance for losses on both the loan portfolio and the discount loan portfolio at a level which management considers adequate based upon an evaluation of known and inherent risks in such loan portfolios. Management's periodic evaluation is based on an analysis of both the discount loan portfolio and the loan portfolio, historical loss experience, current economic conditions and other relevant factors.</w:t>
      </w:r>
    </w:p>
    <w:p>
      <w:pPr>
        <w:spacing w:after="0" w:line="17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Provisions for loan losses amounted to $32.2 million, $22.5 million and $1.1 million during the years ended December 31, 1997, 1996 and 1995,</w:t>
      </w:r>
    </w:p>
    <w:p>
      <w:pPr>
        <w:sectPr>
          <w:pgSz w:w="11900" w:h="16838" w:orient="portrait"/>
          <w:cols w:equalWidth="0" w:num="1">
            <w:col w:w="10239"/>
          </w:cols>
          <w:pgMar w:left="220" w:top="624" w:right="1440" w:bottom="0" w:gutter="0" w:footer="0" w:header="0"/>
        </w:sectPr>
      </w:pPr>
    </w:p>
    <w:bookmarkStart w:id="57" w:name="page58"/>
    <w:bookmarkEnd w:id="57"/>
    <w:p>
      <w:pPr>
        <w:jc w:val="both"/>
        <w:ind w:right="3239"/>
        <w:spacing w:after="0" w:line="255" w:lineRule="auto"/>
        <w:rPr>
          <w:sz w:val="20"/>
          <w:szCs w:val="20"/>
          <w:color w:val="auto"/>
        </w:rPr>
      </w:pPr>
      <w:r>
        <w:rPr>
          <w:rFonts w:ascii="Courier New" w:cs="Courier New" w:eastAsia="Courier New" w:hAnsi="Courier New"/>
          <w:sz w:val="14"/>
          <w:szCs w:val="14"/>
          <w:color w:val="auto"/>
        </w:rPr>
        <w:t>respectively. The increase in provisions for loan losses in 1997 was largely due to an $11.3 million increase in the provision for losses on the discount loan portfolio, which occurred primarily as a result of a $607.7 million or 90% increase in the average balance of the discount loan portfolio during 1997 as compared to 1996. The increase in provisions for losses in 1996 was primarily attributable to a change in methodology for valuing discount loans, which was adopted by the Company effective January 1, 1996. Pursuant to this change in methodology, the Company establishes provisions for losses on discount loans as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141" w:right="1440" w:bottom="1440" w:gutter="0" w:footer="0" w:header="0"/>
        </w:sectPr>
      </w:pPr>
    </w:p>
    <w:bookmarkStart w:id="58" w:name="page59"/>
    <w:bookmarkEnd w:id="58"/>
    <w:p>
      <w:pPr>
        <w:jc w:val="both"/>
        <w:ind w:right="4460"/>
        <w:spacing w:after="0" w:line="255" w:lineRule="auto"/>
        <w:rPr>
          <w:sz w:val="20"/>
          <w:szCs w:val="20"/>
          <w:color w:val="auto"/>
        </w:rPr>
      </w:pPr>
      <w:r>
        <w:rPr>
          <w:rFonts w:ascii="Courier New" w:cs="Courier New" w:eastAsia="Courier New" w:hAnsi="Courier New"/>
          <w:sz w:val="14"/>
          <w:szCs w:val="14"/>
          <w:color w:val="auto"/>
        </w:rPr>
        <w:t>necessary to maintain an allowance for losses at a level which management believes reflects the inherent losses which may have occurred but have not yet been specifically identified, and records all charge-offs on the discount loan portfolio, net of recoveries, against the allowance for losses on discount loans. Prior to 1996, provisions for losses on loans were not established in connection with the discount loan portfolio because adjustments to reduce the carrying value of discount loans to the lower of amortized cost or the fair market value of the properties securing the loans discounted at the effective interest rate, which amounted to $5.0 million in 1995, were recorded in interest income on discount loans. Provisions for losses on the discount loan portfolio amounted to $31.9 million and $20.6 million during 1997 and 1996, respectively, and net charge-offs on the discount loan portfolio amounted to $20.3 million and $9.2 million during the same respective years.</w:t>
      </w:r>
    </w:p>
    <w:p>
      <w:pPr>
        <w:spacing w:after="0" w:line="164"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Provisions for losses on the loan portfolio amounted to $325,000, $1.9 million and $1.1 million during the years ended December 31, 1997, 1996 and 1995, respectively. Net charge-offs on the loan portfolio amounted to $153,000, $296,000 and $245,000 during the years ended December 31, 1997, 1996 and 1995, respectively.</w:t>
      </w:r>
    </w:p>
    <w:p>
      <w:pPr>
        <w:spacing w:after="0" w:line="174" w:lineRule="exact"/>
        <w:rPr>
          <w:sz w:val="20"/>
          <w:szCs w:val="20"/>
          <w:color w:val="auto"/>
        </w:rPr>
      </w:pPr>
    </w:p>
    <w:p>
      <w:pPr>
        <w:jc w:val="both"/>
        <w:ind w:right="4460" w:firstLine="437"/>
        <w:spacing w:after="0" w:line="255" w:lineRule="auto"/>
        <w:rPr>
          <w:sz w:val="20"/>
          <w:szCs w:val="20"/>
          <w:color w:val="auto"/>
        </w:rPr>
      </w:pPr>
      <w:r>
        <w:rPr>
          <w:rFonts w:ascii="Courier New" w:cs="Courier New" w:eastAsia="Courier New" w:hAnsi="Courier New"/>
          <w:sz w:val="14"/>
          <w:szCs w:val="14"/>
          <w:color w:val="auto"/>
        </w:rPr>
        <w:t>Although management utilizes its best judgment in providing for possible loan losses, there can be no assurance that the Company will not increase its provisions for possible loan losses in subsequent periods. Changing economic and business conditions, fluctuations in local markets for real estate, future changes in nonperforming asset trends, material upward movements in market interest rates or other factors could affect the Company's future provisions for loan losses. In addition, the Office of Thrift Supervision ("OTS"), as an integral part of its examination process, periodically reviews the adequacy of the Company's allowance for losses on loans and discount loans and as a result, may require the Company to recognize changes to such allowances for losses based on its judgment about information available to it at the time of examination.</w:t>
      </w:r>
    </w:p>
    <w:p>
      <w:pPr>
        <w:spacing w:after="0" w:line="165"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NON-INTEREST INCOME. Non-interest income increased $86.6 million or 232% in 1997 as compared to 1996. Exclusive of the $5.4 million gain from the sale of branch offices in 1995, non-interest income increased by $11.5 million or 45% in 1996. The increase in non-interest income during 1997 was primarily attributable to gains from the sale of interest-earning assets and servicing fees and other charges. The increase in non-interest income during 1996 was primarily due to gains from the sale of interest-earning assets.</w:t>
      </w:r>
    </w:p>
    <w:p>
      <w:pPr>
        <w:spacing w:after="0" w:line="176" w:lineRule="exact"/>
        <w:rPr>
          <w:sz w:val="20"/>
          <w:szCs w:val="20"/>
          <w:color w:val="auto"/>
        </w:rPr>
      </w:pPr>
    </w:p>
    <w:p>
      <w:pPr>
        <w:jc w:val="both"/>
        <w:ind w:right="4460"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principal components of the Company's non-interest income during the years indicated.</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6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34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6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(Dollars in Thousands)</w:t>
            </w:r>
          </w:p>
        </w:tc>
      </w:tr>
      <w:tr>
        <w:trPr>
          <w:trHeight w:val="168"/>
        </w:trPr>
        <w:tc>
          <w:tcPr>
            <w:tcW w:w="56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Servicing fees and other charges..............................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25,881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4,682</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2,870</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Gains on sales of interest-earning assets, net................</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82,212</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21,682</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6,916</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Income on real estate owned, net..............................</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7,277</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3,827</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9,540</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8,498</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7,112</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6,385</w:t>
            </w:r>
          </w:p>
        </w:tc>
      </w:tr>
      <w:tr>
        <w:trPr>
          <w:trHeight w:val="168"/>
        </w:trPr>
        <w:tc>
          <w:tcPr>
            <w:tcW w:w="56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Subtotal....................................................</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123,868</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37,303</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25,711</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Gain from sale of branch offices..............................</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5,430</w:t>
            </w:r>
          </w:p>
        </w:tc>
      </w:tr>
      <w:tr>
        <w:trPr>
          <w:trHeight w:val="168"/>
        </w:trPr>
        <w:tc>
          <w:tcPr>
            <w:tcW w:w="56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Total.......................................................</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123,868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37,303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31,141</w:t>
            </w:r>
          </w:p>
        </w:tc>
      </w:tr>
      <w:tr>
        <w:trPr>
          <w:trHeight w:val="168"/>
        </w:trPr>
        <w:tc>
          <w:tcPr>
            <w:tcW w:w="560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4460" w:firstLine="437"/>
        <w:spacing w:after="0" w:line="256" w:lineRule="auto"/>
        <w:rPr>
          <w:sz w:val="20"/>
          <w:szCs w:val="20"/>
          <w:color w:val="auto"/>
        </w:rPr>
      </w:pPr>
      <w:r>
        <w:rPr>
          <w:rFonts w:ascii="Courier New" w:cs="Courier New" w:eastAsia="Courier New" w:hAnsi="Courier New"/>
          <w:sz w:val="14"/>
          <w:szCs w:val="14"/>
          <w:color w:val="auto"/>
        </w:rPr>
        <w:t>Servicing fees and other charges increased in 1997 and 1996 primarily as a result of increases in loan servicing and related fees as a result of the Company's increase in loans (primarily subprime and nonperforming) serviced for others. During 1997 and 1996, the average unpaid principal balance of loans serviced for others amounted to $3.11 billion and $887.9 million, respectively.</w:t>
      </w:r>
    </w:p>
    <w:p>
      <w:pPr>
        <w:spacing w:after="0" w:line="163" w:lineRule="exact"/>
        <w:rPr>
          <w:sz w:val="20"/>
          <w:szCs w:val="20"/>
          <w:color w:val="auto"/>
        </w:rPr>
      </w:pPr>
    </w:p>
    <w:p>
      <w:pPr>
        <w:ind w:right="4460"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Company's loans serviced for others at December 31, 1997 and 1996.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8"/>
              </w:rPr>
              <w:t>December 31, 1997</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Discount Loans</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Subprime Loans</w:t>
            </w:r>
          </w:p>
        </w:tc>
        <w:tc>
          <w:tcPr>
            <w:tcW w:w="260" w:type="dxa"/>
            <w:vAlign w:val="bottom"/>
          </w:tcPr>
          <w:p>
            <w:pPr>
              <w:spacing w:after="0"/>
              <w:rPr>
                <w:sz w:val="14"/>
                <w:szCs w:val="14"/>
                <w:color w:val="auto"/>
              </w:rPr>
            </w:pP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 Loans</w:t>
            </w:r>
          </w:p>
        </w:tc>
        <w:tc>
          <w:tcPr>
            <w:tcW w:w="17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80" w:type="dxa"/>
            <w:vAlign w:val="bottom"/>
            <w:gridSpan w:val="2"/>
          </w:tcPr>
          <w:p>
            <w:pPr>
              <w:ind w:left="3780"/>
              <w:spacing w:after="0"/>
              <w:rPr>
                <w:sz w:val="20"/>
                <w:szCs w:val="20"/>
                <w:color w:val="auto"/>
              </w:rPr>
            </w:pPr>
            <w:r>
              <w:rPr>
                <w:rFonts w:ascii="Courier New" w:cs="Courier New" w:eastAsia="Courier New" w:hAnsi="Courier New"/>
                <w:sz w:val="11"/>
                <w:szCs w:val="11"/>
                <w:color w:val="auto"/>
                <w:w w:val="70"/>
              </w:rPr>
              <w:t>-------------------</w:t>
            </w:r>
          </w:p>
        </w:tc>
        <w:tc>
          <w:tcPr>
            <w:tcW w:w="880" w:type="dxa"/>
            <w:vAlign w:val="bottom"/>
          </w:tcPr>
          <w:p>
            <w:pPr>
              <w:spacing w:after="0"/>
              <w:rPr>
                <w:sz w:val="14"/>
                <w:szCs w:val="14"/>
                <w:color w:val="auto"/>
              </w:rPr>
            </w:pPr>
          </w:p>
        </w:tc>
        <w:tc>
          <w:tcPr>
            <w:tcW w:w="2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 of</w:t>
            </w:r>
          </w:p>
        </w:tc>
        <w:tc>
          <w:tcPr>
            <w:tcW w:w="1060" w:type="dxa"/>
            <w:vAlign w:val="bottom"/>
          </w:tcPr>
          <w:p>
            <w:pPr>
              <w:spacing w:after="0"/>
              <w:rPr>
                <w:sz w:val="14"/>
                <w:szCs w:val="14"/>
                <w:color w:val="auto"/>
              </w:rPr>
            </w:pP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 of</w:t>
            </w:r>
          </w:p>
        </w:tc>
        <w:tc>
          <w:tcPr>
            <w:tcW w:w="108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No. of</w:t>
            </w:r>
          </w:p>
        </w:tc>
      </w:tr>
      <w:tr>
        <w:trPr>
          <w:trHeight w:val="168"/>
        </w:trPr>
        <w:tc>
          <w:tcPr>
            <w:tcW w:w="38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Amount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Loans</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60" w:type="dxa"/>
            <w:vAlign w:val="bottom"/>
            <w:gridSpan w:val="4"/>
          </w:tcPr>
          <w:p>
            <w:pPr>
              <w:jc w:val="right"/>
              <w:ind w:right="5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w w:val="96"/>
              </w:rPr>
              <w:t>Loans securitized and sold with recourse.. $</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624,591</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555,914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$1,180,505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16,124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serviced for third parties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1,682,764</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23,181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2,352,352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29,911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294,198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4,329,314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54,184</w:t>
            </w:r>
          </w:p>
        </w:tc>
      </w:tr>
      <w:tr>
        <w:trPr>
          <w:trHeight w:val="168"/>
        </w:trPr>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860" w:type="dxa"/>
            <w:vAlign w:val="bottom"/>
          </w:tcPr>
          <w:p>
            <w:pPr>
              <w:ind w:left="37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2,307,355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34,329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$2,908,266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294,198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$5,509,819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70,308</w:t>
            </w:r>
          </w:p>
        </w:tc>
      </w:tr>
      <w:tr>
        <w:trPr>
          <w:trHeight w:val="168"/>
        </w:trPr>
        <w:tc>
          <w:tcPr>
            <w:tcW w:w="55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8"/>
              </w:rPr>
              <w:t>December 31, 1996</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14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Discount Loans</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Subprime Loans</w:t>
            </w:r>
          </w:p>
        </w:tc>
        <w:tc>
          <w:tcPr>
            <w:tcW w:w="260" w:type="dxa"/>
            <w:vAlign w:val="bottom"/>
          </w:tcPr>
          <w:p>
            <w:pPr>
              <w:spacing w:after="0"/>
              <w:rPr>
                <w:sz w:val="14"/>
                <w:szCs w:val="14"/>
                <w:color w:val="auto"/>
              </w:rPr>
            </w:pP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Other Loans</w:t>
            </w:r>
          </w:p>
        </w:tc>
        <w:tc>
          <w:tcPr>
            <w:tcW w:w="17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80" w:type="dxa"/>
            <w:vAlign w:val="bottom"/>
            <w:gridSpan w:val="2"/>
          </w:tcPr>
          <w:p>
            <w:pPr>
              <w:ind w:left="3780"/>
              <w:spacing w:after="0"/>
              <w:rPr>
                <w:sz w:val="20"/>
                <w:szCs w:val="20"/>
                <w:color w:val="auto"/>
              </w:rPr>
            </w:pPr>
            <w:r>
              <w:rPr>
                <w:rFonts w:ascii="Courier New" w:cs="Courier New" w:eastAsia="Courier New" w:hAnsi="Courier New"/>
                <w:sz w:val="11"/>
                <w:szCs w:val="11"/>
                <w:color w:val="auto"/>
                <w:w w:val="70"/>
              </w:rPr>
              <w:t>-------------------</w:t>
            </w:r>
          </w:p>
        </w:tc>
        <w:tc>
          <w:tcPr>
            <w:tcW w:w="880" w:type="dxa"/>
            <w:vAlign w:val="bottom"/>
          </w:tcPr>
          <w:p>
            <w:pPr>
              <w:spacing w:after="0"/>
              <w:rPr>
                <w:sz w:val="14"/>
                <w:szCs w:val="14"/>
                <w:color w:val="auto"/>
              </w:rPr>
            </w:pPr>
          </w:p>
        </w:tc>
        <w:tc>
          <w:tcPr>
            <w:tcW w:w="2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 of</w:t>
            </w:r>
          </w:p>
        </w:tc>
        <w:tc>
          <w:tcPr>
            <w:tcW w:w="1060" w:type="dxa"/>
            <w:vAlign w:val="bottom"/>
          </w:tcPr>
          <w:p>
            <w:pPr>
              <w:spacing w:after="0"/>
              <w:rPr>
                <w:sz w:val="14"/>
                <w:szCs w:val="14"/>
                <w:color w:val="auto"/>
              </w:rPr>
            </w:pP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 of</w:t>
            </w:r>
          </w:p>
        </w:tc>
        <w:tc>
          <w:tcPr>
            <w:tcW w:w="108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No. of</w:t>
            </w:r>
          </w:p>
        </w:tc>
      </w:tr>
      <w:tr>
        <w:trPr>
          <w:trHeight w:val="168"/>
        </w:trPr>
        <w:tc>
          <w:tcPr>
            <w:tcW w:w="386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Amount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Loans</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460"/>
          </w:cols>
          <w:pgMar w:left="220" w:top="455" w:right="21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4"/>
          </w:tcPr>
          <w:p>
            <w:pPr>
              <w:jc w:val="right"/>
              <w:ind w:right="507"/>
              <w:spacing w:after="0"/>
              <w:rPr>
                <w:sz w:val="20"/>
                <w:szCs w:val="20"/>
                <w:color w:val="auto"/>
              </w:rPr>
            </w:pPr>
            <w:r>
              <w:rPr>
                <w:rFonts w:ascii="Courier New" w:cs="Courier New" w:eastAsia="Courier New" w:hAnsi="Courier New"/>
                <w:sz w:val="15"/>
                <w:szCs w:val="15"/>
                <w:color w:val="auto"/>
              </w:rPr>
              <w:t>(Dollars in Thousands)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Loans securitized and sold with recourse..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204,586</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202,766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407,352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serviced for third parties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1,209,535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22,511</w:t>
            </w:r>
          </w:p>
        </w:tc>
        <w:tc>
          <w:tcPr>
            <w:tcW w:w="220" w:type="dxa"/>
            <w:vAlign w:val="bottom"/>
          </w:tcPr>
          <w:p>
            <w:pPr>
              <w:spacing w:after="0"/>
              <w:rPr>
                <w:sz w:val="14"/>
                <w:szCs w:val="14"/>
                <w:color w:val="auto"/>
              </w:rPr>
            </w:pPr>
          </w:p>
        </w:tc>
        <w:tc>
          <w:tcPr>
            <w:tcW w:w="92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6,784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294,427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1,510,746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23,488</w:t>
            </w:r>
          </w:p>
        </w:tc>
      </w:tr>
      <w:tr>
        <w:trPr>
          <w:trHeight w:val="168"/>
        </w:trPr>
        <w:tc>
          <w:tcPr>
            <w:tcW w:w="4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1,414,121</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8"/>
              <w:spacing w:after="0" w:line="168" w:lineRule="exact"/>
              <w:rPr>
                <w:sz w:val="20"/>
                <w:szCs w:val="20"/>
                <w:color w:val="auto"/>
              </w:rPr>
            </w:pPr>
            <w:r>
              <w:rPr>
                <w:rFonts w:ascii="Courier New" w:cs="Courier New" w:eastAsia="Courier New" w:hAnsi="Courier New"/>
                <w:sz w:val="15"/>
                <w:szCs w:val="15"/>
                <w:color w:val="auto"/>
              </w:rPr>
              <w:t>209,550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294,427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$1,918,098</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30,163</w:t>
            </w:r>
          </w:p>
        </w:tc>
      </w:tr>
      <w:tr>
        <w:trPr>
          <w:trHeight w:val="168"/>
        </w:trPr>
        <w:tc>
          <w:tcPr>
            <w:tcW w:w="55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gridSpan w:val="2"/>
          </w:tcPr>
          <w:p>
            <w:pPr>
              <w:jc w:val="right"/>
              <w:ind w:right="6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505"/>
        </w:trPr>
        <w:tc>
          <w:tcPr>
            <w:tcW w:w="3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768"/>
              <w:spacing w:after="0"/>
              <w:rPr>
                <w:sz w:val="20"/>
                <w:szCs w:val="20"/>
                <w:color w:val="auto"/>
              </w:rPr>
            </w:pPr>
            <w:r>
              <w:rPr>
                <w:rFonts w:ascii="Courier New" w:cs="Courier New" w:eastAsia="Courier New" w:hAnsi="Courier New"/>
                <w:sz w:val="14"/>
                <w:szCs w:val="14"/>
                <w:color w:val="auto"/>
                <w:w w:val="70"/>
              </w:rPr>
              <w:t>8</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20" w:top="135" w:right="219" w:bottom="1440" w:gutter="0" w:footer="0" w:header="0"/>
        </w:sectPr>
      </w:pPr>
    </w:p>
    <w:bookmarkStart w:id="60" w:name="page61"/>
    <w:bookmarkEnd w:id="60"/>
    <w:p>
      <w:pPr>
        <w:jc w:val="both"/>
        <w:ind w:right="4200" w:firstLine="437"/>
        <w:spacing w:after="0" w:line="236" w:lineRule="auto"/>
        <w:rPr>
          <w:sz w:val="20"/>
          <w:szCs w:val="20"/>
          <w:color w:val="auto"/>
        </w:rPr>
      </w:pPr>
      <w:r>
        <w:rPr>
          <w:rFonts w:ascii="Courier New" w:cs="Courier New" w:eastAsia="Courier New" w:hAnsi="Courier New"/>
          <w:sz w:val="15"/>
          <w:szCs w:val="15"/>
          <w:color w:val="auto"/>
        </w:rPr>
        <w:t>Net gains on sales of interest-earning assets in 1997 were primarily comprised of $71.9 million of net gains recognized in connection with the securitization of single family subprime loans, single family discount loans and small commercial discount loans, as presented in the table below. Additionally, the Company recorded a $2.6 million gain on the sale of mortgage-related securities to OAIC, $2.7 million of gains from the sales of single family subprime loans and $3.5 million of gains from sales of certain large commercial loans in the Company's discount loan portfolio.</w:t>
      </w:r>
    </w:p>
    <w:p>
      <w:pPr>
        <w:spacing w:after="0" w:line="177" w:lineRule="exact"/>
        <w:rPr>
          <w:sz w:val="20"/>
          <w:szCs w:val="20"/>
          <w:color w:val="auto"/>
        </w:rPr>
      </w:pPr>
    </w:p>
    <w:p>
      <w:pPr>
        <w:jc w:val="both"/>
        <w:ind w:right="4200" w:firstLine="437"/>
        <w:spacing w:after="0" w:line="236" w:lineRule="auto"/>
        <w:rPr>
          <w:sz w:val="20"/>
          <w:szCs w:val="20"/>
          <w:color w:val="auto"/>
        </w:rPr>
      </w:pPr>
      <w:r>
        <w:rPr>
          <w:rFonts w:ascii="Courier New" w:cs="Courier New" w:eastAsia="Courier New" w:hAnsi="Courier New"/>
          <w:sz w:val="15"/>
          <w:szCs w:val="15"/>
          <w:color w:val="auto"/>
        </w:rPr>
        <w:t>Net gains on sales of interest-earning assets in 1996 were primarily comprised of a $5.4 million gain from the sale of 256 single family loans in the Company's discount loan portfolio which had been brought current in accordance with their terms, a $4.5 million gain from the sale of discount commercial real estate loans and, as presented in the table below, $15.2 million of net gains in connection with the securitization of single family subprime loans and large discount commercial real estate loans.</w:t>
      </w:r>
    </w:p>
    <w:p>
      <w:pPr>
        <w:spacing w:after="0" w:line="176" w:lineRule="exact"/>
        <w:rPr>
          <w:sz w:val="20"/>
          <w:szCs w:val="20"/>
          <w:color w:val="auto"/>
        </w:rPr>
      </w:pPr>
    </w:p>
    <w:p>
      <w:pPr>
        <w:jc w:val="both"/>
        <w:ind w:right="4200" w:firstLine="437"/>
        <w:spacing w:after="0" w:line="236" w:lineRule="auto"/>
        <w:rPr>
          <w:sz w:val="20"/>
          <w:szCs w:val="20"/>
          <w:color w:val="auto"/>
        </w:rPr>
      </w:pPr>
      <w:r>
        <w:rPr>
          <w:rFonts w:ascii="Courier New" w:cs="Courier New" w:eastAsia="Courier New" w:hAnsi="Courier New"/>
          <w:sz w:val="15"/>
          <w:szCs w:val="15"/>
          <w:color w:val="auto"/>
        </w:rPr>
        <w:t>Net gains on sales of interest-earning assets in 1995 were primarily comprised of a $6.0 million gain from the sale of loans in the Company's discount loan portfolio which had been brought current in accordance with their terms and, as presented in the table below, a $1.6 million gain in connection with the securitization of multi-family residential loans.</w:t>
      </w:r>
    </w:p>
    <w:p>
      <w:pPr>
        <w:spacing w:after="0" w:line="174" w:lineRule="exact"/>
        <w:rPr>
          <w:sz w:val="20"/>
          <w:szCs w:val="20"/>
          <w:color w:val="auto"/>
        </w:rPr>
      </w:pPr>
    </w:p>
    <w:p>
      <w:pPr>
        <w:jc w:val="both"/>
        <w:ind w:right="4200"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Company's net gains recognized in connection with the securitization of loans during 1997, 1996 and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Loans Securitized</w:t>
            </w: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Book Value of</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Type of Loans</w:t>
            </w:r>
          </w:p>
        </w:tc>
        <w:tc>
          <w:tcPr>
            <w:tcW w:w="3000" w:type="dxa"/>
            <w:vAlign w:val="bottom"/>
            <w:gridSpan w:val="2"/>
          </w:tcPr>
          <w:p>
            <w:pPr>
              <w:ind w:left="1660"/>
              <w:spacing w:after="0" w:line="168" w:lineRule="exact"/>
              <w:rPr>
                <w:sz w:val="20"/>
                <w:szCs w:val="20"/>
                <w:color w:val="auto"/>
              </w:rPr>
            </w:pPr>
            <w:r>
              <w:rPr>
                <w:rFonts w:ascii="Courier New" w:cs="Courier New" w:eastAsia="Courier New" w:hAnsi="Courier New"/>
                <w:sz w:val="15"/>
                <w:szCs w:val="15"/>
                <w:color w:val="auto"/>
              </w:rPr>
              <w:t>Principal</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No. of Loans</w:t>
            </w: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Securities Retained (1)</w:t>
            </w:r>
          </w:p>
        </w:tc>
        <w:tc>
          <w:tcPr>
            <w:tcW w:w="13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73"/>
              </w:rPr>
              <w:t>- --------------------------------------------</w:t>
            </w:r>
          </w:p>
        </w:tc>
        <w:tc>
          <w:tcPr>
            <w:tcW w:w="3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77"/>
              </w:rPr>
              <w:t>Single family discount......................</w:t>
            </w:r>
          </w:p>
        </w:tc>
        <w:tc>
          <w:tcPr>
            <w:tcW w:w="1920" w:type="dxa"/>
            <w:vAlign w:val="bottom"/>
          </w:tcPr>
          <w:p>
            <w:pPr>
              <w:ind w:left="16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1"/>
              </w:rPr>
              <w:t>418,795</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20,635</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51,137</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Single family subprime......................</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415,830</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3,640</w:t>
            </w:r>
          </w:p>
        </w:tc>
        <w:tc>
          <w:tcPr>
            <w:tcW w:w="92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25,334</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18,802</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Small commercial discount...................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62,733</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92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4,134</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080" w:type="dxa"/>
            <w:vAlign w:val="bottom"/>
          </w:tcPr>
          <w:p>
            <w:pPr>
              <w:spacing w:after="0"/>
              <w:rPr>
                <w:sz w:val="14"/>
                <w:szCs w:val="14"/>
                <w:color w:val="auto"/>
              </w:rPr>
            </w:pPr>
          </w:p>
        </w:tc>
        <w:tc>
          <w:tcPr>
            <w:tcW w:w="3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897,358</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10,237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50,103</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71,933</w:t>
            </w:r>
          </w:p>
        </w:tc>
      </w:tr>
      <w:tr>
        <w:trPr>
          <w:trHeight w:val="168"/>
        </w:trPr>
        <w:tc>
          <w:tcPr>
            <w:tcW w:w="3080" w:type="dxa"/>
            <w:vAlign w:val="bottom"/>
          </w:tcPr>
          <w:p>
            <w:pPr>
              <w:spacing w:after="0"/>
              <w:rPr>
                <w:sz w:val="14"/>
                <w:szCs w:val="14"/>
                <w:color w:val="auto"/>
              </w:rPr>
            </w:pPr>
          </w:p>
        </w:tc>
        <w:tc>
          <w:tcPr>
            <w:tcW w:w="3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Large commercial discount...................</w:t>
            </w: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164,417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8,384</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7,929</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Single family subprime......................</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211,204</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w:t>
            </w:r>
          </w:p>
        </w:tc>
        <w:tc>
          <w:tcPr>
            <w:tcW w:w="92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18,236</w:t>
            </w:r>
          </w:p>
        </w:tc>
        <w:tc>
          <w:tcPr>
            <w:tcW w:w="38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7,232</w:t>
            </w:r>
          </w:p>
        </w:tc>
      </w:tr>
      <w:tr>
        <w:trPr>
          <w:trHeight w:val="168"/>
        </w:trPr>
        <w:tc>
          <w:tcPr>
            <w:tcW w:w="3080" w:type="dxa"/>
            <w:vAlign w:val="bottom"/>
          </w:tcPr>
          <w:p>
            <w:pPr>
              <w:spacing w:after="0"/>
              <w:rPr>
                <w:sz w:val="14"/>
                <w:szCs w:val="14"/>
                <w:color w:val="auto"/>
              </w:rPr>
            </w:pPr>
          </w:p>
        </w:tc>
        <w:tc>
          <w:tcPr>
            <w:tcW w:w="3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375,621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26,620</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15,161</w:t>
            </w:r>
          </w:p>
        </w:tc>
      </w:tr>
      <w:tr>
        <w:trPr>
          <w:trHeight w:val="168"/>
        </w:trPr>
        <w:tc>
          <w:tcPr>
            <w:tcW w:w="3080" w:type="dxa"/>
            <w:vAlign w:val="bottom"/>
          </w:tcPr>
          <w:p>
            <w:pPr>
              <w:spacing w:after="0"/>
              <w:rPr>
                <w:sz w:val="14"/>
                <w:szCs w:val="14"/>
                <w:color w:val="auto"/>
              </w:rPr>
            </w:pPr>
          </w:p>
        </w:tc>
        <w:tc>
          <w:tcPr>
            <w:tcW w:w="3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Multi-family................................</w:t>
            </w:r>
          </w:p>
        </w:tc>
        <w:tc>
          <w:tcPr>
            <w:tcW w:w="192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83,875</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1,606</w:t>
            </w:r>
          </w:p>
        </w:tc>
      </w:tr>
      <w:tr>
        <w:trPr>
          <w:trHeight w:val="168"/>
        </w:trPr>
        <w:tc>
          <w:tcPr>
            <w:tcW w:w="3080" w:type="dxa"/>
            <w:vAlign w:val="bottom"/>
          </w:tcPr>
          <w:p>
            <w:pPr>
              <w:spacing w:after="0"/>
              <w:rPr>
                <w:sz w:val="14"/>
                <w:szCs w:val="14"/>
                <w:color w:val="auto"/>
              </w:rPr>
            </w:pPr>
          </w:p>
        </w:tc>
        <w:tc>
          <w:tcPr>
            <w:tcW w:w="30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4200"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subordinated and/or residual securities resulting from the Company's securitization activities, which had a carrying value of $78.5 million at December 31, 1997.</w:t>
      </w:r>
    </w:p>
    <w:p>
      <w:pPr>
        <w:spacing w:after="0" w:line="174" w:lineRule="exact"/>
        <w:rPr>
          <w:sz w:val="20"/>
          <w:szCs w:val="20"/>
          <w:color w:val="auto"/>
        </w:rPr>
      </w:pPr>
    </w:p>
    <w:p>
      <w:pPr>
        <w:jc w:val="both"/>
        <w:ind w:right="4200" w:firstLine="437"/>
        <w:spacing w:after="0" w:line="255" w:lineRule="auto"/>
        <w:rPr>
          <w:sz w:val="20"/>
          <w:szCs w:val="20"/>
          <w:color w:val="auto"/>
        </w:rPr>
      </w:pPr>
      <w:r>
        <w:rPr>
          <w:rFonts w:ascii="Courier New" w:cs="Courier New" w:eastAsia="Courier New" w:hAnsi="Courier New"/>
          <w:sz w:val="14"/>
          <w:szCs w:val="14"/>
          <w:color w:val="auto"/>
        </w:rPr>
        <w:t>Gains on sale of interest-earning assets (as well as other assets, such as real estate owned, as discussed below) generally are dependent on various factors which are not necessarily within the control of the Company, including market and economic conditions. As a result, there can be no assurance that the gains on sale of interest-earning assets (and other assets) reported by the Company in prior periods will be reported in future periods or that there will not be substantial inter-period variations in the results from such activities.</w:t>
      </w:r>
    </w:p>
    <w:p>
      <w:pPr>
        <w:spacing w:after="0" w:line="166" w:lineRule="exact"/>
        <w:rPr>
          <w:sz w:val="20"/>
          <w:szCs w:val="20"/>
          <w:color w:val="auto"/>
        </w:rPr>
      </w:pPr>
    </w:p>
    <w:p>
      <w:pPr>
        <w:jc w:val="both"/>
        <w:ind w:right="4200"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results of the Company's real estate owned (which does not include investments in real estate, as discussed below) during the years indicated, which were primarily related to the discount loan portfolio.</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280" w:type="dxa"/>
            <w:vAlign w:val="bottom"/>
          </w:tcPr>
          <w:p>
            <w:pPr>
              <w:spacing w:after="0"/>
              <w:rPr>
                <w:sz w:val="14"/>
                <w:szCs w:val="14"/>
                <w:color w:val="auto"/>
              </w:rPr>
            </w:pPr>
          </w:p>
        </w:tc>
        <w:tc>
          <w:tcPr>
            <w:tcW w:w="29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280" w:type="dxa"/>
            <w:vAlign w:val="bottom"/>
          </w:tcPr>
          <w:p>
            <w:pPr>
              <w:spacing w:after="0"/>
              <w:rPr>
                <w:sz w:val="14"/>
                <w:szCs w:val="14"/>
                <w:color w:val="auto"/>
              </w:rPr>
            </w:pPr>
          </w:p>
        </w:tc>
        <w:tc>
          <w:tcPr>
            <w:tcW w:w="9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w w:val="97"/>
              </w:rPr>
              <w:t>Gains on sales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30,651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$ 22,835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$ 19,006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Provision for losses in fair value...</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(13,450)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Rental income (carrying costs), net..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(9,924)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3280" w:type="dxa"/>
            <w:vAlign w:val="bottom"/>
          </w:tcPr>
          <w:p>
            <w:pPr>
              <w:spacing w:after="0"/>
              <w:rPr>
                <w:sz w:val="14"/>
                <w:szCs w:val="14"/>
                <w:color w:val="auto"/>
              </w:rPr>
            </w:pPr>
          </w:p>
        </w:tc>
        <w:tc>
          <w:tcPr>
            <w:tcW w:w="9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on real estate owned, net.....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7,277</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3,827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9,540</w:t>
            </w:r>
          </w:p>
        </w:tc>
      </w:tr>
      <w:tr>
        <w:trPr>
          <w:trHeight w:val="168"/>
        </w:trPr>
        <w:tc>
          <w:tcPr>
            <w:tcW w:w="3280" w:type="dxa"/>
            <w:vAlign w:val="bottom"/>
          </w:tcPr>
          <w:p>
            <w:pPr>
              <w:spacing w:after="0"/>
              <w:rPr>
                <w:sz w:val="14"/>
                <w:szCs w:val="14"/>
                <w:color w:val="auto"/>
              </w:rPr>
            </w:pPr>
          </w:p>
        </w:tc>
        <w:tc>
          <w:tcPr>
            <w:tcW w:w="9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4200" w:firstLine="437"/>
        <w:spacing w:after="0" w:line="234" w:lineRule="auto"/>
        <w:rPr>
          <w:sz w:val="20"/>
          <w:szCs w:val="20"/>
          <w:color w:val="auto"/>
        </w:rPr>
      </w:pPr>
      <w:r>
        <w:rPr>
          <w:rFonts w:ascii="Courier New" w:cs="Courier New" w:eastAsia="Courier New" w:hAnsi="Courier New"/>
          <w:sz w:val="15"/>
          <w:szCs w:val="15"/>
          <w:color w:val="auto"/>
        </w:rPr>
        <w:t>For additional information relating to the Company's real estate owned, see "Changes in Financial Condition - Real Estate Owned."</w:t>
      </w:r>
    </w:p>
    <w:p>
      <w:pPr>
        <w:spacing w:after="0" w:line="173" w:lineRule="exact"/>
        <w:rPr>
          <w:sz w:val="20"/>
          <w:szCs w:val="20"/>
          <w:color w:val="auto"/>
        </w:rPr>
      </w:pPr>
    </w:p>
    <w:p>
      <w:pPr>
        <w:jc w:val="both"/>
        <w:ind w:right="4200" w:firstLine="437"/>
        <w:spacing w:after="0" w:line="236" w:lineRule="auto"/>
        <w:rPr>
          <w:sz w:val="20"/>
          <w:szCs w:val="20"/>
          <w:color w:val="auto"/>
        </w:rPr>
      </w:pPr>
      <w:r>
        <w:rPr>
          <w:rFonts w:ascii="Courier New" w:cs="Courier New" w:eastAsia="Courier New" w:hAnsi="Courier New"/>
          <w:sz w:val="15"/>
          <w:szCs w:val="15"/>
          <w:color w:val="auto"/>
        </w:rPr>
        <w:t>Other income for 1997 and 1996 included gains in the amount of $6.3 million and $4.9 million, respectively, realized in connection with the sale of certain of the Company's investments in low-income housing tax credit projects. See "Changes in Financial Condition - Investments in Low-Income Housing Tax Credit Interests." Other income for 1995 includes a $4.7 million gain realized on the sale of one of the two hotels owned by the Company. A 69% partnership interest in the second hotel was sold in 1997 for a minimal gain. See "Changes in Financial Condition - Investment in Real Estate."</w:t>
      </w:r>
    </w:p>
    <w:p>
      <w:pPr>
        <w:sectPr>
          <w:pgSz w:w="11900" w:h="16838" w:orient="portrait"/>
          <w:cols w:equalWidth="0" w:num="1">
            <w:col w:w="11200"/>
          </w:cols>
          <w:pgMar w:left="220" w:top="624" w:right="479" w:bottom="0" w:gutter="0" w:footer="0" w:header="0"/>
        </w:sectPr>
      </w:pPr>
    </w:p>
    <w:bookmarkStart w:id="61" w:name="page62"/>
    <w:bookmarkEnd w:id="61"/>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realized a $5.4 million gain from the sale of two branch offices and $111.7 million of related deposits at the end of 1995 and a $62.6 million gain from the sale of twenty-three branch offices and $909.3 million of related deposits at the end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310" w:right="1440" w:bottom="1440" w:gutter="0" w:footer="0" w:header="0"/>
        </w:sectPr>
      </w:pPr>
    </w:p>
    <w:bookmarkStart w:id="62" w:name="page63"/>
    <w:bookmarkEnd w:id="62"/>
    <w:p>
      <w:pPr>
        <w:jc w:val="both"/>
        <w:ind w:right="3239"/>
        <w:spacing w:after="0" w:line="255" w:lineRule="auto"/>
        <w:rPr>
          <w:sz w:val="20"/>
          <w:szCs w:val="20"/>
          <w:color w:val="auto"/>
        </w:rPr>
      </w:pPr>
      <w:r>
        <w:rPr>
          <w:rFonts w:ascii="Courier New" w:cs="Courier New" w:eastAsia="Courier New" w:hAnsi="Courier New"/>
          <w:sz w:val="14"/>
          <w:szCs w:val="14"/>
          <w:color w:val="auto"/>
        </w:rPr>
        <w:t>1994. The Company sold these branch offices and the related deposit liabilities because of the premiums which could be obtained for such deposits under existing market and economic conditions and because the Company believed that it could replace these deposits with other sources of funds, such as brokered and other wholesale deposits, FHLB advances and reverse repurchase agreements, which management generally believes have an effective cost to the Company which is more attractive than the deposits obtained from branch offices after the general and administrative expense associated with such offices is taken into account.</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NON-INTEREST EXPENSE. Non-interest expense increased $57.2 million or 82% during 1997 and $24.0 million or 53% during 1996. The increase in non-interest expense in 1997 was primarily attributable to an increase of 474 in the average number of employees which resulted in a $38.5 million or 99% increase in compensation and employee benefits, an $8.7 million or 98% increase in occupancy and equipment expense and an $11.8 million or 79% increase in other operating expenses. The increase in non-interest expense in 1996 was primarily related to a $14.2 million or 57% increase in employee compensation and benefits and the SAIF assessment of $7.1 million.</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principal components of the Company's non-interest expense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8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240" w:type="dxa"/>
            <w:vAlign w:val="bottom"/>
          </w:tcPr>
          <w:p>
            <w:pPr>
              <w:spacing w:after="0"/>
              <w:rPr>
                <w:sz w:val="14"/>
                <w:szCs w:val="14"/>
                <w:color w:val="auto"/>
              </w:rPr>
            </w:pPr>
          </w:p>
        </w:tc>
        <w:tc>
          <w:tcPr>
            <w:tcW w:w="2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rPr>
                <w:sz w:val="14"/>
                <w:szCs w:val="14"/>
                <w:color w:val="auto"/>
              </w:rPr>
            </w:pP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2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rPr>
                <w:sz w:val="14"/>
                <w:szCs w:val="14"/>
                <w:color w:val="auto"/>
              </w:rPr>
            </w:pPr>
          </w:p>
        </w:tc>
        <w:tc>
          <w:tcPr>
            <w:tcW w:w="286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2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Compensation and employee benefits ............</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$ 77,573</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$ 39,043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$ 24,797</w:t>
            </w: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Occupancy and equipment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17,657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8,360</w:t>
            </w:r>
          </w:p>
        </w:tc>
      </w:tr>
      <w:tr>
        <w:trPr>
          <w:trHeight w:val="168"/>
        </w:trPr>
        <w:tc>
          <w:tcPr>
            <w:tcW w:w="42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7"/>
              </w:rPr>
              <w:t>Net operating loss (income) on investment</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 real estate and certain low-income housing</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 credit interests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4,792</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w:t>
            </w: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SAIF assessment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operating expenses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26,771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12,079</w:t>
            </w:r>
          </w:p>
        </w:tc>
      </w:tr>
      <w:tr>
        <w:trPr>
          <w:trHeight w:val="168"/>
        </w:trPr>
        <w:tc>
          <w:tcPr>
            <w:tcW w:w="42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$126,793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$ 69,606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$ 45,573</w:t>
            </w:r>
          </w:p>
        </w:tc>
      </w:tr>
      <w:tr>
        <w:trPr>
          <w:trHeight w:val="168"/>
        </w:trPr>
        <w:tc>
          <w:tcPr>
            <w:tcW w:w="424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increases in compensation and employee benefits in 1997 and 1996 reflect an increase in the average number of employees from 344 during 1995 to 398 during 1996 to 872 during 1997. In addition, profit sharing expense increased by $8.6 million and $8.4 million during 1997 and 1996, respectively.</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 in occupancy and equipment expense of $8.7 million in 1997 was primarily related to a $3.4 million increase in general office and equipment expenses, a $3.1 million increase in data processing costs and a $1.3 million increase in rent expense, all largely attributable to the increase in leased loan and production office space and to the increase in the number of full-time employees discussed above.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Other operating expenses increased by $11.8 million in 1997, primarily as a result of a $2.9 million increase in loan related expenses (primarily as a result of the Company's increased investment in loans), a $2.6 million increase in professional fees, a $1.4 million increase in due diligence costs, a $1.4 million reserve established on a receivable and $1.1 million of certain other one-time charges offset in part by a $1.5 million decline in FDIC insurance premiums (primarily due to a reduction in assessment rates as a result of the recapitalization of the SAIF in 1996). See Note 25 to the Consolidated Financial Statements for a disclosure of the components of other operating expenses.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DISTRIBUTIONS ON COMPANY-OBLIGATED, MANDATORILY REDEEMABLE SECURITIES OF SUBSIDIARY TRUST HOLDING SOLELY JUNIOR SUBORDINATED DEBENTURES OF THE COMPANY. In August 1997, Ocwen Capital Trust I ("OCT"), a wholly-owned subsidiary of the Company, issued $125.0 million of 10 7/8% Capital Securities. Cash distributions on the Capital Securities accrue from the date of original issuance and are payable semi-annually in arrears on February 1 and August 1 of each year, commencing on February 1, 1998, at an annual rate of 10 7/8% of the liquidation amount of $1,000 per Capital Security. Through December 31, 1997, the Company has accrued $5.2 million of distributions payable to holders of the Capital Securities. See Note 18 to the Consolidated Financial Statements and "Changes in Financial Condition - Company-Obligated, Mandatorily Redeemable Securities of Subsidiary Trust Holding Solely Junior Subordinated Debentures of the Company."</w:t>
      </w:r>
    </w:p>
    <w:p>
      <w:pPr>
        <w:spacing w:after="0" w:line="16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EQUITY IN EARNINGS OF INVESTMENT IN JOINT VENTURE. Equity in earnings of investment in joint venture relates to the LLC. The Company's $23.7 million of earnings from the LLC during 1997 consisted of 50% of the net income of the LLC before deduction of the Company's 50% share of loan servicing fees, which are paid 100% to the Company, and the recapture of $5.1 million of valuation allowances established in 1996 by the Company on its equity investment in the LLC as a result of the resolution and securitization of loans. The Company's 50% pro rata share of the LLC's income during 1997 consisted primarily of $4.5 million of interest income on discount loans and $14.0 million of gains on the sale of discount loans, including the securitizations of HUD loans in March and December of 1997. All of the assets of the LLC were distributed at the end of 1997.</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Company's equity in earnings of LLC amounted to $38.3 million in 1996 and included 50% of the net income of the LLC before deduction of the Company's 50% share of loan servicing fees, which are paid 100% to the Company, 50% of the gain on sale of loan servicing rights which the Company acquired from the LLC, $7.6 million in provision for losses on the equity investment in the LLC and a $460,000 gain on sale of future contracts used to hedge the loans securitized.</w:t>
      </w:r>
    </w:p>
    <w:p>
      <w:pPr>
        <w:sectPr>
          <w:pgSz w:w="11900" w:h="16838" w:orient="portrait"/>
          <w:cols w:equalWidth="0" w:num="1">
            <w:col w:w="10239"/>
          </w:cols>
          <w:pgMar w:left="220" w:top="455" w:right="1440" w:bottom="0" w:gutter="0" w:footer="0" w:header="0"/>
        </w:sectPr>
      </w:pPr>
    </w:p>
    <w:bookmarkStart w:id="63" w:name="page64"/>
    <w:bookmarkEnd w:id="63"/>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50% pro rata share of the LLC's income in 1996 consisted primarily of $10.1 million of net interest income on discount loans and $35.6 million of gains on sales of discount loans. The Company has recognized 50% of the loan servicing fees not eliminated in consolidation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141" w:right="1440" w:bottom="1440" w:gutter="0" w:footer="0" w:header="0"/>
        </w:sectPr>
      </w:pPr>
    </w:p>
    <w:bookmarkStart w:id="64" w:name="page65"/>
    <w:bookmarkEnd w:id="64"/>
    <w:p>
      <w:pPr>
        <w:jc w:val="both"/>
        <w:ind w:right="3239"/>
        <w:spacing w:after="0" w:line="235" w:lineRule="auto"/>
        <w:rPr>
          <w:sz w:val="20"/>
          <w:szCs w:val="20"/>
          <w:color w:val="auto"/>
        </w:rPr>
      </w:pPr>
      <w:r>
        <w:rPr>
          <w:rFonts w:ascii="Courier New" w:cs="Courier New" w:eastAsia="Courier New" w:hAnsi="Courier New"/>
          <w:sz w:val="15"/>
          <w:szCs w:val="15"/>
          <w:color w:val="auto"/>
        </w:rPr>
        <w:t>servicing fees and other charges. See "Changes in Financial Condition - Investment in Joint Ventures" and Note 2 to the Consolidated Financial Statements.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INCOME TAX EXPENSE. Income tax expense on the Company's income from continuing operations amounted to $21.3 million, $11.2 million and $4.6 million during 1997, 1996 and 1995, respectively. The Company's effective tax rate amounted to 21.4%, 18.2% and 12.1% during 1997, 1996 and 1995, respectively. The Company's low effective tax rates in 1997, 1996 and 1995 were primarily attributable to the tax credits resulting from the Company's investment in low-income housing tax credit interests, which amounted to $14.9 million, $9.3 million and $7.7 million during 1997, 1996 and 1995, respectively. Exclusive of the above amounts, the Company's effective tax rate amounted to 36.4%, 33.4% and 32.6% during 1997, 1996 and 1995, respectively. See "Changes in Financial Condition - Investments in Low Income Housing Tax Credit Interests."</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DISCONTINUED OPERATIONS. In September 1995, the Company announced its decision to dispose of its automated banking division, which generally emphasized the installation of automated teller machines and automated banking centers in a wide variety of locations which were not associated with branch offices of the Company, as well as the development and installation of an automated multi-application card system for the distribution of financial products and services to members of a college or university population. As a result of this decision, an after-tax loss on disposal of $3.2 million was recorded, which consisted of a net loss of $2.0 million on the sale of assets and a loss of $1.2 million incurred from related operations until the sale and disposition, which was substantially completed at December 31, 1995. Losses from the operations of the discontinued division prior to discontinuance, net of tax, amounted to $4.5 million during 1995. See Note 3 to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CHANGES IN FINANCIAL CONDITION</w:t>
      </w:r>
    </w:p>
    <w:p>
      <w:pPr>
        <w:spacing w:after="0" w:line="173" w:lineRule="exact"/>
        <w:rPr>
          <w:sz w:val="20"/>
          <w:szCs w:val="20"/>
          <w:color w:val="auto"/>
        </w:rPr>
      </w:pPr>
    </w:p>
    <w:p>
      <w:pPr>
        <w:ind w:right="3680"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certain of the Company's assets and liabilities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c>
          <w:tcPr>
            <w:tcW w:w="2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 (Decrease)</w:t>
            </w:r>
          </w:p>
        </w:tc>
      </w:tr>
      <w:tr>
        <w:trPr>
          <w:trHeight w:val="168"/>
        </w:trPr>
        <w:tc>
          <w:tcPr>
            <w:tcW w:w="45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2"/>
              </w:rPr>
              <w:t>-------------------------------</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Dollars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45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22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held for trading....................</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75,606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(75,606)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available for sale..................</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430,524</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354,005</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76,519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Loans available for sale.......................</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177,041</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126,366</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50,675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Loan portfolio, net............................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266,299</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402,582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(136,283)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Discount loan portfolio, net...................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1,434,176</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1,060,953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373,223</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 low-income housing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credit interests.........................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128,614</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93,309</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35,305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Investment in joint ventures...................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1,056</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67,909</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(66,853)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Real estate owned, net.........................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167,265</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103,704</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63,561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Investment in real estate......................</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65,972</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41,033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24,939</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Deferred tax asset.............................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45,148</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5,860</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39,288</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3,069,165</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2,483,685</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585,480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Deposits.......................................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1,982,822</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1,919,742</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63,080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 agreements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repurchase................................</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108,250</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74,546</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33,704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Notes, debentures and other....................</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226,975</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225,573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1,402</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Obligations outstanding under lines of credit..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118,304</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118,304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Capital securities.............................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125,000</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125,000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 liabilities..............................</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2,523,430</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2,280,089</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243,341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419,692</w:t>
            </w:r>
          </w:p>
        </w:tc>
        <w:tc>
          <w:tcPr>
            <w:tcW w:w="56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203,596</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216,096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w:t>
            </w:r>
          </w:p>
        </w:tc>
      </w:tr>
    </w:tbl>
    <w:p>
      <w:pPr>
        <w:spacing w:after="0" w:line="200" w:lineRule="exact"/>
        <w:rPr>
          <w:sz w:val="20"/>
          <w:szCs w:val="20"/>
          <w:color w:val="auto"/>
        </w:rPr>
      </w:pPr>
    </w:p>
    <w:p>
      <w:pPr>
        <w:spacing w:after="0" w:line="309" w:lineRule="exact"/>
        <w:rPr>
          <w:sz w:val="20"/>
          <w:szCs w:val="20"/>
          <w:color w:val="auto"/>
        </w:rPr>
      </w:pPr>
    </w:p>
    <w:p>
      <w:pPr>
        <w:jc w:val="both"/>
        <w:ind w:right="3680" w:firstLine="437"/>
        <w:spacing w:after="0" w:line="236" w:lineRule="auto"/>
        <w:rPr>
          <w:sz w:val="20"/>
          <w:szCs w:val="20"/>
          <w:color w:val="auto"/>
        </w:rPr>
      </w:pPr>
      <w:r>
        <w:rPr>
          <w:rFonts w:ascii="Courier New" w:cs="Courier New" w:eastAsia="Courier New" w:hAnsi="Courier New"/>
          <w:sz w:val="15"/>
          <w:szCs w:val="15"/>
          <w:color w:val="auto"/>
        </w:rPr>
        <w:t>SECURITIES HELD FOR TRADING. The Company held $75.6 million in single family collateralized mortgage obligations ("CMO") for trading at December 31, 1996. This security, which was sold in January 1997, was acquired from the LLC in connection with the LLC's securitization of a portion of the HUD Loans. See "Investment in Joint Ventures" and Note 2 to the Consolidated Financial Statements.</w:t>
      </w:r>
    </w:p>
    <w:p>
      <w:pPr>
        <w:spacing w:after="0" w:line="175" w:lineRule="exact"/>
        <w:rPr>
          <w:sz w:val="20"/>
          <w:szCs w:val="20"/>
          <w:color w:val="auto"/>
        </w:rPr>
      </w:pPr>
    </w:p>
    <w:p>
      <w:pPr>
        <w:jc w:val="both"/>
        <w:ind w:right="3680" w:firstLine="437"/>
        <w:spacing w:after="0" w:line="255" w:lineRule="auto"/>
        <w:rPr>
          <w:sz w:val="20"/>
          <w:szCs w:val="20"/>
          <w:color w:val="auto"/>
        </w:rPr>
      </w:pPr>
      <w:r>
        <w:rPr>
          <w:rFonts w:ascii="Courier New" w:cs="Courier New" w:eastAsia="Courier New" w:hAnsi="Courier New"/>
          <w:sz w:val="14"/>
          <w:szCs w:val="14"/>
          <w:color w:val="auto"/>
        </w:rPr>
        <w:t>SECURITIES AVAILABLE FOR SALE. Securities available for sale increased by $76.5 million or 22% during 1997 primarily as a result of the purchase of $196.2 million of interest only securities ("IO"), $175.4 million of CMOs and the acquisition of $50.1 million of subordinate securities. All of the subordinate securities were acquired in connection with the Company's securitization of loans. These acquisitions were offset in part by the repayment of $43.2 million of CMOs, the sale of $122.0 million, $44.2 million and $37.2 million of IOs, CMOs and multi-family subordinates, respectively, $59.2 million of net premium amortization on IOs and a $25.0 million increase in net unrealized losses. See Note 6 to the Consolidated Financial Statements.</w:t>
      </w:r>
    </w:p>
    <w:p>
      <w:pPr>
        <w:spacing w:after="0" w:line="165" w:lineRule="exact"/>
        <w:rPr>
          <w:sz w:val="20"/>
          <w:szCs w:val="20"/>
          <w:color w:val="auto"/>
        </w:rPr>
      </w:pPr>
    </w:p>
    <w:p>
      <w:pPr>
        <w:jc w:val="both"/>
        <w:ind w:right="3680" w:firstLine="437"/>
        <w:spacing w:after="0" w:line="255" w:lineRule="auto"/>
        <w:rPr>
          <w:sz w:val="20"/>
          <w:szCs w:val="20"/>
          <w:color w:val="auto"/>
        </w:rPr>
      </w:pPr>
      <w:r>
        <w:rPr>
          <w:rFonts w:ascii="Courier New" w:cs="Courier New" w:eastAsia="Courier New" w:hAnsi="Courier New"/>
          <w:sz w:val="14"/>
          <w:szCs w:val="14"/>
          <w:color w:val="auto"/>
        </w:rPr>
        <w:t>LOANS AVAILABLE FOR SALE. Loans available for sale, which are comprised primarily of subprime single family residential loans, increased by $50.7 million or 40% during 1997. The increase in 1997 occurred primarily as a result of purchases and originations of $594.2 million of single family residential loans, offset in part by sales of $501.1 million and principal repayments of $22.2 million of such loans. Of the single family loans sold during 1997, $415.8 million were due to the Company's securitization of such loans.</w:t>
      </w:r>
    </w:p>
    <w:p>
      <w:pPr>
        <w:spacing w:after="0" w:line="166" w:lineRule="exact"/>
        <w:rPr>
          <w:sz w:val="20"/>
          <w:szCs w:val="20"/>
          <w:color w:val="auto"/>
        </w:rPr>
      </w:pPr>
    </w:p>
    <w:p>
      <w:pPr>
        <w:jc w:val="both"/>
        <w:ind w:right="3680" w:firstLine="437"/>
        <w:spacing w:after="0" w:line="255" w:lineRule="auto"/>
        <w:rPr>
          <w:sz w:val="20"/>
          <w:szCs w:val="20"/>
          <w:color w:val="auto"/>
        </w:rPr>
      </w:pPr>
      <w:r>
        <w:rPr>
          <w:rFonts w:ascii="Courier New" w:cs="Courier New" w:eastAsia="Courier New" w:hAnsi="Courier New"/>
          <w:sz w:val="14"/>
          <w:szCs w:val="14"/>
          <w:color w:val="auto"/>
        </w:rPr>
        <w:t>At December 31, 1997, nonperforming loans available for sale amounted to $13.5 million or 7.6% of total loans available for sale, as compared to $14.4 million or 11.4% at December 31, 1996. Nonperforming loans available for sale consist primarily of subprime single family residential loans, reflecting the higher risks associated with such loans. During 1997 and 1996, respectively, the Company recorded a $2.1 million and $1.6 million reduction in the carrying value of these loans to record them at the lower of cost or fair market value.</w:t>
      </w:r>
    </w:p>
    <w:p>
      <w:pPr>
        <w:spacing w:after="0" w:line="166" w:lineRule="exact"/>
        <w:rPr>
          <w:sz w:val="20"/>
          <w:szCs w:val="20"/>
          <w:color w:val="auto"/>
        </w:rPr>
      </w:pPr>
    </w:p>
    <w:p>
      <w:pPr>
        <w:jc w:val="both"/>
        <w:ind w:right="3680" w:firstLine="437"/>
        <w:spacing w:after="0" w:line="255" w:lineRule="auto"/>
        <w:rPr>
          <w:sz w:val="20"/>
          <w:szCs w:val="20"/>
          <w:color w:val="auto"/>
        </w:rPr>
      </w:pPr>
      <w:r>
        <w:rPr>
          <w:rFonts w:ascii="Courier New" w:cs="Courier New" w:eastAsia="Courier New" w:hAnsi="Courier New"/>
          <w:sz w:val="14"/>
          <w:szCs w:val="14"/>
          <w:color w:val="auto"/>
        </w:rPr>
        <w:t>LOAN PORTFOLIO, NET. The Company's net loan portfolio decreased by $136.3 million or 34% during 1997 primarily as a result of significant payoffs of commercial real estate loans secured by hotel and office buildings. From December 31, 1996 to December 31, 1997, commercial real estate and land loans decreased by $180.0 million, including a $110.9 million and a $60.0 million decrease in loans secured by hotels and office buildings, respectively.</w:t>
      </w:r>
    </w:p>
    <w:p>
      <w:pPr>
        <w:spacing w:after="0" w:line="166" w:lineRule="exact"/>
        <w:rPr>
          <w:sz w:val="20"/>
          <w:szCs w:val="20"/>
          <w:color w:val="auto"/>
        </w:rPr>
      </w:pPr>
    </w:p>
    <w:p>
      <w:pPr>
        <w:jc w:val="both"/>
        <w:ind w:right="3680" w:firstLine="437"/>
        <w:spacing w:after="0" w:line="236" w:lineRule="auto"/>
        <w:rPr>
          <w:sz w:val="20"/>
          <w:szCs w:val="20"/>
          <w:color w:val="auto"/>
        </w:rPr>
      </w:pPr>
      <w:r>
        <w:rPr>
          <w:rFonts w:ascii="Courier New" w:cs="Courier New" w:eastAsia="Courier New" w:hAnsi="Courier New"/>
          <w:sz w:val="15"/>
          <w:szCs w:val="15"/>
          <w:color w:val="auto"/>
        </w:rPr>
        <w:t>Nonperforming loans amounted to $9.2 million or 3.4% of total loans at December 31, 1997, as compared to $2.3 million or 0.6% of total loans at December 31, 1996. At December 31, 1997, nonperforming loans consisted primarily of $7.6 million of multi-family residential loans. The Company's allowance for loan losses amounted to 40.4% and 154.2% of nonperforming loans at December 31, 1997 and 1996, respectively. See Note 8 to the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680"/>
          </w:cols>
          <w:pgMar w:left="220" w:top="785" w:right="999" w:bottom="685" w:gutter="0" w:footer="0" w:header="0"/>
        </w:sectPr>
      </w:pPr>
    </w:p>
    <w:bookmarkStart w:id="66" w:name="page67"/>
    <w:bookmarkEnd w:id="66"/>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DISCOUNT LOAN PORTFOLIO, NET. The discount loan portfolio increased $373.2 million or 35% during 1997. During 1997, discount loan acquisitions having an unpaid principal balance of $1.78 billion, which included $771.6 million of single family residential loans acquired from HUD, more than offset $484.9 million of resolutions and repayments, $292.4 million of transfers to real estate owned and $518.9 million of sales. Of the discount loans sold during 1997, $416.5 million were due to the Company's securitization of performing discount loans. See Note 9 to the Consolidated Financial Statements.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 December 31, 1997, discount loans which were performing in accordance with original or modified terms amounted to $1.01 billion or 56.4% of the gross discount loan portfolio, as compared to $579.6 million or 44.1% at December 31, 1996. The Company's allowance for losses on its discount loan portfolio amounted to $23.5 million or 1.6% at December 31, 1997, as compared to $11.5 million or 1.1% at December 31, 1996. The Company did not maintain an allowance for losses on its discount loan portfolio prior to 1996.</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INVESTMENTS IN LOW-INCOME HOUSING TAX CREDIT INTERESTS. In 1993, the Company commenced a program to invest in multi-family residential projects which have been allocated low-income housing tax credits under Section 42 of the Internal Revenue Code by a state tax credit allocating agency. At December 31, 1997, the Company had $128.6 million of investments in low-income housing tax credit interests, as compared to $93.3 million at December 31, 1996.</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Investments by the Company in low-income housing tax credit interests made on or after May 18, 1995 in which the Company invests solely as a limited partner, which amounted to $47.2 million at December 31, 1997, are accounted for using the equity method in accordance with the consensus of the Emerging Issues Task Force through Issue Number 94-1. Limited partnership investments made prior to May 18, 1995, which amounted to $31.4 million at December 31, 1997, are accounted for under the effective yield method as a reduction of income tax expense. Low-income housing tax credit partnerships in which the Company invests as both a limited and, through a subsidiary, a general partner, amounted to $50.0 million at December 31, 1997 and are presented on a consolidated basis. See Note 13 to the Consolidated Financial Statements.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INVESTMENT IN JOINT VENTURES. From time to time the Company and a co-investor acquire discount loans by means of a co-owned joint venture. At December 31, 1997, the Company's $1.1 million investment in joint venture, net consisted of a 10% interest in BCFL, a limited liability company which was formed by the Company and BlackRock in January 1997 to acquire discount multi-family residential loans from HUD. In December 1997, the LLC distributed its assets to the Company and its other 50% investor, BlackRock. Simultaneous with the distribution, the Company acquired BlackRock's portion of the distributed assets. See Note 2 to the Consolidated Financial Statements.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REAL ESTATE OWNED, NET. Real estate owned, net, consists almost entirely of properties acquired by foreclosure or deed-in-lieu thereof on loans in the Company's discount loan portfolio. Such properties amounted to $164.5 million or 98.3% of total real estate owned at December 31, 1997 and consisted of $76.4 million, $16.7 million and $71.3 million of properties attributable to single family residential loans, multi-family residential loans and commercial real estate loans, respectively. Real estate owned increased by $63.6 million or 61% during 1997 as a result of increases in single family and multi-family real estate owned attributable to the discount loan portfolio.</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actively manages its real estate owned. During 1997, the Company sold 1,521 properties with a carrying value of $179.7 million as compared to the sale of 1,175 properties with a carrying value of $160.6 million during 1996 and 1,229 properties with a carrying value of $139.2 million during 1995. These sales resulted in gains, net of the provision for loss, of $17.2 million, $4.5 million and $8.5 million during 1997, 1996 and 1995, respectively, which are included in determining the Company's income (loss) on real estate owned. See Note 10 to the Consolidated Financial Statements.</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INVESTMENT IN REAL ESTATE. In conjunction with its multi-family residential and commercial real estate lending business activities, the Company has made certain acquisition, development and construction loans in which the Company participates in the expected residual profits of the underlying real estate and the borrower has not made an equity contribution substantial to the overall project. As such, the Company accounts for these loans under the equity method of accounting as though it has made an investment in a real estate limited partnership. The Company's investment in such loans amounted to $62.0 million at December 31, 1997, as compared to $24.9 million at December 31, 1996.</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also has invested, indirectly, in The Westin Hotel (the "Westin") located in Columbus, Ohio. The Company's investment in such property decreased to $1.4 million at December 31, 1997 from $16.1 million at December 31, 1996 primarily as a result of the Company's sale of a 69% partnership interest in the Westin on July 15, 1997 for a minimal gain.</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DEFERRED TAX ASSET. At December 31, 1997, the deferred tax asset, net of deferred tax liabilities, amounted to $45.1 million, an increase of $39.2 million from the $5.9 million deferred tax asset at December 31, 1996. At December 31, 1997, the gross deferred tax asset amounted to $49.5 million and consisted primarily of $3.5 million related to tax residuals, $5.6 million of gains on loan foreclosures, $3.2 million mark-to-market and reserves on real estate owned properties, $9.8 million of loan loss reserves, $4.0 million of reserves on securities available for sale, $2.0 million of contingency reserves, $3.2 million of accrued profit sharing expense, $7.7 million of deferred interest expense on the discount loan portfolio and $6.7 million mark-to-market on securities available for sale. The gross deferred tax liability amounted to $4.4 million and consisted primarily of $2.3 million of deferred interest income on the discount loan portfolio. At December 31, 1996, the gross tax asset amounted to $15.1 million, and consisted primarily of $3.7 million related to</w:t>
      </w:r>
    </w:p>
    <w:p>
      <w:pPr>
        <w:sectPr>
          <w:pgSz w:w="11900" w:h="16838" w:orient="portrait"/>
          <w:cols w:equalWidth="0" w:num="1">
            <w:col w:w="10239"/>
          </w:cols>
          <w:pgMar w:left="220" w:top="624" w:right="1440" w:bottom="0" w:gutter="0" w:footer="0" w:header="0"/>
        </w:sectPr>
      </w:pPr>
    </w:p>
    <w:bookmarkStart w:id="67" w:name="page68"/>
    <w:bookmarkEnd w:id="67"/>
    <w:p>
      <w:pPr>
        <w:jc w:val="both"/>
        <w:ind w:right="3239"/>
        <w:spacing w:after="0" w:line="235" w:lineRule="auto"/>
        <w:rPr>
          <w:sz w:val="20"/>
          <w:szCs w:val="20"/>
          <w:color w:val="auto"/>
        </w:rPr>
      </w:pPr>
      <w:r>
        <w:rPr>
          <w:rFonts w:ascii="Courier New" w:cs="Courier New" w:eastAsia="Courier New" w:hAnsi="Courier New"/>
          <w:sz w:val="15"/>
          <w:szCs w:val="15"/>
          <w:color w:val="auto"/>
        </w:rPr>
        <w:t>tax residuals, $3.5 million of mark-to-market and reserves on real estate owned and $3.9 million of deferred interest expense on the discount loan portfolio and the gross deferred tax liability amounted to $9.2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41" w:right="1440" w:bottom="1440" w:gutter="0" w:footer="0" w:header="0"/>
        </w:sectPr>
      </w:pPr>
    </w:p>
    <w:bookmarkStart w:id="68" w:name="page69"/>
    <w:bookmarkEnd w:id="68"/>
    <w:p>
      <w:pPr>
        <w:jc w:val="both"/>
        <w:ind w:right="3239"/>
        <w:spacing w:after="0" w:line="235" w:lineRule="auto"/>
        <w:rPr>
          <w:sz w:val="20"/>
          <w:szCs w:val="20"/>
          <w:color w:val="auto"/>
        </w:rPr>
      </w:pPr>
      <w:r>
        <w:rPr>
          <w:rFonts w:ascii="Courier New" w:cs="Courier New" w:eastAsia="Courier New" w:hAnsi="Courier New"/>
          <w:sz w:val="15"/>
          <w:szCs w:val="15"/>
          <w:color w:val="auto"/>
        </w:rPr>
        <w:t>million and consisted primarily of $4.6 million of deferred interest income on the discount loan portfolio and $2.1 million of mark-to-market on certain securities available for sale.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Company's earnings history, current tax position and taxable income projections, management believes that the Company will generate sufficient taxable income in future years to realize the deferred tax asset which existed at December 31, 1997. In evaluating the expectation of sufficient future taxable income, management considered future reversals of temporary differences and available tax planning strategies that could be implemented, if required. A valuation allowance was not required at December 31, 1997 because it was management's assessment that, based on available information, it is more likely than not that all of the deferred tax asset will be realized. A valuation allowance will be established in the future to the extent of a change in management's assessment of the amount of the net deferred tax asset that is expected to be realized. See Note 21 to the Consolidated Financial Statements.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DEPOSITS. Deposits increased $63.1 million or 3% during 1997 primarily as a result of brokered deposits obtained through national investment banking firms which solicit deposits from their customers, which amounted to $1.34 billion at December 31, 1997, as compared to $1.22 billion at December 31, 1996. Deposits obtained as a result of the Company's direct solicitation and marketing efforts to regional and local investment banking firms and institutional investors and high net worth individuals amounted to $429.8 million at December 31, 1997 as compared to $540.6 million at December 31, 1996. See Note 15 to the Consolidated Financial Statements.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NOTES, DEBENTURES AND OTHER INTEREST-BEARING OBLIGATIONS. Notes, debentures and other interest-bearing obligations of $227.0 million at December 31, 1997 increased $1.4 million during 1997 and consist primarily of the $125.0 million of 11.875% Notes issued by the Company in 1996 and the $100.0 million of 12% Debentures issued by the Bank in 1995. See Note 17 to the Consolidated Financial Statements.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OBLIGATIONS OUTSTANDING UNDER LINES OF CREDIT. Obligations outstanding under lines of credit amounted to $118.3 million at December 31, 1997 and represent borrowings under new lines of credit established at OFS during 1997. These lines of credit have a one-year term with interest rates that float in accordance with a designated prime rate (see "Liquidity, Commitments and Off-Balance Sheet Risks").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COMPANY-OBLIGATED, MANDATORILY REDEEMABLE SECURITIES OF SUBSIDIARY TRUST HOLDING SOLELY JUNIOR SUBORDINATED DEBENTURES OF THE COMPANY. In August 1997, OCT, a wholly owned subsidiary of Ocwen, issued $125.0 million of 10 7/8% Capital Securities. Proceeds from issuance of the Capital Securities were invested in 10 7/8% Junior Subordinated Debentures issued by Ocwen. The Junior Subordinated Debentures, which represent the sole assets of the Trust, will mature on August 1, 2027. Intercompany transactions between OCT and the Company, including the Junior Subordinated Debentures, are eliminated in the consolidated financial statements of the Company.</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Through December 31, 1997, the Company had accrued $5.2 million of distributions payable to holders of the Capital Securities. See Note 18 to the Consolidated Financial Statements.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STOCKHOLDERS' EQUITY. Stockholders' equity increased $216.1 million or 106% during 1997. The increase in stockholder's equity during 1997 was primarily due to $78.9 million of net income and $142.0 million of net proceeds in connection with the sale of 3,450,000 shares of common stock, offset in part by an $8.5 million decrease in unrealized gain on equity securities and securities available for sale. The $64.0 million increase in stockholders' equity during 1996 was primarily due to $50.1 million of net income earned during 1996, a $4.9 million increase in unrealized gain on securities available for sale and a $13.0 million increase in common stock and additional paid-in capital in connection with the issuance of 2,928,830 shares of common stock as a result of the exercise of vested stock options by certain of the Company's and the Bank's current and former officers and directors. These increases more than offset the loans made to certain of such officers and directors to fund their exercise of the stock options, which had an unpaid principal balance of $0 and $3.8 million at December 31, 1997 and 1996,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ASSET AND LIABILITY MANAGEMENT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It is the objective of the Company to attempt to control risks associated with interest rate movements. In general, management's strategy is to match asset and liability balances within maturity categories to limit the Company's exposure to earnings variations and variations in the value of assets and liabilities as interest rates change over time. The Company's asset and liability management strategy is formulated and monitored by the Asset/Liability Committee, which is comprised of directors and officers of the Bank, in accordance with policies approved by the Board of Directors of the Bank. The Asset/Liability Committee meets regularly to review, among other things, the sensitivity of the Company's assets and liabilities to interest rate changes, the book and market values of assets and liabilities, unrealized gains and losses, including those attributable to hedging transactions, purchase and sale activity, and maturities of investments and borrowings. The Asset/Liability Committee also approves and establishes pricing and funding decisions with respect to the Company's overall asset and liability composition.</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Asset/Liability Committee is authorized to utilize a wide variety of off-balance sheet financial techniques to assist it in the management of interest rate risk. These techniques include interest rate exchange agreements, pursuant to which the parties exchange the difference between fixed-rate and floating-rate interest payments on a specified principal amount (referred to as the "notional amount") for a specified period, without the exchange of the underlying principal amount. Interest rate exchange agreements are utilized by the Company to protect against the decrease in value of a fixed-rate asset or the increase in borrowing cost from a short-term, fixed-rate liability, such as reverse repurchase agreements, in an increasing interest rate environment. At December 31, 1997, the Company had entered into interest rate exchange agreements with an aggregate notional amount of $36.9 million. Interest rate exchange agreements had the effect of increasing (decreasing) the Company's net interest income by $(198,000), $(58,000) and $358,000 during 1997, 1996 and 1995, respectively. See Note 20 to the Consolidated Financial Statements.</w:t>
      </w:r>
    </w:p>
    <w:p>
      <w:pPr>
        <w:spacing w:after="0" w:line="16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also enters into interest rate futures contracts, which are commitments to either purchase or sell designated financial instruments at a future date for a specified price and may be settled in cash or through delivery. Eurodollar futures contracts have been sold by the Company to hedge the repricing or maturity risk of certain short duration mortgage-related securities, and U.S. Treasury futures contracts have been sold by the Company to offset declines in the market value of its fixed-rate loans and certain fixed-rate mortgage-backed and related securities available for sale in the event of an increasing interest rate environment. At December 31, 1997 the Company had no outstanding Eurodollar futures contracts. At December 31, 1996, the Company had entered into Eurodollar futures (short) contracts with an aggregate notional amount of $405.0 million. At December 31, 1997 and 1996, the Company had entered into U.S. Treasury futures (short) contracts with an aggregate notional amount of $194.5 million and $165.1 million, respectively. Futures contracts had the effect of increasing (decreasing) the Company's net interest income by $2.0 million, $(729,000) and $(619,000) during 1997, 1996 and 1995, respectively. In addition, futures contracts had the effect of decreasing the Company's non-interest income by $4.8 million, $4.1 million and $3.3 million during the years ended December 31, 1997, 1996 and 1995, respectively. See Note 20 to the Consolidated Financial Statements.</w:t>
      </w:r>
    </w:p>
    <w:p>
      <w:pPr>
        <w:spacing w:after="0" w:line="176"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Asset/Liability Committee's methods for evaluating interest rate risk include an analysis of the Company's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sets forth the estimated maturity or repricing of the Company's interest-earning assets and interest-bearing liabilities at December 31, 1997. The amounts of assets and liabilities shown within a particular period were determined in accordance with the contractual terms of the assets and liabilities, except (i) adjustable-rate loans, performing discount loans, securities and FHLB advances are included in the period in which they are first scheduled to adjust and not in the period in which they mature, (ii) fixed-rate, mortgage-related securities reflect estimated prepayments, which were estimated based on analyses of broker estimates, the results of a prepayment model utilized by the Company and empirical data, (iii) nonperforming discount loans reflect the estimated timing of resolutions which result in repayment to the Company, (iv) fixed-rate loans reflect scheduled contractual amortization, with no estimated prepayments, (v) NOW and money market checking deposits and savings deposits, which do not have contractual maturities, reflect estimated levels of attrition, which are based on detailed studies of each such category of deposit by the Company, and (vi) escrow deposits and other non-interest bearing checking accounts, which amounted to $130.4 million at December 31, 1997, are excluded. Management believes that these assumptions approximate actual experience and considers them reasonable; however, the interest rate sensitivity of the Company's assets and liabilities in the table could vary substantially if different assumptions are used or actual experience differs from the historical</w:t>
      </w:r>
    </w:p>
    <w:p>
      <w:pPr>
        <w:sectPr>
          <w:pgSz w:w="11900" w:h="16838" w:orient="portrait"/>
          <w:cols w:equalWidth="0" w:num="1">
            <w:col w:w="10239"/>
          </w:cols>
          <w:pgMar w:left="220" w:top="617" w:right="1440" w:bottom="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experience on which the assumptions are based.</w:t>
      </w:r>
    </w:p>
    <w:p>
      <w:pPr>
        <w:sectPr>
          <w:pgSz w:w="11900" w:h="16838" w:orient="portrait"/>
          <w:cols w:equalWidth="0" w:num="1">
            <w:col w:w="10239"/>
          </w:cols>
          <w:pgMar w:left="220" w:top="141" w:right="1440" w:bottom="1440" w:gutter="0" w:footer="0" w:header="0"/>
        </w:sectPr>
      </w:pP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41" w:right="1440"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December 31, 1997</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58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Four to</w:t>
            </w: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More than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Within Three</w:t>
            </w:r>
          </w:p>
        </w:tc>
        <w:tc>
          <w:tcPr>
            <w:tcW w:w="22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Twelve</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One Year to</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Three Years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Months</w:t>
            </w:r>
          </w:p>
        </w:tc>
        <w:tc>
          <w:tcPr>
            <w:tcW w:w="22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Three Years</w:t>
            </w:r>
          </w:p>
        </w:tc>
        <w:tc>
          <w:tcPr>
            <w:tcW w:w="2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and Over</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5"/>
          </w:tcPr>
          <w:p>
            <w:pPr>
              <w:jc w:val="right"/>
              <w:ind w:right="8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Interest-earning cash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140,001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140,001</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 available for sale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42,763</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150,736</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130,694</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106,331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430,524</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available for sale(1)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19,045</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64,904</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83,406</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177,041</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securities, net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59,567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59,567</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 portfolio, net(1)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113,372</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31,298</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39,922</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81,707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266,299</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Discount loan portfolio, net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199,115</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373,111</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349,201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512,749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1,434,176</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rate-sensitive assets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514,296</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620,049</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603,223</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770,040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2,507,608</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 Liabilities: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NOW and money market checking deposits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7,277</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3,072</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11,174</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27,624</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Savings deposits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277,966</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562,498</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610,872</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371,826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1,823,162</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interest-bearing deposits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285,327</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565,797</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617,421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383,905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1,852,450</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 sold under agreement to repurchase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108,250</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108,250</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Obligations outstanding under lines of credit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118,304</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118,304</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Notes, debentures and other interest bearing obligations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1,975</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225,000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226,975</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rate-sensitive liabilities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513,856</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565,797</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617,421</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608,905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2,305,979</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rate sensitivity gap before off-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balance sheet financial instruments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54,252</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(14,198)</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161,135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201,629</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Futures contracts and interest rate swap ...............</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189,274</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(14,487)</w:t>
            </w:r>
          </w:p>
        </w:tc>
        <w:tc>
          <w:tcPr>
            <w:tcW w:w="4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(30,827)</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(143,960)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rate sensitivity gap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189,714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39,765</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201,629</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Cumulative interest rate sensitivity gap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189,714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229,479</w:t>
            </w:r>
          </w:p>
        </w:tc>
        <w:tc>
          <w:tcPr>
            <w:tcW w:w="4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184,454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201,629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 rate sensitivity gap as a</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of total rate-sensitive assets.............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9.15%</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7.36%</w:t>
            </w:r>
          </w:p>
        </w:tc>
        <w:tc>
          <w:tcPr>
            <w:tcW w:w="2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have not been reduced for nonperforming loans.</w:t>
      </w:r>
    </w:p>
    <w:p>
      <w:pPr>
        <w:spacing w:after="0" w:line="173" w:lineRule="exact"/>
        <w:rPr>
          <w:sz w:val="20"/>
          <w:szCs w:val="20"/>
          <w:color w:val="auto"/>
        </w:rPr>
      </w:pPr>
    </w:p>
    <w:p>
      <w:pPr>
        <w:jc w:val="both"/>
        <w:ind w:right="4120" w:firstLine="437"/>
        <w:spacing w:after="0" w:line="236" w:lineRule="auto"/>
        <w:rPr>
          <w:sz w:val="20"/>
          <w:szCs w:val="20"/>
          <w:color w:val="auto"/>
        </w:rPr>
      </w:pPr>
      <w:r>
        <w:rPr>
          <w:rFonts w:ascii="Courier New" w:cs="Courier New" w:eastAsia="Courier New" w:hAnsi="Courier New"/>
          <w:sz w:val="15"/>
          <w:szCs w:val="15"/>
          <w:color w:val="auto"/>
        </w:rPr>
        <w:t>Although the interest rate sensitivity gap analysis is a useful measurement and contributes toward effective asset and liability management, it is difficult to predict the effect of changing interest rates based solely on that measure. As a result, the Asset/Liability Committee also regularly reviews interest rate risk by forecasting the impact of alternative interest rate environments on net interest income and market value of portfolio equity ("MVPE"), which is defined as the net present value of an institution's existing assets, liabilities and off-balance sheet instruments, and evaluating such impacts against the maximum potential changes in net interest income and MVPE that is authorized by the Board of Directors of the Bank.</w:t>
      </w:r>
    </w:p>
    <w:p>
      <w:pPr>
        <w:spacing w:after="0" w:line="179" w:lineRule="exact"/>
        <w:rPr>
          <w:sz w:val="20"/>
          <w:szCs w:val="20"/>
          <w:color w:val="auto"/>
        </w:rPr>
      </w:pPr>
    </w:p>
    <w:p>
      <w:pPr>
        <w:jc w:val="both"/>
        <w:ind w:right="4120" w:firstLine="437"/>
        <w:spacing w:after="0" w:line="256" w:lineRule="auto"/>
        <w:rPr>
          <w:sz w:val="20"/>
          <w:szCs w:val="20"/>
          <w:color w:val="auto"/>
        </w:rPr>
      </w:pPr>
      <w:r>
        <w:rPr>
          <w:rFonts w:ascii="Courier New" w:cs="Courier New" w:eastAsia="Courier New" w:hAnsi="Courier New"/>
          <w:sz w:val="14"/>
          <w:szCs w:val="14"/>
          <w:color w:val="auto"/>
        </w:rPr>
        <w:t>The following table sets forth at December 31, 1997 the estimated percentage change in the Company's net interest income over a four-quarter period and MVPE based upon the indicated changes in interest rates, assuming an instantaneous and sustained uniform change in interest rates at all maturities.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530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Estimated Changes in</w:t>
            </w:r>
          </w:p>
        </w:tc>
      </w:tr>
      <w:tr>
        <w:trPr>
          <w:trHeight w:val="168"/>
        </w:trPr>
        <w:tc>
          <w:tcPr>
            <w:tcW w:w="25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Change</w:t>
            </w:r>
          </w:p>
        </w:tc>
        <w:tc>
          <w:tcPr>
            <w:tcW w:w="5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 Interest Rates)</w:t>
            </w:r>
          </w:p>
        </w:tc>
        <w:tc>
          <w:tcPr>
            <w:tcW w:w="2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MVPE</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+400</w:t>
            </w:r>
          </w:p>
        </w:tc>
        <w:tc>
          <w:tcPr>
            <w:tcW w:w="28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(10.5)%</w:t>
            </w:r>
          </w:p>
        </w:tc>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(11.4)%</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+300</w:t>
            </w:r>
          </w:p>
        </w:tc>
        <w:tc>
          <w:tcPr>
            <w:tcW w:w="284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(5.1)</w:t>
            </w:r>
          </w:p>
        </w:tc>
        <w:tc>
          <w:tcPr>
            <w:tcW w:w="2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+200</w:t>
            </w:r>
          </w:p>
        </w:tc>
        <w:tc>
          <w:tcPr>
            <w:tcW w:w="2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7.6</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+100</w:t>
            </w:r>
          </w:p>
        </w:tc>
        <w:tc>
          <w:tcPr>
            <w:tcW w:w="2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4.3</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w:t>
            </w:r>
          </w:p>
        </w:tc>
        <w:tc>
          <w:tcPr>
            <w:tcW w:w="2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-100</w:t>
            </w:r>
          </w:p>
        </w:tc>
        <w:tc>
          <w:tcPr>
            <w:tcW w:w="284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(18.7)</w:t>
            </w:r>
          </w:p>
        </w:tc>
        <w:tc>
          <w:tcPr>
            <w:tcW w:w="2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-200</w:t>
            </w:r>
          </w:p>
        </w:tc>
        <w:tc>
          <w:tcPr>
            <w:tcW w:w="284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(35.5)</w:t>
            </w:r>
          </w:p>
        </w:tc>
        <w:tc>
          <w:tcPr>
            <w:tcW w:w="2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-300</w:t>
            </w:r>
          </w:p>
        </w:tc>
        <w:tc>
          <w:tcPr>
            <w:tcW w:w="284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(33.9)</w:t>
            </w:r>
          </w:p>
        </w:tc>
        <w:tc>
          <w:tcPr>
            <w:tcW w:w="2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-400</w:t>
            </w:r>
          </w:p>
        </w:tc>
        <w:tc>
          <w:tcPr>
            <w:tcW w:w="284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(33.8)</w:t>
            </w:r>
          </w:p>
        </w:tc>
        <w:tc>
          <w:tcPr>
            <w:tcW w:w="24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(12.3)</w:t>
            </w:r>
          </w:p>
        </w:tc>
      </w:tr>
    </w:tbl>
    <w:p>
      <w:pPr>
        <w:spacing w:after="0" w:line="341" w:lineRule="exact"/>
        <w:rPr>
          <w:sz w:val="20"/>
          <w:szCs w:val="20"/>
          <w:color w:val="auto"/>
        </w:rPr>
      </w:pPr>
    </w:p>
    <w:p>
      <w:pPr>
        <w:jc w:val="both"/>
        <w:ind w:right="4120" w:firstLine="437"/>
        <w:spacing w:after="0" w:line="255" w:lineRule="auto"/>
        <w:rPr>
          <w:sz w:val="20"/>
          <w:szCs w:val="20"/>
          <w:color w:val="auto"/>
        </w:rPr>
      </w:pPr>
      <w:r>
        <w:rPr>
          <w:rFonts w:ascii="Courier New" w:cs="Courier New" w:eastAsia="Courier New" w:hAnsi="Courier New"/>
          <w:sz w:val="14"/>
          <w:szCs w:val="14"/>
          <w:color w:val="auto"/>
        </w:rPr>
        <w:t>The negative estimated changes in MVPE for -100 to -400 and for +300 and +400 changes in interest rates as well as in net interest income for +300 and +400 changes in interest rates are attributable to the Company's sensitivity to changes in interest rates. Such sensitivity stems from the Company's investments in IO-stripped and inverse IO-stripped mortgage-backed securities (together "IO strips"). IO strips exhibit considerably more price volatility than mortgage or ordinary mortgage pass-through securities, due in part to the uncertain cash flows that result from changes in the prepayment rates of the underlying mortgages. In the case of IO strips, increased prepayments of the underlying mortgages as a result of a decrease in market interest rates or other factors can result in a loss of all or part of the purchase price of such security.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120"/>
          </w:cols>
          <w:pgMar w:left="220" w:top="785" w:right="559" w:bottom="12" w:gutter="0" w:footer="0" w:header="0"/>
        </w:sectPr>
      </w:pPr>
    </w:p>
    <w:bookmarkStart w:id="72" w:name="page73"/>
    <w:bookmarkEnd w:id="72"/>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Management of the Company believes that the assumptions used by it to evaluate the vulnerability of the Company's operations to changes in interest rates approximate actual experience and considers them reasonable; however, the interest rate sensitivity of the Company's assets and liabilities and the estimated effects of changes in interest rates on the Company's net interest income and MVPE could vary substantially if different assumptions are used or actual experience differs from the historical experience on which they are based.</w:t>
      </w:r>
    </w:p>
    <w:p>
      <w:pPr>
        <w:spacing w:after="0" w:line="177"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The following table shows the Company's financial instruments that are sensitive to changes in interest rates, categorized by expected maturity, and the instruments' fair values at December 31, 1997. Market-rate-sensitive instruments are generally defined as on and off balance sheet derivatives and other financial instruments.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00" w:type="dxa"/>
            <w:vAlign w:val="bottom"/>
            <w:gridSpan w:val="9"/>
          </w:tcPr>
          <w:p>
            <w:pPr>
              <w:jc w:val="right"/>
              <w:ind w:right="747"/>
              <w:spacing w:after="0"/>
              <w:rPr>
                <w:sz w:val="20"/>
                <w:szCs w:val="20"/>
                <w:color w:val="auto"/>
              </w:rPr>
            </w:pPr>
            <w:r>
              <w:rPr>
                <w:rFonts w:ascii="Courier New" w:cs="Courier New" w:eastAsia="Courier New" w:hAnsi="Courier New"/>
                <w:sz w:val="15"/>
                <w:szCs w:val="15"/>
                <w:color w:val="auto"/>
              </w:rPr>
              <w:t>Expected Maturity Date At December 31, 1997 (1)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1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1998</w:t>
            </w:r>
          </w:p>
        </w:tc>
        <w:tc>
          <w:tcPr>
            <w:tcW w:w="14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Thereafter</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Balance</w:t>
            </w:r>
          </w:p>
        </w:tc>
        <w:tc>
          <w:tcPr>
            <w:tcW w:w="140" w:type="dxa"/>
            <w:vAlign w:val="bottom"/>
          </w:tcPr>
          <w:p>
            <w:pPr>
              <w:spacing w:after="0"/>
              <w:rPr>
                <w:sz w:val="14"/>
                <w:szCs w:val="14"/>
                <w:color w:val="auto"/>
              </w:rPr>
            </w:pP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Rate-Sensitive Assets: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Interest-earning cash.............</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140,001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140,001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 available for sale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195,526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93,302</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36,275</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23,049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14,999</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67,373</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430,524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430,524</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14.66%</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Loans available for sale(2)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77,994</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37,376</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14,443</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10,952</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8,648</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27,628</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177,041</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184,884</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securities, net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59,567</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59,567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59,567</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 portfolio, net(2)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111,323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30,348</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41,540</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63,914</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14,309</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266,299</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281,850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Discount loan portfolio, net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457,624</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262,918</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122,206</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63,511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45,038</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482,879</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1,434,176</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1,657,222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rate-sensitive assets ......</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982,468</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$423,944</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$214,464</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161,426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73,550</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651,756</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$2,507,608</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$2,754,048</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 Liabilities: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NOW and money market checking</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deposits .......................</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2,717</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1,754</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72,233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Savings deposits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618</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840,463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376,607</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234,265</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225,497</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145,995</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1,823,162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1,865,196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interest-bearing deposits...</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851,123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380,240</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237,181</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227,839</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147,877</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8,190</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1,852,450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1,939,018</w:t>
            </w: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sold under agreement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 repurchase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108,250</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108,250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108,250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Obligations outstanding under</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lines of credit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118,304</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118,304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118,304</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debentures and other ......</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1,975</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225,000</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226,975</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255,538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 interest rate ..........</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w:t>
            </w: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11.89%</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9"/>
              </w:rPr>
              <w:t>Total rate-sensitive liabilities.. $1,079,652</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$380,240</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$237,181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227,839</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$ 147,877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233,190</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$ 2,305,979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$2,421,110</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4460" w:hanging="430"/>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maturities are contractual maturities adjusted for prepayments of principal. The Company uses certain assumptions to estimate fair values and expected maturities. For assets, expected maturities are based upon contractual maturity, projected repayments and prepayments of principal. The prepayment experience reflected herein is based on the Company's historical experience. The Company's average Constant Prepayment Rate ("CPR") is 12.6% and 16.7% on its fixed-rate and adjustable-rate portfolios, respectively, for interest-earning assets (excluding investment securities, which do not have prepayment features). The actual maturities of these instruments could vary substantially if future prepayments differ from the Company's historical experience.</w:t>
      </w:r>
    </w:p>
    <w:p>
      <w:pPr>
        <w:spacing w:after="0" w:line="15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have not been reduced for nonperforming loans.</w:t>
      </w:r>
    </w:p>
    <w:p>
      <w:pPr>
        <w:spacing w:after="0" w:line="173" w:lineRule="exact"/>
        <w:rPr>
          <w:sz w:val="20"/>
          <w:szCs w:val="20"/>
          <w:color w:val="auto"/>
        </w:rPr>
      </w:pPr>
    </w:p>
    <w:p>
      <w:pPr>
        <w:jc w:val="both"/>
        <w:ind w:right="4460" w:firstLine="437"/>
        <w:spacing w:after="0" w:line="235" w:lineRule="auto"/>
        <w:rPr>
          <w:sz w:val="20"/>
          <w:szCs w:val="20"/>
          <w:color w:val="auto"/>
        </w:rPr>
      </w:pPr>
      <w:r>
        <w:rPr>
          <w:rFonts w:ascii="Courier New" w:cs="Courier New" w:eastAsia="Courier New" w:hAnsi="Courier New"/>
          <w:sz w:val="15"/>
          <w:szCs w:val="15"/>
          <w:color w:val="auto"/>
        </w:rPr>
        <w:t>The Company believes that the broad geographic distribution of its discount loan portfolio and loan portfolio reduces the risks associated with concentrating such loans in limited geographic areas. See Note 8 and Note 9 to the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Commitments and Off-Balance Sheet Risks</w:t>
      </w:r>
    </w:p>
    <w:p>
      <w:pPr>
        <w:spacing w:after="0" w:line="173"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Liquidity is a measurement of the Company's ability to meet potential cash requirements, including ongoing commitments to fund deposit withdrawals, repay borrowings, fund investment, loan acquisition and lending activities, make corporate acquisitions and fund other general business purposes. The primary sources of funds for liquidity currently consist of deposits, FHLB advances, reverse repurchase agreements, lines of credit and maturities and principal payments on loans and securities and proceeds from sales thereof. Another significant source of asset liquidity is the ability to securitize assets such as discount loans and subprime</w:t>
      </w:r>
    </w:p>
    <w:p>
      <w:pPr>
        <w:sectPr>
          <w:pgSz w:w="11900" w:h="16838" w:orient="portrait"/>
          <w:cols w:equalWidth="0" w:num="1">
            <w:col w:w="11460"/>
          </w:cols>
          <w:pgMar w:left="220" w:top="624" w:right="219" w:bottom="0" w:gutter="0" w:footer="0" w:header="0"/>
        </w:sectPr>
      </w:pPr>
    </w:p>
    <w:bookmarkStart w:id="73" w:name="page74"/>
    <w:bookmarkEnd w:id="73"/>
    <w:p>
      <w:pPr>
        <w:ind w:left="2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303"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loans, as well as the direct sale of such loans.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Sources of liquidity include certificates of deposit obtained primarily from wholesale sources. At December 31, 1997, the Company had $1.82 billion of certificates of deposit, including $1.34 billion of brokered certificates of deposit obtained through national investment banking firms, all of which are non-cancelable. At the same date, scheduled maturities of certificates of deposit during the 12 months ending December 31, 1998 and 1999 and thereafter amounted to $840.5 million, $376.6 million and $606.1 million, respectively. Brokered and other wholesale deposits generally are more responsive to changes in interest rates than core deposits and, thus, are more likely to be withdrawn from the Company upon maturity as changes in interest rates and other factors are perceived by investors to make other investments more attractive. Management of the Company believes that it can adjust the rates paid on certificates of deposit to retain deposits in changing interest rate environments and that brokered and other wholesale deposits can be both a relatively cost-effective and stable source of funds. There can be no assurance that this will continue to be the case in the future, however.</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Sources of borrowings include FHLB advances, which are required to be secured by single family and/or multi-family residential loans or other acceptable collateral, and reverse repurchase agreements. At December 31, 1997, the Company had no FHLB advances outstanding, was eligible to borrow up to an aggregate of $647.9 million from the FHLB of New York (subject to availability of acceptable collateral) and had $68.2 million of single family residential loans, approximately $9.0 million of multi-family residential loans and $26.1 million of loans secured by hotel properties which could be pledged as security for such advances. At the same date, the Company had contractual relationships with six brokerage firms and the FHLB of New York pursuant to which it could obtain funds from reverse repurchase agreements and had $326.2 million of unencumbered mortgage-related securities which could be used to secure such borrowings. At present, the Company has no outstanding FHLB advances due to the availability of other less costly sources of funding, a circumstance which the Company evaluates on a regular basis.</w:t>
      </w:r>
    </w:p>
    <w:p>
      <w:pPr>
        <w:spacing w:after="0" w:line="332"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liquidity of the Company includes lines of credit obtained by OFS subsequent to its assumption of the subprime lending activities of the Bank and acquisition of substantially all of the assets of Admiral, as follows: (i) a $200.0 million secured line of credit from Morgan Stanley Mortgage Capital Inc., of which $100 million was committed, (ii) a $50.0 million secured line of credit from Texas Commerce Bank National Association, (iii) a $200 million secured line of credit from Merrill Lynch, of which $100 million was committed, and (iv) a $200 million secured line of credit from Lehman Commercial Paper, Inc., of which $100 million was committed. An aggregate of $118.3 million was outstanding to OFS under these lines of credit at December 31, 1997, which have interest rates which float in accordance with a designated prime rate. In addition, the Company has provided a $30.0 million unsecured, subordinated credit facility to OFS, of which $30.0 million was outstanding at December 31, 1997. At present OFS intends to continue to seek appropriate leverage with respect to its underlying business, and thus, will seek additional lines of credit as its assets warrant.</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its existing sources of liquidity, including internally generated funds, will be adequate to fund planned activities for the foreseeable future, although there can be no assurances in this regard. Moreover, the Company continues to evaluate other sources of liquidity, such as lines of credit from unaffiliated parties, which will enhance the management of its liquidity and the costs thereof.</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operating activities provided cash flows of $114.3 million and of $101.4 million during 1997 and 1996, respectively, and used cash flows of $189.4 million during 1995. During the foregoing years, cash resources were provided primarily by net income and proceeds from sales of loans available for sale, and cash resources were used primarily to purchase and originate loans available for sale.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Company's investing activities used cash flows totaling $493.7 million, $558.3 million and $474.5 million during 1997, 1996 and 1995, respectively. During the foregoing years, cash flows from investing activities were provided primarily by principal payments on discount loans and loans held for investment, maturities of and principal payments received on securities available for sale and proceeds from sales of discount loans, securities available for sale and real estate owned, and cash flows from investing activities were primarily utilized to purchase and originate discount loans and loans held for investment and purchase securities available for sale.</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Company's financing activities provided cash flows of $479.5 million, $454.5 million and of $681.8 million during 1997, 1996 and 1995, respectively. Cash flows from financing activities were primarily related to changes in the Company's deposits, issuance of common stock and the Capital Securities in 1997, issuance of the Notes in 1996, issuance of the Debentures in 1995 and advances from FHLB. Cash flows used by financing activities were primarily utilized to repay advances from the FHLB and reverse repurchase agreements and include the transfer of deposits in connection with the sale of branch offices in 1995.</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Bank is required under applicable federal regulations to maintain specified levels of "liquid" investments in qualifying types of U.S. government, federal agency and other investments having maturities of five years or less. Current OTS regulations require that a savings association maintain liquid assets of not less than 4% of its average daily balance of net withdrawable deposit accounts and borrowings payable in one year or less. Monetary penalties may be imposed for failure to meet applicable liquidity requirements. The Bank's liquidity, as measured for regulatory purposes, averaged, 5.6%, 8.8% and 12.9% during the years ended December 31, 1997, 1996 and 1995, respectively, and amounted to 5.0% at December 31, 1997.</w:t>
      </w:r>
    </w:p>
    <w:p>
      <w:pPr>
        <w:spacing w:after="0" w:line="173" w:lineRule="exact"/>
        <w:rPr>
          <w:sz w:val="20"/>
          <w:szCs w:val="20"/>
          <w:color w:val="auto"/>
        </w:rPr>
      </w:pPr>
    </w:p>
    <w:p>
      <w:pPr>
        <w:ind w:left="440"/>
        <w:spacing w:after="0"/>
        <w:tabs>
          <w:tab w:leader="none" w:pos="780" w:val="left"/>
          <w:tab w:leader="none" w:pos="1660" w:val="left"/>
          <w:tab w:leader="none" w:pos="2080" w:val="left"/>
          <w:tab w:leader="none" w:pos="2780" w:val="left"/>
          <w:tab w:leader="none" w:pos="3220" w:val="left"/>
          <w:tab w:leader="none" w:pos="4020" w:val="left"/>
          <w:tab w:leader="none" w:pos="4460" w:val="left"/>
          <w:tab w:leader="none" w:pos="5160" w:val="left"/>
          <w:tab w:leader="none" w:pos="5940" w:val="left"/>
          <w:tab w:leader="none" w:pos="6280" w:val="left"/>
        </w:tabs>
        <w:rPr>
          <w:sz w:val="20"/>
          <w:szCs w:val="20"/>
          <w:color w:val="auto"/>
        </w:rPr>
      </w:pPr>
      <w:r>
        <w:rPr>
          <w:rFonts w:ascii="Courier New" w:cs="Courier New" w:eastAsia="Courier New" w:hAnsi="Courier New"/>
          <w:sz w:val="15"/>
          <w:szCs w:val="15"/>
          <w:color w:val="auto"/>
        </w:rPr>
        <w:t>At</w:t>
        <w:tab/>
        <w:t>December</w:t>
        <w:tab/>
        <w:t>31,</w:t>
        <w:tab/>
        <w:t>1997,</w:t>
        <w:tab/>
        <w:t>the</w:t>
        <w:tab/>
        <w:t>Company</w:t>
        <w:tab/>
        <w:t>had</w:t>
        <w:tab/>
        <w:t>$182.1</w:t>
        <w:tab/>
        <w:t>million</w:t>
        <w:tab/>
        <w:t>of</w:t>
      </w:r>
      <w:r>
        <w:rPr>
          <w:sz w:val="20"/>
          <w:szCs w:val="20"/>
          <w:color w:val="auto"/>
        </w:rPr>
        <w:tab/>
      </w:r>
      <w:r>
        <w:rPr>
          <w:rFonts w:ascii="Courier New" w:cs="Courier New" w:eastAsia="Courier New" w:hAnsi="Courier New"/>
          <w:sz w:val="14"/>
          <w:szCs w:val="14"/>
          <w:color w:val="auto"/>
        </w:rPr>
        <w:t>unfunded</w:t>
      </w:r>
    </w:p>
    <w:p>
      <w:pPr>
        <w:sectPr>
          <w:pgSz w:w="11900" w:h="16838" w:orient="portrait"/>
          <w:cols w:equalWidth="0" w:num="1">
            <w:col w:w="10239"/>
          </w:cols>
          <w:pgMar w:left="220" w:top="449" w:right="1440" w:bottom="0" w:gutter="0" w:footer="0" w:header="0"/>
        </w:sectPr>
      </w:pPr>
    </w:p>
    <w:bookmarkStart w:id="75" w:name="page76"/>
    <w:bookmarkEnd w:id="75"/>
    <w:p>
      <w:pPr>
        <w:jc w:val="both"/>
        <w:ind w:right="3239"/>
        <w:spacing w:after="0" w:line="235" w:lineRule="auto"/>
        <w:rPr>
          <w:sz w:val="20"/>
          <w:szCs w:val="20"/>
          <w:color w:val="auto"/>
        </w:rPr>
      </w:pPr>
      <w:r>
        <w:rPr>
          <w:rFonts w:ascii="Courier New" w:cs="Courier New" w:eastAsia="Courier New" w:hAnsi="Courier New"/>
          <w:sz w:val="15"/>
          <w:szCs w:val="15"/>
          <w:color w:val="auto"/>
        </w:rPr>
        <w:t>commitments related to the purchase and origination of loans. Management of the Company believes that the Company has adequate resources to fund all such unfunded commitments to the extent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41" w:right="1440" w:bottom="1440" w:gutter="0" w:footer="0" w:header="0"/>
        </w:sectPr>
      </w:pPr>
    </w:p>
    <w:bookmarkStart w:id="76" w:name="page77"/>
    <w:bookmarkEnd w:id="76"/>
    <w:p>
      <w:pPr>
        <w:jc w:val="both"/>
        <w:ind w:right="3239"/>
        <w:spacing w:after="0" w:line="235" w:lineRule="auto"/>
        <w:rPr>
          <w:sz w:val="20"/>
          <w:szCs w:val="20"/>
          <w:color w:val="auto"/>
        </w:rPr>
      </w:pPr>
      <w:r>
        <w:rPr>
          <w:rFonts w:ascii="Courier New" w:cs="Courier New" w:eastAsia="Courier New" w:hAnsi="Courier New"/>
          <w:sz w:val="15"/>
          <w:szCs w:val="15"/>
          <w:color w:val="auto"/>
        </w:rPr>
        <w:t>required and that substantially all of such unfunded commitments will be funded during 1998. See Note 27 to the Consolidated Financial Statements. In addition, management of the Company believes it has adequate resources to fund its anticipated employee and facility expansion needs.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to commitments to extend credit, the Company is party to various off-balance sheet financial instruments in the normal course of the Company's business in order to manage its interest rate risk. See "Asset and Liability Management" above and Note 27 to the Consolidated Financial Statements.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conducts business with a variety of financial institutions and other companies in the normal course of business, including counterparties to its off-balance sheet financial instruments. The Company is subject to potential financial loss if the counterparty is unable to complete an agreed upon transaction. The Company seeks to limit counterparty risk through financial analysis, dollar limits and other monitoring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and Other Requirements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Federally-insured institutions such as the Bank are required to maintain minimum levels of regulatory capital. These standards generally must be as stringent as the comparable capital requirements imposed on national banks. In addition to regulatory capital requirements of general applicability, a federally-chartered savings association such as the Bank may be required to meet individual minimum capital requirements established by the OTS on a case-by-case basis upon a determination that a savings association's capital is or may become inadequate in view of its circumstances.</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an examination of the Bank in late 1996 and early 1997, the staff of the OTS expressed concern about many of the Bank's non-traditional operations, which generally are deemed by the OTS to involve higher risk, certain of the Bank's accounting policies and the adequacy of the Bank's capital in light of the Bank's lending and investment strategies. The activities which were of concern to the OTS included the Bank's subprime single family residential lending activities, the Bank's origination of acquisition, development and construction loans with terms which provide for shared participation in the results of the underlying real estate, the Bank's discount loan activities, which involve significantly higher investment in nonperforming and classified assets than the majority of the savings and loan industry, and the Bank's investment in subordinated classes of mortgage-related securities issued in connection with the Bank's asset securitization activities and otherwise.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Following the above-referenced examination, the Bank committed to the OTS to maintain a core capital (leverage) ratio and a total risk-based capital ratio of at least 9% and 13%, respectively. The Bank continues to be in compliance with this commitment as well as the regulatory capital requirements of general applicability, as indicated in Note 24 to the Consolidated Financial Statements.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Although the Bank has expressed disagreement with the level of risk perceived by the OTS in its business, the Bank has taken various other actions to address OTS concerns with respect to its risk profile, including the following: (i) the sale to the Company in 1996 of subordinated, participating interests in a total of eleven acquisition, development and construction loans, which interests had an aggregate principal balance of $16.9 million; (ii) the cessation of originating mortgage loans with profit participation features in the underlying real estate, with the exception of existing commitments, which consisted of commitments for nine loans with an aggregate principal amount of $79.2 million at December 31, 1997; (iii) the transfer of its subprime single family residential lending operations and its large multi-family residential and commercial real estate lending operations to OFS and OCC, respectively; (iv) an agreement (a) to discontinue the purchase of subordinate classes of mortgage-related securities created by unaffiliated parties, (b) to sell the five such securities held by it at March 31, 1997 (aggregate book value of $32.0 million), which was completed by a sale to OAIC on May 19, 1997 (at a gain of $2.6 million to the Company), and (c) subject to the requirements of the OTS capital distribution regulation, to dividend to the Company all subordinate mortgage-related securities acquired by the Bank in connection with its securitization activities, including two subordinate securities with an aggregate book value of $19.5 million which were dividended to the Company in June 1997 and one subordinate security and one residual security with an aggregate book value of $14.4 million which were dividended to the Company in November 1997; (v) the establishment as of December 31, 1996 of requested write downs of cost basis, which amounted to $7.2 million, against loans and securities resulting from its investment in loans acquired from HUD; (vi) an agreement to employ a senior officer to head its Credit Management Department and to take other steps to improve the effectiveness of its independent asset review function; and (vii) an agreement to provide the OTS with certain reports on a regular basis. In addition to the foregoing, and based on discussions with the OTS, the Company modified certain of its accounting policies in a manner which will result in more conservative recognition of income. Specifically, the Company (i) ceased accreting into interest income discount on nonperforming residential loans, effective January 1, 1997; (ii) discontinued the capitalization of period expenses to real estate owned, effective January 1, 1997; and (iii) an agreement to classify as doubtful for regulatory purposes all real estate owned which are not generating cash flow and which has been held for more than three years. If the new policy on accretion of discount on nonperforming residential loans had been applied in 1996 and 1995, the Company's income from continuing operations before income taxes, as adjusted for related profit sharing expense, would have decreased by approximately $1.4 million and</w:t>
      </w:r>
    </w:p>
    <w:p>
      <w:pPr>
        <w:sectPr>
          <w:pgSz w:w="11900" w:h="16838" w:orient="portrait"/>
          <w:cols w:equalWidth="0" w:num="1">
            <w:col w:w="10239"/>
          </w:cols>
          <w:pgMar w:left="220" w:top="623" w:right="1440" w:bottom="21" w:gutter="0" w:footer="0" w:header="0"/>
        </w:sectPr>
      </w:pPr>
    </w:p>
    <w:bookmarkStart w:id="77" w:name="page78"/>
    <w:bookmarkEnd w:id="77"/>
    <w:p>
      <w:pPr>
        <w:jc w:val="both"/>
        <w:ind w:right="3239"/>
        <w:spacing w:after="0" w:line="236" w:lineRule="auto"/>
        <w:rPr>
          <w:sz w:val="20"/>
          <w:szCs w:val="20"/>
          <w:color w:val="auto"/>
        </w:rPr>
      </w:pPr>
      <w:r>
        <w:rPr>
          <w:rFonts w:ascii="Courier New" w:cs="Courier New" w:eastAsia="Courier New" w:hAnsi="Courier New"/>
          <w:sz w:val="15"/>
          <w:szCs w:val="15"/>
          <w:color w:val="auto"/>
        </w:rPr>
        <w:t>$1.1 million, respectively. If the new policy on capitalization of period expenses on real estate owned had been adopted in 1996 and 1995, the Company's income from continuing operations before income taxes, as adjusted for related profit sharing expense, would have increased by approximately $610,000 in 1996 and would have decreased by approximately $2.3 million in 1995. In light of the foregoing, the Company does not believe that the above-referenced accounting changes had a material effect on the Company's financial condition or results of operations.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41" w:right="1440" w:bottom="1440" w:gutter="0" w:footer="0" w:header="0"/>
        </w:sectPr>
      </w:pPr>
    </w:p>
    <w:bookmarkStart w:id="78" w:name="page79"/>
    <w:bookmarkEnd w:id="78"/>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Although the above individual regulatory capital requirements have been agreed to by the OTS, there can be no assurance that in the future the OTS will agree to a decrease in such requirements or will not seek to increase such requirements or will not impose these or other individual regulatory capital requirements in a manner which affects the Bank's status as a "well-capitalized" institution under applicable laws and regulations.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Developments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For information relating to the effects on the Company of the adoption of recent accounting standards, see Note 1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Date Conversion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has begun to coordinate the identification, evaluation, and implementation of changes to computer systems and applications necessary to achieve a year 2000 date conversion with no effect on customers or disruption to business operations. These actions are necessary to ensure that the systems and applications will recognize and process the year 2000 and beyond. Major areas of potential business impact have been identified and dimensioned, and initial conversion efforts are underway. The Company also is communicating with customers, financial institutions and others with which it does business to identify and coordinate year 2000 conversion issues. The Company expects its year 2000 conversion will be completed on a timely basis. The cost of achieving year 2000 compliance, which will be largely incurred through 1998, is estimated to range from $300,000 to $600,000, and will be charged to expense as incurred.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jc w:val="both"/>
        <w:ind w:right="3239" w:firstLine="262"/>
        <w:spacing w:after="0" w:line="254" w:lineRule="auto"/>
        <w:rPr>
          <w:sz w:val="20"/>
          <w:szCs w:val="20"/>
          <w:color w:val="auto"/>
        </w:rPr>
      </w:pPr>
      <w:r>
        <w:rPr>
          <w:rFonts w:ascii="Courier New" w:cs="Courier New" w:eastAsia="Courier New" w:hAnsi="Courier New"/>
          <w:sz w:val="14"/>
          <w:szCs w:val="14"/>
          <w:color w:val="auto"/>
        </w:rPr>
        <w:t>CERTAIN STATEMENTS CONTAINED IN THIS ANNUAL REPORT ARE NOT, AND CERTAIN STATEMENTS CONTAINED IN FUTURE FILINGS BY THE COMPANY WITH THE SECURITIES AND EXCHANGE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 FORWARD-LOOKING STATEMENTS WHICH ARE BASED ON VARIOUS ASSUMPTIONS (SOME OF WHICH ARE BEYOND THE COMPANY'S CONTROL), MAY BE IDENTIFIED BY REFERENCE TO A FUTURE PERIOD OR PERIODS, OR BY THE USE OF FORWARD-LOOKING TERMINOLOGY, SUCH AS "MAY," "WILL," "COULD," "BELIEVE," "EXPECT," "ANTICIPATE,"</w:t>
      </w:r>
    </w:p>
    <w:p>
      <w:pPr>
        <w:spacing w:after="0" w:line="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"CONTINUE," "INTENDS," "PLANS," "PRESENTS," OR SIMILAR TERMS OR VARIATION ON THOSE TERMS, OR BY THE USE OF THE NEGATIVE OF SUCH TERMINOLOGY. ACTUAL RESULTS COULD DIFFER MATERIALLY FROM THOSE SET FORTH IN FORWARD-LOOKING STATEMENTS DUE TO A VARIETY OF FACTORS, INCLUDING, BUT NOT LIMITED TO, THOSE RELATED TO THE ECONOMIC ENVIRONMENT, PARTICULARLY IN THE MARKET AREAS IN WHICH THE COMPANY OPERATES, COMPETITIVE PRODUCTS AND PRICING, THE GROWTH OR DECLINE OF, AND THE AVAILABILITY OF PRODUCT TO PURCHASE IN, THE DISCOUNT LOAN INDUSTRY FISCAL AND MONETARY POLICIES OF THE U.S. OR U.K. GOVERNMENTS, CHANGES IN GOVERNMENT REGULATIONS AFFECTING FINANCIAL INSTITUTIONS AND REAL ESTATE INVESTMENT TRUSTS, INCLUDING REGULATORY FEES, CAPITAL REQUIREMENTS AND TAXATION, CHANGES IN PREVAILING INTEREST AND CURRENCY EXCHANGE RATES, ACQUISITIONS AND THE INTEGRATION OF ACQUIRED BUSINESSES, SOFTWARE INTEGRATION, DEVELOPMENT AND LICENSING, CREDIT INTEREST RATE AND OPERATIONAL RISK MANAGEMENT, ASSET/LIABILITY MANAGEMENT, THE FINANCIAL AND SECURITIES MARKETS AND THE AVAILABILITY OF AND COSTS ASSOCIATED WITH SOURCES OF LIQUIDITY. THE COMPANY DOES NOT UNDERTAKE, AND SPECIFICALLY DISCLAIMS ANY OBLIGATION, TO PUBLICLY RELEASE THE RESULTS OF ANY REVISIONS WHICH MAY BE MADE TO ANY FORWARD-LOOKING STATEMENTS TO REFLECT THE OCCURRENCE OF ANTICIPATED OR UNANTICIPATED EVENTS OR CIRCUMSTANCES AFTER THE DATE OF SUCH STATEMENTS.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79" w:name="page80"/>
    <w:bookmarkEnd w:id="79"/>
    <w:p>
      <w:pPr>
        <w:ind w:left="800"/>
        <w:spacing w:after="0"/>
        <w:rPr>
          <w:sz w:val="20"/>
          <w:szCs w:val="20"/>
          <w:color w:val="auto"/>
        </w:rPr>
      </w:pPr>
      <w:r>
        <w:rPr>
          <w:rFonts w:ascii="Courier New" w:cs="Courier New" w:eastAsia="Courier New" w:hAnsi="Courier New"/>
          <w:sz w:val="15"/>
          <w:szCs w:val="15"/>
          <w:color w:val="auto"/>
        </w:rPr>
        <w:t>REPORT OF MANAGEMENT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OCWEN</w:t>
      </w:r>
    </w:p>
    <w:p>
      <w:pPr>
        <w:ind w:left="3240"/>
        <w:spacing w:after="0" w:line="237" w:lineRule="auto"/>
        <w:rPr>
          <w:sz w:val="20"/>
          <w:szCs w:val="20"/>
          <w:color w:val="auto"/>
        </w:rPr>
      </w:pPr>
      <w:r>
        <w:rPr>
          <w:rFonts w:ascii="Courier New" w:cs="Courier New" w:eastAsia="Courier New" w:hAnsi="Courier New"/>
          <w:sz w:val="15"/>
          <w:szCs w:val="15"/>
          <w:color w:val="auto"/>
        </w:rPr>
        <w:t>[LOGO]</w:t>
      </w:r>
    </w:p>
    <w:p>
      <w:pPr>
        <w:spacing w:after="0" w:line="342" w:lineRule="exact"/>
        <w:rPr>
          <w:sz w:val="20"/>
          <w:szCs w:val="20"/>
          <w:color w:val="auto"/>
        </w:rPr>
      </w:pPr>
    </w:p>
    <w:p>
      <w:pPr>
        <w:jc w:val="both"/>
        <w:ind w:left="800" w:right="3239"/>
        <w:spacing w:after="0" w:line="236" w:lineRule="auto"/>
        <w:rPr>
          <w:sz w:val="20"/>
          <w:szCs w:val="20"/>
          <w:color w:val="auto"/>
        </w:rPr>
      </w:pPr>
      <w:r>
        <w:rPr>
          <w:rFonts w:ascii="Courier New" w:cs="Courier New" w:eastAsia="Courier New" w:hAnsi="Courier New"/>
          <w:sz w:val="15"/>
          <w:szCs w:val="15"/>
          <w:color w:val="auto"/>
        </w:rPr>
        <w:t>The management of Ocwen is responsible for the preparation and fair presentation of the financial statements and other financial information contained in this annual report. The accompanying consolidated financial statements have been prepared in conformity with generally accepted accounting principles applied on a consistent basis and include amounts based on management's best estimates and judgments. Nonfinancial information included in this annual report has also been prepared by management and is consistent with the consolidated financial statements. In the opinion of management, the consolidated financial statements fairly reflect the Company's financial position, results of operations and cash flows.</w:t>
      </w:r>
    </w:p>
    <w:p>
      <w:pPr>
        <w:spacing w:after="0" w:line="180" w:lineRule="exact"/>
        <w:rPr>
          <w:sz w:val="20"/>
          <w:szCs w:val="20"/>
          <w:color w:val="auto"/>
        </w:rPr>
      </w:pPr>
    </w:p>
    <w:p>
      <w:pPr>
        <w:jc w:val="both"/>
        <w:ind w:left="800" w:right="3239"/>
        <w:spacing w:after="0" w:line="236" w:lineRule="auto"/>
        <w:rPr>
          <w:sz w:val="20"/>
          <w:szCs w:val="20"/>
          <w:color w:val="auto"/>
        </w:rPr>
      </w:pPr>
      <w:r>
        <w:rPr>
          <w:rFonts w:ascii="Courier New" w:cs="Courier New" w:eastAsia="Courier New" w:hAnsi="Courier New"/>
          <w:sz w:val="15"/>
          <w:szCs w:val="15"/>
          <w:color w:val="auto"/>
        </w:rPr>
        <w:t>To assure that financial information is reliable and assets are safeguarded, management has established and maintains an effective system of internal accounting controls and procedures that provide reasonable assurance as to the integrity and reliability of the financial statements, the protection of assets against loss from unauthorized use or disposition and the prevention and detection of errors and irregularities on a timely basis.</w:t>
      </w:r>
    </w:p>
    <w:p>
      <w:pPr>
        <w:spacing w:after="0" w:line="176" w:lineRule="exact"/>
        <w:rPr>
          <w:sz w:val="20"/>
          <w:szCs w:val="20"/>
          <w:color w:val="auto"/>
        </w:rPr>
      </w:pPr>
    </w:p>
    <w:p>
      <w:pPr>
        <w:jc w:val="both"/>
        <w:ind w:left="800" w:right="3239"/>
        <w:spacing w:after="0" w:line="236" w:lineRule="auto"/>
        <w:rPr>
          <w:sz w:val="20"/>
          <w:szCs w:val="20"/>
          <w:color w:val="auto"/>
        </w:rPr>
      </w:pPr>
      <w:r>
        <w:rPr>
          <w:rFonts w:ascii="Courier New" w:cs="Courier New" w:eastAsia="Courier New" w:hAnsi="Courier New"/>
          <w:sz w:val="15"/>
          <w:szCs w:val="15"/>
          <w:color w:val="auto"/>
        </w:rPr>
        <w:t>Price Waterhouse LLP conducts its audit of the consolidated financial statements in accordance with generally accepted auditing standards. Such standards include the evaluation of internal accounting controls to establish a basis for developing the scope of its examination of the consolidated financial statements. In addition to the use of independent certified public accountants, the Company maintains a professional staff of internal auditors who conduct financial, procedural and special audits. To ensure their independence, both Price Waterhouse LLP and the internal auditors have direct access to the Audit Committee of the Board of Directors.</w:t>
      </w:r>
    </w:p>
    <w:p>
      <w:pPr>
        <w:spacing w:after="0" w:line="179" w:lineRule="exact"/>
        <w:rPr>
          <w:sz w:val="20"/>
          <w:szCs w:val="20"/>
          <w:color w:val="auto"/>
        </w:rPr>
      </w:pPr>
    </w:p>
    <w:p>
      <w:pPr>
        <w:jc w:val="both"/>
        <w:ind w:left="800" w:right="3239"/>
        <w:spacing w:after="0" w:line="236" w:lineRule="auto"/>
        <w:rPr>
          <w:sz w:val="20"/>
          <w:szCs w:val="20"/>
          <w:color w:val="auto"/>
        </w:rPr>
      </w:pPr>
      <w:r>
        <w:rPr>
          <w:rFonts w:ascii="Courier New" w:cs="Courier New" w:eastAsia="Courier New" w:hAnsi="Courier New"/>
          <w:sz w:val="15"/>
          <w:szCs w:val="15"/>
          <w:color w:val="auto"/>
        </w:rPr>
        <w:t>The Audit Committee, which consists solely of independent directors of the Company, makes recommendations to the Board of Directors concerning the appointment of the independent certified public accountants and meets with Price Waterhouse LLP and the internal auditors to discuss the results of their audits, the Company's internal accounting controls and financial reporting matters.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WILLIAM C. ERBEY</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William C. Erbey</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Chairman, Chief Executive Officer</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and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MARK S. ZEIDMAN</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340"/>
        <w:spacing w:after="0" w:line="238" w:lineRule="auto"/>
        <w:rPr>
          <w:sz w:val="20"/>
          <w:szCs w:val="20"/>
          <w:color w:val="auto"/>
        </w:rPr>
      </w:pPr>
      <w:r>
        <w:rPr>
          <w:rFonts w:ascii="Courier New" w:cs="Courier New" w:eastAsia="Courier New" w:hAnsi="Courier New"/>
          <w:sz w:val="15"/>
          <w:szCs w:val="15"/>
          <w:color w:val="auto"/>
        </w:rPr>
        <w:t>Mark S. Zeidman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Senior Vice President and</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Chief Financial Officer</w:t>
      </w:r>
    </w:p>
    <w:p>
      <w:pPr>
        <w:spacing w:after="0" w:line="173" w:lineRule="exact"/>
        <w:rPr>
          <w:sz w:val="20"/>
          <w:szCs w:val="20"/>
          <w:color w:val="auto"/>
        </w:rPr>
      </w:pPr>
    </w:p>
    <w:p>
      <w:pPr>
        <w:sectPr>
          <w:pgSz w:w="11900" w:h="16838" w:orient="portrait"/>
          <w:cols w:equalWidth="0" w:num="2">
            <w:col w:w="4040" w:space="260"/>
            <w:col w:w="5939"/>
          </w:cols>
          <w:pgMar w:left="220" w:top="449"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OCWEN FINANCIAL CORPORATION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440" w:gutter="0" w:footer="0" w:header="0"/>
          <w:type w:val="continuous"/>
        </w:sectPr>
      </w:pPr>
    </w:p>
    <w:bookmarkStart w:id="80" w:name="page81"/>
    <w:bookmarkEnd w:id="80"/>
    <w:p>
      <w:pPr>
        <w:ind w:left="1840"/>
        <w:spacing w:after="0"/>
        <w:rPr>
          <w:sz w:val="20"/>
          <w:szCs w:val="20"/>
          <w:color w:val="auto"/>
        </w:rPr>
      </w:pPr>
      <w:r>
        <w:rPr>
          <w:rFonts w:ascii="Courier New" w:cs="Courier New" w:eastAsia="Courier New" w:hAnsi="Courier New"/>
          <w:sz w:val="14"/>
          <w:szCs w:val="14"/>
          <w:color w:val="auto"/>
        </w:rPr>
        <w:t>One East Broward Boulevard</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Suite 1700</w:t>
      </w:r>
    </w:p>
    <w:p>
      <w:pPr>
        <w:ind w:left="1840"/>
        <w:spacing w:after="0" w:line="237" w:lineRule="auto"/>
        <w:rPr>
          <w:sz w:val="20"/>
          <w:szCs w:val="20"/>
          <w:color w:val="auto"/>
        </w:rPr>
      </w:pPr>
      <w:r>
        <w:rPr>
          <w:rFonts w:ascii="Courier New" w:cs="Courier New" w:eastAsia="Courier New" w:hAnsi="Courier New"/>
          <w:sz w:val="15"/>
          <w:szCs w:val="15"/>
          <w:color w:val="auto"/>
        </w:rPr>
        <w:t>Fort Lauderdale, FL 33301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Telephone 954 463 6280</w:t>
      </w:r>
    </w:p>
    <w:p>
      <w:pPr>
        <w:spacing w:after="0" w:line="540" w:lineRule="exact"/>
        <w:rPr>
          <w:sz w:val="20"/>
          <w:szCs w:val="20"/>
          <w:color w:val="auto"/>
        </w:rPr>
      </w:pPr>
    </w:p>
    <w:p>
      <w:pPr>
        <w:sectPr>
          <w:pgSz w:w="11900" w:h="16838" w:orient="portrait"/>
          <w:cols w:equalWidth="0" w:num="2">
            <w:col w:w="4360" w:space="720"/>
            <w:col w:w="5159"/>
          </w:cols>
          <w:pgMar w:left="220" w:top="623" w:right="1440" w:bottom="1440" w:gutter="0" w:footer="0" w:header="0"/>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ectPr>
          <w:pgSz w:w="11900" w:h="16838" w:orient="portrait"/>
          <w:cols w:equalWidth="0" w:num="2">
            <w:col w:w="3660" w:space="720"/>
            <w:col w:w="5859"/>
          </w:cols>
          <w:pgMar w:left="220" w:top="623"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Ocwen Financial Corporation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our opinion, the accompanying consolidated statements of financial condition and the related consolidated statements of operations, of changes in stockholders' equity and of cash flows present fairly, in all material respects, the financial position of Ocwen Financial Corporation (the "Company") and its subsidiaries at December 31, 1997 and 1996 and the results of their operations and their cash flows for each of the three years in the period ended December 31,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misstatements.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PRICE WATERHOUSE LLP</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Fort Lauderdale, Florida</w:t>
      </w:r>
    </w:p>
    <w:p>
      <w:pPr>
        <w:ind w:left="360"/>
        <w:spacing w:after="0" w:line="237" w:lineRule="auto"/>
        <w:rPr>
          <w:sz w:val="20"/>
          <w:szCs w:val="20"/>
          <w:color w:val="auto"/>
        </w:rPr>
      </w:pPr>
      <w:r>
        <w:rPr>
          <w:rFonts w:ascii="Courier New" w:cs="Courier New" w:eastAsia="Courier New" w:hAnsi="Courier New"/>
          <w:sz w:val="15"/>
          <w:szCs w:val="15"/>
          <w:color w:val="auto"/>
        </w:rPr>
        <w:t>January 27,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3" w:right="1440" w:bottom="1440" w:gutter="0" w:footer="0" w:header="0"/>
          <w:type w:val="continuous"/>
        </w:sectPr>
      </w:pPr>
    </w:p>
    <w:bookmarkStart w:id="81" w:name="page82"/>
    <w:bookmarkEnd w:id="81"/>
    <w:p>
      <w:pPr>
        <w:jc w:val="center"/>
        <w:ind w:right="4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519"/>
        <w:spacing w:after="0" w:line="237" w:lineRule="auto"/>
        <w:rPr>
          <w:sz w:val="20"/>
          <w:szCs w:val="20"/>
          <w:color w:val="auto"/>
        </w:rPr>
      </w:pPr>
      <w:r>
        <w:rPr>
          <w:rFonts w:ascii="Courier New" w:cs="Courier New" w:eastAsia="Courier New" w:hAnsi="Courier New"/>
          <w:sz w:val="15"/>
          <w:szCs w:val="15"/>
          <w:color w:val="auto"/>
        </w:rPr>
        <w:t>CONSOLIDATED STATEMENTS OF FINANCIAL CONDITIONS</w:t>
      </w:r>
    </w:p>
    <w:p>
      <w:pPr>
        <w:jc w:val="center"/>
        <w:ind w:right="51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220" w:type="dxa"/>
            <w:vAlign w:val="bottom"/>
          </w:tcPr>
          <w:p>
            <w:pPr>
              <w:spacing w:after="0"/>
              <w:rPr>
                <w:sz w:val="14"/>
                <w:szCs w:val="14"/>
                <w:color w:val="auto"/>
              </w:rPr>
            </w:pPr>
          </w:p>
        </w:tc>
        <w:tc>
          <w:tcPr>
            <w:tcW w:w="2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amounts due from depository institutions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12,243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6,878</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earning deposits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140,001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 funds sold and repurchase agreements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held for trading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75,606</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available for sale, at market value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430,524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354,005</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available for sale, at lower of cost or market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177,041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126,366</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securities,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59,567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portfolio,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266,299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402,582</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 loan portfolio,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1,434,176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1,060,953</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low-income housing tax credit interests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128,614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93,309</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joint ventures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67,909</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 estate owned,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167,265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103,704</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real estate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65,972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41,033</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Premises and equipment,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21,542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14,619</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taxes receivable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15,115</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tax asset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45,148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Excess of purchase price over net assets acquired,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15,560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Principal, interest and dividends receivable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17,284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16,821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Escrow advances on loans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47,888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27,409</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38,985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17,274</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$ 3,069,165</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$ 2,483,685</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Deposits .....................................................................</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$ 1,982,822</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$ 1,919,742</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Advances from the Federal Home Loan Bank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Securities sold under agreements to repurchase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108,250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74,546</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Obligations outstanding under lines of credit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118,304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Notes, debentures and other interest bearing obligations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226,975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225,573</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interest payable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32,238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24,843</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taxes payable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expenses, payables and other liabilities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51,709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34,986</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2,523,430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2,280,089</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Company-obligated, mandatorily redeemable securities of subsidiary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trust holding solely junior subordinated debentures of the Company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w w:val="98"/>
              </w:rPr>
              <w:t>Minority interest ...............................................................</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1,043</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27)</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$.01 par value; 20,000,000 shares authorized;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 shares issued and outstanding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$.01 par value; 200,000,000 shares authorized;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60,565,835 and 53,488,340 shares issued and outstanding at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1997 and 1996, respectively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164,751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22,990</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259,349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180,417</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Unrealized (loss) gain on securities available for sale and equity securities,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of taxes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(5,014)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3,486</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Notes receivable on exercise of common stock options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(3,832)</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419,692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203,596</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$ 3,069,165</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$ 2,483,685</w:t>
            </w:r>
          </w:p>
        </w:tc>
      </w:tr>
      <w:tr>
        <w:trPr>
          <w:trHeight w:val="168"/>
        </w:trPr>
        <w:tc>
          <w:tcPr>
            <w:tcW w:w="722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ARE INTEGRAL PART OF THESE CONSOLIDATED FINANCIAL STATEMENTS.</w:t>
      </w:r>
    </w:p>
    <w:p>
      <w:pPr>
        <w:spacing w:after="0" w:line="33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53" w:right="1440" w:bottom="1440" w:gutter="0" w:footer="0" w:header="0"/>
        </w:sectPr>
      </w:pPr>
    </w:p>
    <w:bookmarkStart w:id="82" w:name="page83"/>
    <w:bookmarkEnd w:id="82"/>
    <w:p>
      <w:pPr>
        <w:jc w:val="center"/>
        <w:ind w:right="-9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19"/>
        <w:spacing w:after="0" w:line="237" w:lineRule="auto"/>
        <w:rPr>
          <w:sz w:val="20"/>
          <w:szCs w:val="20"/>
          <w:color w:val="auto"/>
        </w:rPr>
      </w:pPr>
      <w:r>
        <w:rPr>
          <w:rFonts w:ascii="Courier New" w:cs="Courier New" w:eastAsia="Courier New" w:hAnsi="Courier New"/>
          <w:sz w:val="15"/>
          <w:szCs w:val="15"/>
          <w:color w:val="auto"/>
        </w:rPr>
        <w:t>CONSOLIDATED STATEMENTS OF FINANCIAL CONDITIONS</w:t>
      </w:r>
    </w:p>
    <w:p>
      <w:pPr>
        <w:jc w:val="center"/>
        <w:ind w:right="-1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840" w:type="dxa"/>
            <w:vAlign w:val="bottom"/>
          </w:tcPr>
          <w:p>
            <w:pPr>
              <w:spacing w:after="0"/>
              <w:rPr>
                <w:sz w:val="14"/>
                <w:szCs w:val="14"/>
                <w:color w:val="auto"/>
              </w:rPr>
            </w:pPr>
          </w:p>
        </w:tc>
        <w:tc>
          <w:tcPr>
            <w:tcW w:w="4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agreements.............................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8,959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3,502</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available for sale............................................</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28,545</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26,932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18,391</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held for trading..............................................</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1,216</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Loans available for sale.................................................</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18,368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15,608</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Mortgage-related securities held for investment..........................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4,313</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Loans....................................................................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54,701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36,818</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Discount loans...........................................................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157,649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103,165</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75,998</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Investment securities and other..........................................</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4,061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3,990</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272,531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193,894</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137,275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Deposits.................................................................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122,070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93,773</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71,853</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sold under agreements to repurchase...........................</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sold but not yet purchased....................................</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Advances from the Federal Home Loan Bank.................................</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4,053</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Obligations outstanding under lines of credit............................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5,578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Notes, debentures and other interest bearing obligations.................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27,123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17,233</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8,988</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156,289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116,160</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84,060</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interest income before provision for loan losses.....................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116,242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77,734</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53,215</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loan losses...................................................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32,218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22,450</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1,082</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interest income after provision for loan losses......................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84,024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55,284</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52,133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Servicing fees and other charges.........................................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25,881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Gains on sales of interest earning assets, net...........................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82,212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21,682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6,916</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Gains from sale of branch offices........................................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Gain on real estate owned, net...........................................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7,277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3,827</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Gain on sale of real estate held for investment..........................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4,658</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Other income.............................................................</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8,498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7,112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123,868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37,303</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Compensation and employee benefits.......................................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77,573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39,043</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24,797</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Occupancy and equipment..................................................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17,657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8,921</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operating loss (income) on investments in real estate and certain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low-income housing tax credit interests................................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4,792</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Savings Association Insurance Fund recapitalization assessment...........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7,140</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Other operating expenses.................................................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26,771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14,927</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12,079</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126,793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69,606</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45,573</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on Company-obligated, mandatorily redeemable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 of subsidiary trust holding solely junior subordinated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debentures of the Company................................................</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5,249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Equity in earnings of investment in joint venture...........................</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23,688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38,320</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99,538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61,301</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37,701</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expense..........................................................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(21,309)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(11,159)</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(4,562)</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 in net loss of consolidated subsidiary....................</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703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78,932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50,142</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33,139</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from operations of discontinued divisions to September 30, 1995</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of tax benefits of $2,321 for 1995.................................</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(4,468)</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Loss on disposal of divisions, net of tax benefit of $1,776..............</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(3,204)</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income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78,932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50,142</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25,467</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0.99</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Discontinued operations, net of tax benefit..............................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0.99</w:t>
            </w:r>
          </w:p>
        </w:tc>
        <w:tc>
          <w:tcPr>
            <w:tcW w:w="4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$ 0.49</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0.94</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Discontinued operations, net of tax benefit..............................</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0.94</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0.46</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Basic....................................................................</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56,185,956</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50,556,572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51,712,415</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Diluted..................................................................</w:t>
            </w:r>
          </w:p>
        </w:tc>
        <w:tc>
          <w:tcPr>
            <w:tcW w:w="2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56,836,484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53,378,882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55,538,160</w:t>
            </w:r>
          </w:p>
        </w:tc>
      </w:tr>
      <w:tr>
        <w:trPr>
          <w:trHeight w:val="168"/>
        </w:trPr>
        <w:tc>
          <w:tcPr>
            <w:tcW w:w="68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THE ACCOMPANYING NOTES ARE INTEGRAL PART OF THESE CONSOLIDATED FINANCIAL STATEMENTS.</w:t>
      </w:r>
    </w:p>
    <w:p>
      <w:pPr>
        <w:sectPr>
          <w:pgSz w:w="11900" w:h="16838" w:orient="portrait"/>
          <w:cols w:equalWidth="0" w:num="1">
            <w:col w:w="10940"/>
          </w:cols>
          <w:pgMar w:left="220" w:top="785" w:right="739" w:bottom="12" w:gutter="0" w:footer="0" w:header="0"/>
        </w:sectPr>
      </w:pPr>
    </w:p>
    <w:bookmarkStart w:id="83" w:name="page84"/>
    <w:bookmarkEnd w:id="83"/>
    <w:p>
      <w:pPr>
        <w:jc w:val="center"/>
        <w:ind w:right="419"/>
        <w:spacing w:after="0"/>
        <w:rPr>
          <w:sz w:val="20"/>
          <w:szCs w:val="20"/>
          <w:color w:val="auto"/>
        </w:rPr>
      </w:pPr>
      <w:r>
        <w:rPr>
          <w:rFonts w:ascii="Courier New" w:cs="Courier New" w:eastAsia="Courier New" w:hAnsi="Courier New"/>
          <w:sz w:val="12"/>
          <w:szCs w:val="12"/>
          <w:color w:val="auto"/>
        </w:rPr>
        <w:t>24</w:t>
      </w:r>
    </w:p>
    <w:p>
      <w:pPr>
        <w:sectPr>
          <w:pgSz w:w="11900" w:h="16838" w:orient="portrait"/>
          <w:cols w:equalWidth="0" w:num="1">
            <w:col w:w="9019"/>
          </w:cols>
          <w:pgMar w:left="1440" w:top="310"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0"/>
        </w:trPr>
        <w:tc>
          <w:tcPr>
            <w:tcW w:w="74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OCWEN FINANCIAL CORPORATION AND SUBSIDIARIES</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320" w:type="dxa"/>
            <w:vAlign w:val="bottom"/>
            <w:gridSpan w:val="7"/>
          </w:tcPr>
          <w:p>
            <w:pPr>
              <w:jc w:val="right"/>
              <w:ind w:right="187"/>
              <w:spacing w:after="0" w:line="168" w:lineRule="exact"/>
              <w:rPr>
                <w:sz w:val="20"/>
                <w:szCs w:val="20"/>
                <w:color w:val="auto"/>
              </w:rPr>
            </w:pPr>
            <w:r>
              <w:rPr>
                <w:rFonts w:ascii="Courier New" w:cs="Courier New" w:eastAsia="Courier New" w:hAnsi="Courier New"/>
                <w:sz w:val="15"/>
                <w:szCs w:val="15"/>
                <w:color w:val="auto"/>
              </w:rPr>
              <w:t>CONSOLIDATED STATEMENTS OF CHANGES IN STOCKHOLDERS' EQUITY</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4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FOR THE YEARS ENDED DECEMBER 31, 1997, 1996 AND</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1995</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except share data)</w:t>
            </w: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Unrealized</w:t>
            </w:r>
          </w:p>
        </w:tc>
        <w:tc>
          <w:tcPr>
            <w:tcW w:w="1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86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(loss)</w:t>
            </w: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receivable</w:t>
            </w:r>
          </w:p>
        </w:tc>
        <w:tc>
          <w:tcPr>
            <w:tcW w:w="8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 securities</w:t>
            </w: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on exercise</w:t>
            </w:r>
          </w:p>
        </w:tc>
        <w:tc>
          <w:tcPr>
            <w:tcW w:w="8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available</w:t>
            </w:r>
          </w:p>
        </w:tc>
        <w:tc>
          <w:tcPr>
            <w:tcW w:w="1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common</w:t>
            </w:r>
          </w:p>
        </w:tc>
        <w:tc>
          <w:tcPr>
            <w:tcW w:w="8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w:t>
            </w:r>
          </w:p>
        </w:tc>
        <w:tc>
          <w:tcPr>
            <w:tcW w:w="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paid-in</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Retained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for sale,</w:t>
            </w:r>
          </w:p>
        </w:tc>
        <w:tc>
          <w:tcPr>
            <w:tcW w:w="14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w:t>
            </w:r>
          </w:p>
        </w:tc>
        <w:tc>
          <w:tcPr>
            <w:tcW w:w="8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Amount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of taxes</w:t>
            </w:r>
          </w:p>
        </w:tc>
        <w:tc>
          <w:tcPr>
            <w:tcW w:w="14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6"/>
              </w:rPr>
              <w:t>Balances at December 31, 1994........................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64,389,420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$ 644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$ 142,230</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(2,821)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$ 153,383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25,467</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Exercise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865,240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of common stock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(17,630,120)</w:t>
            </w:r>
          </w:p>
        </w:tc>
        <w:tc>
          <w:tcPr>
            <w:tcW w:w="220" w:type="dxa"/>
            <w:vAlign w:val="bottom"/>
          </w:tcPr>
          <w:p>
            <w:pPr>
              <w:spacing w:after="0"/>
              <w:rPr>
                <w:sz w:val="14"/>
                <w:szCs w:val="14"/>
                <w:color w:val="auto"/>
              </w:rPr>
            </w:pPr>
          </w:p>
        </w:tc>
        <w:tc>
          <w:tcPr>
            <w:tcW w:w="7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(176)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(37,422)</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(41,997)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(loss) on securities,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net of taxes .....................................</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1,406</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Balances at December 31, 1995........................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47,624,540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130,275</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(1,415)</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139,547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50,142</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50,142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Exercise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5,857,660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12,992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6,140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Notes receivable on exercise of common stock options,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net of repayments.................................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(3,832)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(loss) on securities,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net of taxes .....................................</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4,901</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4,901</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Balances at December 31, 1996........................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53,488,340</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22,990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180,417</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3,486</w:t>
            </w:r>
          </w:p>
        </w:tc>
        <w:tc>
          <w:tcPr>
            <w:tcW w:w="1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(3,832)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203,596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78,932</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Issuance of common stock.............................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6,906,198</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141,934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142,003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Repurchase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Exercise of common stock options.....................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171,297</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notes receivable on exercise of</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common stock options, net of advances.............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3,832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(loss) on securities,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net of taxes .....................................</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(8,500)</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(8,500)</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Balances at December 31, 1997........................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60,565,835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$ 164,751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$ 259,349</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  (5,014)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$419,692</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 ========= =========</w:t>
            </w:r>
          </w:p>
        </w:tc>
        <w:tc>
          <w:tcPr>
            <w:tcW w:w="1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THE ACCOMPANYING NOTES ARE INTEGRAL PART</w:t>
            </w:r>
          </w:p>
        </w:tc>
        <w:tc>
          <w:tcPr>
            <w:tcW w:w="3880" w:type="dxa"/>
            <w:vAlign w:val="bottom"/>
            <w:gridSpan w:val="6"/>
          </w:tcPr>
          <w:p>
            <w:pPr>
              <w:jc w:val="right"/>
              <w:ind w:right="47"/>
              <w:spacing w:after="0"/>
              <w:rPr>
                <w:sz w:val="20"/>
                <w:szCs w:val="20"/>
                <w:color w:val="auto"/>
              </w:rPr>
            </w:pPr>
            <w:r>
              <w:rPr>
                <w:rFonts w:ascii="Courier New" w:cs="Courier New" w:eastAsia="Courier New" w:hAnsi="Courier New"/>
                <w:sz w:val="15"/>
                <w:szCs w:val="15"/>
                <w:color w:val="auto"/>
                <w:w w:val="96"/>
              </w:rPr>
              <w:t>OF THESE CONSOLIDATED FINANCIAL STATEMENTS.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5"/>
        </w:trPr>
        <w:tc>
          <w:tcPr>
            <w:tcW w:w="4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25</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540"/>
          </w:cols>
          <w:pgMar w:left="220" w:top="953" w:right="139" w:bottom="1440" w:gutter="0" w:footer="0" w:header="0"/>
        </w:sectPr>
      </w:pPr>
    </w:p>
    <w:bookmarkStart w:id="85" w:name="page86"/>
    <w:bookmarkEnd w:id="85"/>
    <w:p>
      <w:pPr>
        <w:ind w:left="342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3160"/>
        <w:spacing w:after="0" w:line="237" w:lineRule="auto"/>
        <w:rPr>
          <w:sz w:val="20"/>
          <w:szCs w:val="20"/>
          <w:color w:val="auto"/>
        </w:rPr>
      </w:pPr>
      <w:r>
        <w:rPr>
          <w:rFonts w:ascii="Courier New" w:cs="Courier New" w:eastAsia="Courier New" w:hAnsi="Courier New"/>
          <w:sz w:val="15"/>
          <w:szCs w:val="15"/>
          <w:color w:val="auto"/>
        </w:rPr>
        <w:t>CONSOLIDATED STATEMENTS OF CASH FLOWS (Continued)</w:t>
      </w:r>
    </w:p>
    <w:tbl>
      <w:tblPr>
        <w:tblLayout w:type="fixed"/>
        <w:tblInd w:w="0" w:type="dxa"/>
        <w:tblCellMar>
          <w:top w:w="0" w:type="dxa"/>
          <w:left w:w="0" w:type="dxa"/>
          <w:bottom w:w="0" w:type="dxa"/>
          <w:right w:w="0" w:type="dxa"/>
        </w:tblCellMar>
      </w:tblPr>
      <w:tr>
        <w:trPr>
          <w:trHeight w:val="169"/>
        </w:trPr>
        <w:tc>
          <w:tcPr>
            <w:tcW w:w="6780" w:type="dxa"/>
            <w:vAlign w:val="bottom"/>
          </w:tcPr>
          <w:p>
            <w:pPr>
              <w:ind w:left="438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6780" w:type="dxa"/>
            <w:vAlign w:val="bottom"/>
          </w:tcPr>
          <w:p>
            <w:pPr>
              <w:spacing w:after="0"/>
              <w:rPr>
                <w:sz w:val="14"/>
                <w:szCs w:val="14"/>
                <w:color w:val="auto"/>
              </w:rPr>
            </w:pPr>
          </w:p>
        </w:tc>
        <w:tc>
          <w:tcPr>
            <w:tcW w:w="38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780" w:type="dxa"/>
            <w:vAlign w:val="bottom"/>
          </w:tcPr>
          <w:p>
            <w:pPr>
              <w:ind w:left="280"/>
              <w:spacing w:after="0"/>
              <w:rPr>
                <w:sz w:val="20"/>
                <w:szCs w:val="20"/>
                <w:color w:val="auto"/>
              </w:rPr>
            </w:pPr>
            <w:r>
              <w:rPr>
                <w:rFonts w:ascii="Courier New" w:cs="Courier New" w:eastAsia="Courier New" w:hAnsi="Courier New"/>
                <w:sz w:val="15"/>
                <w:szCs w:val="15"/>
                <w:color w:val="auto"/>
                <w:w w:val="98"/>
              </w:rPr>
              <w:t>Net income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78,932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50,142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25,467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cash provided from trading activities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132,600</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(60,881)</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2,949</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loans available for sale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519,163</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397,606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100,104</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Purchases of loans available for sale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(278,081)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(295,054)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(271,210)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Origination of loans available for sale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(316,101)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(9,447)</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(2,829)</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Principal payments received on loans available for sale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22,240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26,689</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10,103</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Premium amortization (discount accretion), net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63,506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11,640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(2,401)</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10,865</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7,646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3,755</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Provision for loan losses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32,218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22,450</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Gains on sales of interest earning assets, net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(82,212)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(21,682)</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(6,955)</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Loss on sales of premises and equipment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sale of low-income housing tax credit interests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(6,298)</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(4,861)</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sale of real estate owned, net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(17,201)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(8,496)</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sales of branch offices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sale of real estate held for investment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(4,658)</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Decrease (increase) in principal, interest and dividends receivable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(463)</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(2,277)</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(6,484)</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Decrease (increase) in income taxes receivable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18,247</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(14,110)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decrease in deferred tax asset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(39,288)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16,403</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decrease in escrow advances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(20,479)</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(6,255)</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in other assets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(27,501)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(12,037)</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(14,064)</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accrued expenses, interest payable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and other liabilities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24,118</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(1,677)</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cash provided (used) by operating activities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114,265</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101,368</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(189,426)</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securities available for sale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202,670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175,857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836,247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Purchases of securities available for sale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(415,822)</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(233,858)</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(934,179)</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Maturities of and principal payments received on securities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available for sale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46,084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28,756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21,639</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Maturities of and principal payments received on securities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held for investment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17,545</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 of investment securities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(42,166)</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Acquisition of subsidiaries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(11,635)</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 of low-income housing tax credit interests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(54,573)</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(34,240)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(29,280)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low-income housing tax credit interests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22,026</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24,667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discount loans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500,151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190,616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38,942</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 of real estate held for investment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14,905</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25,193</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loans held for investment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14,883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and originations of loans held for investment,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of undisbursed loan funds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(138,884)</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(237,525)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(270,600)</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 of discount loans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(1,464,611)</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(925,850)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(547,987)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Decrease (increase) in investment in joint ventures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66,853</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(67,909)</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Principal payments received on loans held for investment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291,998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119,923</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36,859</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Principal payments received on discount loans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382,781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244,205</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214,626</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 of and capital improvements to real estate held for investment..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(39,844)</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(29,946)</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real estate owned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196,180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169,084</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148,225</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Purchase of real estate owned in connection with discount loan purchases</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(38,486)</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(1,628)</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(24,617)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Additions to premises and equipment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(13,744)</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(5,243)</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(12,207)</w:t>
            </w:r>
          </w:p>
        </w:tc>
      </w:tr>
      <w:tr>
        <w:trPr>
          <w:trHeight w:val="168"/>
        </w:trPr>
        <w:tc>
          <w:tcPr>
            <w:tcW w:w="6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Other, net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5,067</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cash used by investing activities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(493,733)</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(558,251)</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(474,527)</w:t>
            </w:r>
          </w:p>
        </w:tc>
      </w:tr>
      <w:tr>
        <w:trPr>
          <w:trHeight w:val="168"/>
        </w:trPr>
        <w:tc>
          <w:tcPr>
            <w:tcW w:w="67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959"/>
        <w:spacing w:after="0"/>
        <w:rPr>
          <w:sz w:val="20"/>
          <w:szCs w:val="20"/>
          <w:color w:val="auto"/>
        </w:rPr>
      </w:pPr>
      <w:r>
        <w:rPr>
          <w:rFonts w:ascii="Courier New" w:cs="Courier New" w:eastAsia="Courier New" w:hAnsi="Courier New"/>
          <w:sz w:val="15"/>
          <w:szCs w:val="15"/>
          <w:color w:val="auto"/>
        </w:rPr>
        <w:t>(Continued on next page)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ACCOMPANYING NOTES ARE INTEGRAL PART OF THESE CONSOLIDATED FINANCIAL STATEMENTS.</w:t>
      </w:r>
    </w:p>
    <w:p>
      <w:pPr>
        <w:spacing w:after="0" w:line="335"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600"/>
          </w:cols>
          <w:pgMar w:left="220" w:top="785" w:right="1079" w:bottom="1440" w:gutter="0" w:footer="0" w:header="0"/>
        </w:sectPr>
      </w:pPr>
    </w:p>
    <w:bookmarkStart w:id="86" w:name="page87"/>
    <w:bookmarkEnd w:id="86"/>
    <w:p>
      <w:pPr>
        <w:ind w:left="29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2800"/>
        <w:spacing w:after="0" w:line="237" w:lineRule="auto"/>
        <w:rPr>
          <w:sz w:val="20"/>
          <w:szCs w:val="20"/>
          <w:color w:val="auto"/>
        </w:rPr>
      </w:pPr>
      <w:r>
        <w:rPr>
          <w:rFonts w:ascii="Courier New" w:cs="Courier New" w:eastAsia="Courier New" w:hAnsi="Courier New"/>
          <w:sz w:val="15"/>
          <w:szCs w:val="15"/>
          <w:color w:val="auto"/>
        </w:rPr>
        <w:t>CONSOLIDATED STATEMENTS OF CASH FLOWS (Continued)</w:t>
      </w:r>
    </w:p>
    <w:tbl>
      <w:tblPr>
        <w:tblLayout w:type="fixed"/>
        <w:tblInd w:w="0" w:type="dxa"/>
        <w:tblCellMar>
          <w:top w:w="0" w:type="dxa"/>
          <w:left w:w="0" w:type="dxa"/>
          <w:bottom w:w="0" w:type="dxa"/>
          <w:right w:w="0" w:type="dxa"/>
        </w:tblCellMar>
      </w:tblPr>
      <w:tr>
        <w:trPr>
          <w:trHeight w:val="169"/>
        </w:trPr>
        <w:tc>
          <w:tcPr>
            <w:tcW w:w="6520" w:type="dxa"/>
            <w:vAlign w:val="bottom"/>
          </w:tcPr>
          <w:p>
            <w:pPr>
              <w:jc w:val="right"/>
              <w:ind w:right="58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6520" w:type="dxa"/>
            <w:vAlign w:val="bottom"/>
          </w:tcPr>
          <w:p>
            <w:pPr>
              <w:spacing w:after="0"/>
              <w:rPr>
                <w:sz w:val="14"/>
                <w:szCs w:val="14"/>
                <w:color w:val="auto"/>
              </w:rPr>
            </w:pPr>
          </w:p>
        </w:tc>
        <w:tc>
          <w:tcPr>
            <w:tcW w:w="32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in deposits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63,080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414,728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585,335</w:t>
            </w: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securities sold under agreements to repurchase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33,704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(10,215)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84,761</w:t>
            </w: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issuance of notes, debentures and other interest bearing</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obligations, net of repayments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107,615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issuance of obligations under lines of credit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118,304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obligations assumed in connection with acquisition of</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subsidiary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Payment of debt issuance costs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(3,301)</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Payments on advances from Federal Home Loan Bank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(146,000)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(105,000)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Payments and repurchase of notes and mortgages payable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(8,798)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Repayments (originations) of loans made to executive officers, net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Advances from the Federal Home Loan Bank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170,000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issuance of Capital Trust Securities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125,000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Payment of Capital Trust Securities issuance costs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Issuance of shares of common stock, net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142,003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Sales of deposits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(111,686)</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Premium received on sales of deposits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Repurchase of common stock options and common stock ..................</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(42,129)</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cash provided by financing activities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479,493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454,470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681,835</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increase (decrease) in cash and cash equivalents ....................</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100,025</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(2,413)</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17,882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52,219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36,750</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at end of period ..............................</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$ 152,244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54,632</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Reconciliation of cash and cash equivalents at end of period:</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amounts due from depository institutions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earning deposits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140,001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50,432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Federal funds sold and repurchase agreements .........................</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$ 152,244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54,632</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5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$ 148,895</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$ 115,015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72,626</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Income taxes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12,858</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Exchange of discount loans and loans available for sale for securities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$ 897,358</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$ 375,621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83,875</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Real estate owned acquired through foreclosure .......................</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$ 205,621</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$ 102,140</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$ 185,001</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20" w:type="dxa"/>
            <w:vAlign w:val="bottom"/>
          </w:tcPr>
          <w:p>
            <w:pPr>
              <w:ind w:left="280"/>
              <w:spacing w:after="0"/>
              <w:rPr>
                <w:sz w:val="20"/>
                <w:szCs w:val="20"/>
                <w:color w:val="auto"/>
              </w:rPr>
            </w:pPr>
            <w:r>
              <w:rPr>
                <w:rFonts w:ascii="Courier New" w:cs="Courier New" w:eastAsia="Courier New" w:hAnsi="Courier New"/>
                <w:sz w:val="15"/>
                <w:szCs w:val="15"/>
                <w:color w:val="auto"/>
              </w:rPr>
              <w:t>Transfer of mortgage-related securities from held for investment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 available for sale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73,706</w:t>
            </w:r>
          </w:p>
        </w:tc>
      </w:tr>
      <w:tr>
        <w:trPr>
          <w:trHeight w:val="168"/>
        </w:trPr>
        <w:tc>
          <w:tcPr>
            <w:tcW w:w="65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ACCOMPANYING NOTES ARE INTEGRAL PART OF THESE CONSOLIDATED FINANCIAL STATEMENTS.</w:t>
      </w:r>
    </w:p>
    <w:p>
      <w:pPr>
        <w:spacing w:after="0" w:line="335"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953" w:right="1440" w:bottom="1440" w:gutter="0" w:footer="0" w:header="0"/>
        </w:sectPr>
      </w:pPr>
    </w:p>
    <w:bookmarkStart w:id="87" w:name="page88"/>
    <w:bookmarkEnd w:id="8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Ocwen Financial Corporation ("Ocwen" or the "Company") is a financial services holding company engaged primarily in the acquisition, servicing and resolution of nonperforming and underperforming mortgage loans ("discount loans"), multi-family residential and commercial real estate lending activities, subprime single family residential lending activities and various investment activities including mortgage related securities and, low-income housing tax credit interests. The Company's consolidated financial statements include the accounts of Ocwen and its subsidiaries. The Company owns directly and indirectly all of the outstanding common and preferred stock of its primary subsidiaries, Ocwen Federal Bank FSB (the "Bank") and, Investors Mortgage Insurance Holding Company ("IMI"). Ocwen also owns 93.7% of Ocwen Financial Services ("OFS"), with the remaining 6.3% owned by Admiral Home Loan ("Admiral") and reported in the consolidated financial statements as a minority interest. All significant intercompany transactions and balances have been eliminated in consolidation.</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Bank is a federally chartered savings bank regulated by the Office of Thrift Supervision ("OTS"). IMI's primary subsidiaries are engaged in hotel operations and other real estate related ventures. OFS is engaged in subprime single family residential lending activities.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Certain amounts included in the 1996 and 1995 consolidated financial statements have been reclassified in order to conform to the 1997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purposes of reporting cash flows, cash and cash equivalents include cash on hand, interest bearing and non-interest bearing deposits and all highly liquid debt instruments purchased with an original maturity of three months or less. Cash flows associated with items intended as hedges of identifiable transactions or events are classified in the same category as the cash flows from the items being hedged.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Activities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From time to time, the Company purchases investment and mortgage-backed and related securities into its trading account. In addition, securities acquired and sold shortly thereafter resulting from the securitization of loans available for sale are accounted for as the sale of loans and the purchase and sale of trading securities. Securities held for trading purposes are carried at market value with the unrealized gains or losses included in gains on sales of interest earning assets, net.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Available for Sale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Certain mortgage-related securities are designated as assets available for sale because the Company does not intend to hold them to maturity. Securities available for sale are carried at market value with the net unrealized gains or losses reported as a separate component of stockholders' equity. Unrealized losses on securities that reflect a decline in value which is other than temporary, if any, are charged to earnings. At disposition, the realized net gain or loss is included in earnings on a specific identification basis. The amortization of premiums and accretion of discounts are computed using the interest method after considering actual and estimated prepayment rates, if applicable. Actual prepayment experience is periodically reviewed and effective yields are recalculated when differences arise between prepayments originally anticipated and amounts actually received plus anticipated future prepayments.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December 1995, in conjunction with a transition provision provided by the Financial Accounting Standards Board pertaining to the classification of securities in accordance with Statement of Financial Accounting Standards ("SFAS") No. 115, "Accounting for Certain Investments in Debt and Equity Securities", the Company transferred all of its mortgage-related securities held for investment, with a book value of $75,194 and a market value of $73,706 to securities available for sale.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Securities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Non-marketable equity securities held for investment are stated at cost because the Company has the ability and the intent to hold them to maturity.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Investments in marketable equity securities are designated as available for sale and are carried at market value based on quoted market prices. Net unrealized gains or losses are reported as a separate component of stockholders' equity. Unrealized losses on securities that reflect a decline in value which is other than temporary, if any, are charged to earnings.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685" w:gutter="0" w:footer="0" w:header="0"/>
        </w:sectPr>
      </w:pPr>
    </w:p>
    <w:bookmarkStart w:id="88" w:name="page89"/>
    <w:bookmarkEnd w:id="8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Available for Sale and Held for Investment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Loans originated or purchased by the Company which the Company presently does not intend to hold to maturity are designated as loans available for sale upon origination or purchase and are stated at the lower of cost, after considering deferred loan fees and costs, or aggregate market value. Upon the sale of a loan, any unamortized deferred loan fees, net of costs, are included in the gain or loss on sale of interest earning assets. Gains and losses on disposal of such assets are computed on a specific identification basis.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Loans held for investment are stated at amortized cost, less an allowance for loan losses, because the Company has the ability and the intent to hold them to maturity.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Interest income is accrued as it is earned. Loans are placed on non-accrual status after being delinquent greater than 89 days, or earlier if the borrower is deemed by management to be unable to continue performance. When a loan is placed on non-accrual status, interest accrued but not received is reversed. While a loan is on non-accrual status, interest is recognized only as cash is received. Loans are returned to accrual status only when the loan is reinstated and ultimate collectibility of future interest is no longer in doubt.</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Loan origination fees and certain direct loan origination costs are deferred and recognized over the lives of the related loans as a yield adjustment and included in interest income using the interest method applied on a loan-by-loan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Estimated Loan Losses on Loan Portfolio</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allowance for estimated loan losses is maintained at a level that management, based upon an evaluation of known and inherent risks in the portfolio, considers adequate to provide for potential losses. Specific valuation allowances are established for impaired loans in the amount by which the carrying value, before allowance for estimated losses, exceeds the fair value of collateral less costs to dispose on an individual loan basis, except for single family residential mortgage loans and consumer loans which are generally evaluated for impairment as homogeneous pools of loans. The Company considers a loan to be impaired when, based upon current information and events, it believes that it is probable that the Company will be unable to collect all amounts due according to the contractual terms of the loan agreement on a timely basis. The Company measures these impaired loans at the fair value of the loans' underlying collateral less estimated disposal costs. Impaired loans may be left on accrual status during the period the Company is pursuing repayment of the loan. These loans are placed on non-accrual status at such time that the loans either: (i) become 90 days delinquent; or (ii) the Company determines the borrower is incapable of, or has ceased efforts toward, curing the cause of the impairment. Impairment losses are recognized through an increase in the allowance for loan losses and a corresponding charge to the provision for loan losses. When an impaired loan is either sold, transferred to REO or charged off, any related valuation allowance is credited to the allowance for loan losses. Charge-offs occur when loans, or a portion thereof, are considered uncollectible and of such little value that their continuance as bankable assets is not warranted. General valuation allowances are also established for the inherent risks in the loan portfolio which have occurred but have yet to be specifically identified. Management's periodic evaluation of the allowance for estimated loan losses is based upon an analysis of the portfolio, historical loss experience, economic conditions and trends, collateral values and other relevant factors. Future adjustments to the allowance may be necessary if economic conditions and trends, collateral values and other relevant factors differ substantially from the assumptions used in making the evaluation.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 Loan Portfolio</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which there is a reason to believe the borrower will be unable to continue to make its scheduled principal and interest payments, are acquired at a discount. The Company accounts for its initial investment in a pool of loans based upon the pricing methodologies used to bid on the pool. The acquisition cost is allocated to each loan within the pool when the bid price was determined based upon an analysis of the expected future cash flows of each individual loan. The acquisition cost is accounted for in the aggregate when the bid price was determined using assumptions concerning the expected future cash flows from groups of loans within the pool. Prior to January 1, 1997, the discount associated with all single family residential loans was recognized as a yield adjustment and accreted into interest income using the interest method applied on a loan-by-loan basis once foreclosure proceedings are initiated, to the extent the timing and amount of cash flows could be reasonably determined. Effective January 1, 1997, the Company ceased accretion of discount on its nonperforming discount single family residential loans. For those single family residential mortgage loans which are brought current by the borrower and certain multi-family and commercial real estate loans which are current and the Company believes will remain current, the remaining unamortized discount is accreted into interest income as a yield adjustment using the interest method over the contractual maturity of the loan. For all other loans, interest is reported as cash is received. Gains on the repayment and discharging of loans are reported as interest income. In situations where the collateral is foreclosed upon, the loans are transferred to real estate owned upon receipt of title to the property and accretion of the related discount is discontinued.</w:t>
      </w:r>
    </w:p>
    <w:p>
      <w:pPr>
        <w:sectPr>
          <w:pgSz w:w="11900" w:h="16838" w:orient="portrait"/>
          <w:cols w:equalWidth="0" w:num="1">
            <w:col w:w="10239"/>
          </w:cols>
          <w:pgMar w:left="220" w:top="617" w:right="1440" w:bottom="16" w:gutter="0" w:footer="0" w:header="0"/>
        </w:sectPr>
      </w:pPr>
    </w:p>
    <w:bookmarkStart w:id="89" w:name="page90"/>
    <w:bookmarkEnd w:id="89"/>
    <w:p>
      <w:pPr>
        <w:ind w:left="22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303" w:right="1440" w:bottom="1440" w:gutter="0" w:footer="0" w:header="0"/>
        </w:sectPr>
      </w:pPr>
    </w:p>
    <w:bookmarkStart w:id="90" w:name="page91"/>
    <w:bookmarkEnd w:id="9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Properties acquired through foreclosure are valued at the lower of the adjusted cost basis of the loan or fair value less estimated costs of disposal of the property at the date of foreclosure. Properties held are periodically re-evaluated to determine that they are being carried at the lower of cost or fair value less estimated costs to dispose. Sales proceeds and related costs are recognized with passage of title to the buyer and, in cases where the Company finances the sale, receipt of sufficient down payment. Rental income related to properties is reported as income as earned. Holding and maintenance costs related to properties are reported as period costs as incurred. No depreciation expense related to properties has been recorded. Decreases in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Allowances on Discount Loans and Real Estate Owned</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Beginning in the first quarter of 1996, the Company began recording general valuation allowances on discount loans and real estate owned to reflect the inherent losses which have occurred but have yet to be specifically identified. Management has established the valuation allowances based upon historical loss experience, economic conditions and trends, collateral values and other relevant factors. Previously, the Company recorded specific valuation allowances on real estate owned. Also beginning in 1996, the Company began recording losses and charge-offs on discount loans against the allowance for loan losses. Previously, these amounts were deducted from interest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Real Estate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conjunction with its multi-family and commercial lending business activity, the Company has made certain acquisition, development and construction loans in which the Company participates in the residual profits of the underlying real estate and the borrower has not made an equity contribution substantial to the overall project. As such, the Company accounts for these loans under the equity method of accounting as though it has made an investment in a real estate limited partnership.</w:t>
      </w:r>
    </w:p>
    <w:p>
      <w:pPr>
        <w:spacing w:after="0" w:line="17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Company also has invested indirectly, through its IMI subsidiaries, in certain hotel properties and other real estate related ventures.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Low-income Housing Tax Credit Interests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Low-income housing tax credit partnerships own multi-family residential properties which have been allocated tax credits under the Internal Revenue Code. The obligations of the partnership to sustain qualifying status of the properties covers a 15-year period; however, tax credits accrue over a 10-year period on a straight-line basis. Investments by the Company in low-income housing tax credit partnerships made on or after May 18, 1995 in which the Company invests solely as a limited partner, are accounted for using the equity method in accordance with the consensus of the Emerging Issues Task Force through issue number 94-1. For the Company's limited partnership investments made prior to this date, the Company records its receipt of income tax credits and other tax benefits on a level yield basis over the 15-year obligation period and reports the tax credits and tax benefits net of amortization of its investment in the limited partnership as a reduction of income tax expense. Low-income housing tax credit partnerships in which the Company has invested as a limited partner, and through a subsidiary acts as the general partner, are presented on a consolidated basis. For all investments in low-income housing tax credit partnerships made after May 18, 1995, the Company capitalizes interest expense and certain direct costs incurred during the pre-operating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excess of purchase price over net assets of acquired businesses is stated at cost and is amortized on a straight-line basis over the estimated future periods to be benefited. The carrying value of cost in excess of net assets acquired is reviewed for impairment whenever events or changes in circumstances indicate that it may not be recoverable. If such an event occurred, the Company would prepare projections of future results of operations for the remaining amortization period. If such projections indicated that the cost in excess of net assets acquired would not be recoverable, the Company's carrying value of such asset would be reduced by the estimated excess of such value over projected income. No such impairment existed at December 31, 1997.</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Premises and equipment are carried at cost and, except for land, are depreciated over their estimated useful lives on the straight-line method. The estimated useful lives of the related assets range from 3 to 10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 Activities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manages its exposure to interest rate movements by seeking to match asset and liability balances within maturity categories, both directly and through the use of derivative financial instruments. These derivative instruments include interest rate swaps ("swaps") and interest rate futures</w:t>
      </w:r>
    </w:p>
    <w:p>
      <w:pPr>
        <w:sectPr>
          <w:pgSz w:w="11900" w:h="16838" w:orient="portrait"/>
          <w:cols w:equalWidth="0" w:num="1">
            <w:col w:w="10239"/>
          </w:cols>
          <w:pgMar w:left="220" w:top="617" w:right="1440" w:bottom="0" w:gutter="0" w:footer="0" w:header="0"/>
        </w:sectPr>
      </w:pPr>
    </w:p>
    <w:bookmarkStart w:id="91" w:name="page92"/>
    <w:bookmarkEnd w:id="91"/>
    <w:p>
      <w:pPr>
        <w:ind w:left="22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303"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contracts that are designated and effective as hedges, as well as swaps that are designated and effective in modifying the interest rate and/or maturity characteristics of specified assets or liabilities.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net interest received or paid on swaps is reflected as interest income or expense of the related hedged position. Gains and losses resulting from the termination of swaps are recognized over the shorter of the remaining contract lives of the swaps or the lives of the related hedged positions or, if the hedged positions are sold, are recognized in the current period as gains on sales of interest earning assets, net. Gains and losses on futures contracts are deferred and amortized over the terms of the related assets or liabilities and reflected as interest income or expense of the related hedged positions. If the hedged positions are sold, any unamortized deferred gains or losses on futures contracts are recognized in the current period as gains on sales of interest earning assets, net. Interest rate contracts are carried at fair value.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files consolidated Federal income tax returns with its subsidiaries. Consolidated income tax is allocated among the subsidiaries participating in the consolidated returns as if each subsidiary of the Company, which has one or more subsidiaries, filed its own consolidated return.</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accounts for income taxes using the asset and liability method which requires the recognition of deferred tax liabilities and assets for the expected future tax consequences of temporary differences between the carrying amounts and the tax basis of assets and liabilities. Additionally, deferred taxes are adjusted for subsequent tax rate 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Joint Ventures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March 1996, the Company and BlackRock Capital Finance L.P. ("BlackRock") formed BCBF, L.L.C. (the "LLC"), a limited liability corporation, to acquire loans from the U.S. Department of Housing and Urban Development ("HUD"). The Company and BlackRock each owned 50% of the LLC. In December 1997, the LLC distributed all of its assets to the Company and BlackRock. Simultaneous to the distribution, the Company acquired BlackRock's portion of the distributed assets. In January 1997, BCFL, L.L.C. ("BCFL"), a limited liability company, was formed by the Company and BlackRock to acquire discount multi-family residential loans from HUD.</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investment in the LLC is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 The Company's investment in BCFL is accounted for under the cost method.</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services all loans on behalf of the LLC for a fee, and all intercompany transactions between the Company and the LLC are eliminated for financial reporting purposes to the extent of the Company's ownership in the LLC.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and Diluted Earnings Per Share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Basic earnings per share is calculated based upon the weighted average number of shares of common stock outstanding during the year. Diluted earnings per share is calculated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the normal course of business, the Company encounters two significant types of risk: economic and regulatory. There are three main components of economic risk: interest rate risk, credit risk and market risk. The Company is subject to interest rate risk to the degree that its interest-bearing liabilities mature or reprice at different speeds, or different bases, than its interest-earning assets. Credit risk is the risk of default on the Company's loan portfolio that results from a borrowers' inability or unwillingness to make contractually required payments. Market risk reflects changes in the value of loans held for sale, securities available for sale and purchased mortgage servicing rights due to changes in interest rates or other market factors, including the rate of prepayments of principal and the value of the collateral underlying loans and the valuation of real estate held by the Company.</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ectPr>
          <w:pgSz w:w="11900" w:h="16838" w:orient="portrait"/>
          <w:cols w:equalWidth="0" w:num="1">
            <w:col w:w="10239"/>
          </w:cols>
          <w:pgMar w:left="220" w:top="617" w:right="1440" w:bottom="0" w:gutter="0" w:footer="0" w:header="0"/>
        </w:sectPr>
      </w:pPr>
    </w:p>
    <w:bookmarkStart w:id="93" w:name="page94"/>
    <w:bookmarkEnd w:id="93"/>
    <w:p>
      <w:pPr>
        <w:ind w:left="22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303" w:right="1440" w:bottom="1440" w:gutter="0" w:footer="0" w:header="0"/>
        </w:sectPr>
      </w:pPr>
    </w:p>
    <w:bookmarkStart w:id="94" w:name="page95"/>
    <w:bookmarkEnd w:id="94"/>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in the near or medium term relate to the determination of the allowance for losses on loans and discount loans.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Standards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January 1, 1996, the Company adopted SFAS No. 123, "Accounting for Stock-Based Compensation," which requires that the fair value of employee stock-based compensation plans be recorded as a component of compensation expense in the statement of operations as of the date of grant of awards related to such plans or that the impact of such fair value on net income and earnings per share be disclosed on a pro forma basis in a footnote to financial statements for awards granted after December 15, 1994, if the accounting for such awards continues to be in accordance with Accounting Principles Board Opinion ("APB") No. 25, "Accounting for Stock Issued to Employees". The Company has elected to continue such accounting under the provisions of APB No. 25 and has disclosed the pro forma information as required in Note 23.</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January 1, 1997, the Company adopted SFAS No. 125, "Accounting for Transfers and Servicing of Financial Assets and Extinguishments of Liabilities." SFAS No. 125 (i) sets forth the criteria for (a) determining when to recognize financial and servicing assets and liabilities; and (b) accounting for transfers of financial assets as sales or borrowings; and (ii) requires (a) liabilities and derivatives related to a transfer of financial assets to be recorded at fair value; (b) servicing assets and retained interests in transferred assets carrying amounts be determined by allocating carrying amounts based on fair value; (c) amortization of servicing assets and liabilities be in proportion to net servicing income; (d) impairment measurement based on fair value; and (e) pledged financial assets to be classified as collateral. SFAS No. 125 provides implementation guidance for assessing isolation of transferred assets and for accounting for transfers of partial interests, servicing of financial assets, securitizations, transfers of sales-type and direct financing lease receivables, securities lending transactions, repurchase agreements including "dollar rolls", "wash sales", loan syndications and participations, risk participations in banker's acceptances, factoring arrangements, transfers of receivables with recourse and extinguishments of liabilities. In December 1996, the FASB issued SFAS No. 127, "Deferral of the Effective Date of FASB Statement No. 125", which delayed implementation of certain provisions of SFAS No. 125.</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February 1997, the FASB issued SFAS No. 128, "Earnings per Share." SFAS No. 128 simplifies the standards found in APB No. 15 for computing earnings per share ("EPS") and makes them comparable to international standards. Under SFAS No. 128, the Company is required to present both basic and diluted EPS on the face of its statements of operations. Basic EPS, which replaces primary EPS required by APB No. 15 for entities with complex capital structures, excludes common stock equivalents and is computed by dividing income available to common stockholders by the weighted-average number of common shares outstanding for the period. Diluted EPS gives effect to all dilutive potential common shares that were outstanding during the period. SFAS No. 128 is effective for financial statements for both interim and annual periods ending after December 15, 1997 with earlier application not permitted. The Company adopted SFAS No. 128 effective December 31, 1997. All prior period EPS data has been restated.</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February 1997, the FASB also issued SFAS No. 129, "Disclosure of Financial Information About Capital Structure". SFAS No. 129 supersedes capital structure disclosure requirements found in previous accounting pronouncements and consolidates them into one statement for ease of retrieval and greater visibility for non-public entities. These disclosures are required for financial statements for periods ending after December 15, 1997. As SFAS No. 129 makes no changes to previous accounting pronouncements as those pronouncements applied to the Company, the adoption of SFAS No. 129 had no impact on the Company's results of operations and financial condition.</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requires the inclusion of comprehensive income, either in a separate statement for comprehensive income, or as part of a combined statement of income and comprehensive income in a full-set of general-purpose financial statements. Comprehensive income is defined as the change in equity of a business enterprise during a period from transactions and other events and circumstances, excluding those resulting from investments by and distributions to owners. SFAS No. 130 requires that comprehensive income be presented beginning with net income, adding the elements of comprehensive income not included in the determination of net income, to arrive at comprehensive income. SFAS No. 130 also requires that an enterprise display the accumulated balance of other comprehensive income separately from retained earnings and additional paid-in capital in the equity section of the statement of financial position. SFAS No. 130 is effective for the Company's fiscal year beginning January 1, 1998. SFAS No. 130 requires the presentation of information already contained in the Company's financial statements and therefore is not expected to have an impact on the Company's financial position or results of operation.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June 1997, the FASB also issued SFAS No. 131, "Disclosures About Segments of an Enterprise and Related Information." SFAS No. 131 establishes standards for the reporting of information about operating segments by public</w:t>
      </w:r>
    </w:p>
    <w:p>
      <w:pPr>
        <w:sectPr>
          <w:pgSz w:w="11900" w:h="16838" w:orient="portrait"/>
          <w:cols w:equalWidth="0" w:num="1">
            <w:col w:w="10239"/>
          </w:cols>
          <w:pgMar w:left="220" w:top="617" w:right="1440" w:bottom="0" w:gutter="0" w:footer="0" w:header="0"/>
        </w:sectPr>
      </w:pPr>
    </w:p>
    <w:bookmarkStart w:id="95" w:name="page96"/>
    <w:bookmarkEnd w:id="95"/>
    <w:p>
      <w:pPr>
        <w:spacing w:after="0"/>
        <w:tabs>
          <w:tab w:leader="none" w:pos="860" w:val="left"/>
          <w:tab w:leader="none" w:pos="2000" w:val="left"/>
        </w:tabs>
        <w:rPr>
          <w:sz w:val="20"/>
          <w:szCs w:val="20"/>
          <w:color w:val="auto"/>
        </w:rPr>
      </w:pPr>
      <w:r>
        <w:rPr>
          <w:rFonts w:ascii="Courier New" w:cs="Courier New" w:eastAsia="Courier New" w:hAnsi="Courier New"/>
          <w:sz w:val="15"/>
          <w:szCs w:val="15"/>
          <w:color w:val="auto"/>
        </w:rPr>
        <w:t>business</w:t>
        <w:tab/>
        <w:t>enterprises</w:t>
      </w:r>
      <w:r>
        <w:rPr>
          <w:sz w:val="20"/>
          <w:szCs w:val="20"/>
          <w:color w:val="auto"/>
        </w:rPr>
        <w:tab/>
      </w:r>
      <w:r>
        <w:rPr>
          <w:rFonts w:ascii="Courier New" w:cs="Courier New" w:eastAsia="Courier New" w:hAnsi="Courier New"/>
          <w:sz w:val="14"/>
          <w:szCs w:val="14"/>
          <w:color w:val="auto"/>
        </w:rPr>
        <w:t>in their</w:t>
      </w:r>
    </w:p>
    <w:p>
      <w:pPr>
        <w:spacing w:after="0" w:line="166"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135" w:right="1440" w:bottom="1440" w:gutter="0" w:footer="0" w:header="0"/>
        </w:sectPr>
      </w:pPr>
    </w:p>
    <w:bookmarkStart w:id="96" w:name="page97"/>
    <w:bookmarkEnd w:id="9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annual and interim financial reports issued to shareholders. SFAS No. 131 requires that a public business enterprise report financial and descriptive information, including profit or loss, certain specific revenue and expense items, and segment assets, about its reportable operating segments. Operating segments are defined as components of an enterprise about which separate financial information is available that is evaluated regularly by the chief operating decision-maker in deciding how to allocate resources and in assessing performance. SFAS No. 131 is effective for financial statements for periods beginning after December 15, 1997. SFAS No. 131 is a disclosure requirement and therefore is not expected to have an effect on the Company's financial position or results of operations.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97" w:name="page98"/>
    <w:bookmarkEnd w:id="9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ACQUISITION AND DISPOSITION TRANSACTIONS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During 1997, the Company consolidated its subprime single family lending operations within OFS in connection with its acquisition of substantially all of the assets of Admiral in a transaction which closed on May 1, 1997. The excess of purchase price over net assets acquired related to this transaction, which amounted to $10,826, net of accumulated amortization of $504 at December 31, 1997, is amortized on a straight-line basis over a period of 15 years.</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November 6, 1997, the Company acquired AMOS, Inc., a Connecticut based company engaged primarily in the development of mortgage loan servicing software. AMOS' products are Microsoft(R) Windows(R) based, client/server architecture and feature real-time processing, year 2000 compliance, a scaleable database platform and strong workflow capabilities. The aggregate purchase price was $9.7 million, including $4.9 million which is contingent on AMOS, Inc. meeting certain software development performance criteria. The excess of purchase price over net assets acquired related to this transaction, which amounted to $4,735, net of accumulated amortization of $53 at December 31, 1997, is amortized on a straight-line basis over a period of 15 years.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investment in joint ventures include investments in BCFL and the LLC. The Company owns a 10% interest in BCFL and a 50% interest in the LLC. BCFL was formed to acquire multifamily loans. At December 31, 1997, the Company's 10% investment, which is accounted for under the cost method, amounted to $1,056.</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December 12, 1997, the LLC distributed all of its assets to the Company and its other 50% investor, BlackRock. Simultaneously, the Company acquired BlackRock's portion of the distributed assets. The Company's 50% investment in the LLC amounts to $0 and $67,909, net of a valuation allowance of $0 and $5,114, at December 31, 1997 and 1996, respectively.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Company's equity in earnings of the LLC of $23,688 and $38,320 for the years ended December 31, 1997 and 1996, respectively, include 50% of the net income of the LLC before deduction of the Company's 50% share of loan servicing fees which are paid 100% to the Company. Equity in earnings for 1997 also includes the recapture of $5,114 of valuation allowances established in 1996 by the Company on its equity investment in the joint venture as a result of the resolution and securitization of loans. Equity in earnings for 1996 includes a provision for losses on the Company's equity investment in the joint venture of $7,614. The Company has recognized 50% of the loan servicing fees not eliminated in consolidation in servicing fees and other charges. Because the LLC is a pass-through entity for federal income tax purposes, provisions for income taxes were established by each of the Company and its co-investor, and not the LLC.</w:t>
      </w:r>
    </w:p>
    <w:p>
      <w:pPr>
        <w:spacing w:after="0" w:line="16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Set forth below are the statements of financial condition of the LLC at the dates indicated, and statements of operations for the periods indicated.</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BCBF, L.L.C.</w:t>
      </w:r>
    </w:p>
    <w:tbl>
      <w:tblPr>
        <w:tblLayout w:type="fixed"/>
        <w:tblInd w:w="440" w:type="dxa"/>
        <w:tblCellMar>
          <w:top w:w="0" w:type="dxa"/>
          <w:left w:w="0" w:type="dxa"/>
          <w:bottom w:w="0" w:type="dxa"/>
          <w:right w:w="0" w:type="dxa"/>
        </w:tblCellMar>
      </w:tblPr>
      <w:tr>
        <w:trPr>
          <w:trHeight w:val="168"/>
        </w:trPr>
        <w:tc>
          <w:tcPr>
            <w:tcW w:w="534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STATEMENTS OF FINANCIAL CONDITION</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2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held for sale, at lower of cost or market value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110,702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 estate owned, net of valuation allowance of $0 and $511</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at December 31, 1997 and 1996, respectively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assets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10,526</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$146,833</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Owners' Equity</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Accrued expenses, payables and other liabilities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liabilities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Owners' Equity:</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Ocwen Federal Bank FSB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BlackRock Capital Finance L.P. ...........................</w:t>
            </w:r>
          </w:p>
        </w:tc>
        <w:tc>
          <w:tcPr>
            <w:tcW w:w="3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ind w:left="180"/>
              <w:spacing w:after="0"/>
              <w:rPr>
                <w:sz w:val="20"/>
                <w:szCs w:val="20"/>
                <w:color w:val="auto"/>
              </w:rPr>
            </w:pPr>
            <w:r>
              <w:rPr>
                <w:rFonts w:ascii="Courier New" w:cs="Courier New" w:eastAsia="Courier New" w:hAnsi="Courier New"/>
                <w:sz w:val="15"/>
                <w:szCs w:val="15"/>
                <w:color w:val="auto"/>
                <w:w w:val="98"/>
              </w:rPr>
              <w:t>Total owners' equity .....................................</w:t>
            </w:r>
          </w:p>
        </w:tc>
        <w:tc>
          <w:tcPr>
            <w:tcW w:w="360" w:type="dxa"/>
            <w:vAlign w:val="bottom"/>
          </w:tcPr>
          <w:p>
            <w:pPr>
              <w:spacing w:after="0"/>
              <w:rPr>
                <w:sz w:val="24"/>
                <w:szCs w:val="24"/>
                <w:color w:val="auto"/>
              </w:rPr>
            </w:pP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$146,046</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$146,833</w:t>
            </w:r>
          </w:p>
        </w:tc>
      </w:tr>
      <w:tr>
        <w:trPr>
          <w:trHeight w:val="168"/>
        </w:trPr>
        <w:tc>
          <w:tcPr>
            <w:tcW w:w="534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2980"/>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785" w:right="1440" w:bottom="0" w:gutter="0" w:footer="0" w:header="0"/>
        </w:sectPr>
      </w:pPr>
    </w:p>
    <w:bookmarkStart w:id="98" w:name="page99"/>
    <w:bookmarkEnd w:id="98"/>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BCBF, L.L.C.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Courier New" w:cs="Courier New" w:eastAsia="Courier New" w:hAnsi="Courier New"/>
                <w:sz w:val="15"/>
                <w:szCs w:val="15"/>
                <w:color w:val="auto"/>
              </w:rPr>
              <w:t>For the Period</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Period</w:t>
            </w:r>
          </w:p>
        </w:tc>
      </w:tr>
      <w:tr>
        <w:trPr>
          <w:trHeight w:val="168"/>
        </w:trPr>
        <w:tc>
          <w:tcPr>
            <w:tcW w:w="4260" w:type="dxa"/>
            <w:vAlign w:val="bottom"/>
          </w:tcPr>
          <w:p>
            <w:pPr>
              <w:spacing w:after="0"/>
              <w:rPr>
                <w:sz w:val="14"/>
                <w:szCs w:val="14"/>
                <w:color w:val="auto"/>
              </w:rPr>
            </w:pPr>
          </w:p>
        </w:tc>
        <w:tc>
          <w:tcPr>
            <w:tcW w:w="1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January 1, 1997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13,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1996</w:t>
            </w: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Through</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Through</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260" w:type="dxa"/>
            <w:vAlign w:val="bottom"/>
          </w:tcPr>
          <w:p>
            <w:pPr>
              <w:spacing w:after="0"/>
              <w:rPr>
                <w:sz w:val="14"/>
                <w:szCs w:val="14"/>
                <w:color w:val="auto"/>
              </w:rPr>
            </w:pPr>
          </w:p>
        </w:tc>
        <w:tc>
          <w:tcPr>
            <w:tcW w:w="15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Interest income ...............................</w:t>
            </w:r>
          </w:p>
        </w:tc>
        <w:tc>
          <w:tcPr>
            <w:tcW w:w="15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8,928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$ 38,647</w:t>
            </w:r>
          </w:p>
        </w:tc>
        <w:tc>
          <w:tcPr>
            <w:tcW w:w="340" w:type="dxa"/>
            <w:vAlign w:val="bottom"/>
          </w:tcPr>
          <w:p>
            <w:pPr>
              <w:spacing w:after="0"/>
              <w:rPr>
                <w:sz w:val="24"/>
                <w:szCs w:val="2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18,503</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interest income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8,928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20,144</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sale of loans held for sale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27,994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71,156</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Gain on sale of loan servicing rights........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1,048</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real estate owned, net ..............</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 fees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27,924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72,124</w:t>
            </w:r>
          </w:p>
        </w:tc>
        <w:tc>
          <w:tcPr>
            <w:tcW w:w="34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Loan servicing fees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1,850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5,743</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loan expenses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1,863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6,016</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$ 34,989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$ 86,252</w:t>
            </w:r>
          </w:p>
        </w:tc>
        <w:tc>
          <w:tcPr>
            <w:tcW w:w="3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October 1996, the LLC securitized 9,825 loans with an unpaid principal balance of $419,382, past due interest of $86,131 and a net book value of $394,234. Proceeds from sales of the related securities by the LLC amounted to</w:t>
      </w:r>
    </w:p>
    <w:p>
      <w:pPr>
        <w:spacing w:after="0" w:line="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$466,806. In March 1997, as part of a larger transaction involving the Company and an affiliate of BlackRock, the LLC securitized 1,196 loans with an unpaid principal balance of $51,714, past due interest of $14,209 and a net book value of $40,454. Proceeds from the sale of the related securities amounted to $58,866. In December 1997, as part of a larger transaction involving the Company and BlackRock, the LLC securitized 534 loans with an unpaid principal balance of $26,644, past due interest of $8,303 and a net book value of $20,139. Proceeds from the sale of the related securities amounted to $30,178. The Company continues to service the securitized loans and is paid a servicing fee.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1122" w:right="1440" w:bottom="1440" w:gutter="0" w:footer="0" w:header="0"/>
        </w:sectPr>
      </w:pPr>
    </w:p>
    <w:bookmarkStart w:id="99" w:name="page100"/>
    <w:bookmarkEnd w:id="99"/>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September 1995, the Company announced its decision to dispose of its automated banking division and related activities. As a result of this decision, a loss of $3,204, net of tax benefit of $1,776 was recorded consisting of a net loss of $1,954 on the sale of assets and a loss of $1,250 incurred from related operations until the sales and dispositions, both of which were substantially complete at December 31, 1995. Losses from operations of the discontinued division, net of tax, amounted to $4,468 for the nine months ended September 30, 1995. Gross revenues from the automated banking division and related activities for the year ended December 31, 1995 amounted to $1,822.</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85" w:right="1440" w:bottom="1440" w:gutter="0" w:footer="0" w:header="0"/>
        </w:sectPr>
      </w:pPr>
    </w:p>
    <w:bookmarkStart w:id="100" w:name="page101"/>
    <w:bookmarkEnd w:id="100"/>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Substantially all of the Company's assets, liabilities and off-balance sheet instruments and commitments are considered financial instruments. For the majority of the Company's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It should be noted that minor changes in assumptions or estimation methodologies can have a material effect on these derived or estimated fair values.</w:t>
      </w:r>
    </w:p>
    <w:p>
      <w:pPr>
        <w:spacing w:after="0" w:line="16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1997 and 1996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Company's fee generating businesses and anticipated future business activities. In other words, they do not represent the Company's value as a going concern. Furthermore, the differences between the carrying amounts and the fair values presented may not be realized because, except as indicated, the Company generally intends to hold these financial instruments to maturity and realize their recorded values.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the financial condition of the Company.</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methodologies used and key assumptions made to estimate fair value, the estimated fair values determined and recorded carrying values follow: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and Mortgage-Backed and Related Securities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For investments and mortgage-backed and related securities, fair value equals quoted price, if available. For securities for which a quoted market price is not available, fair value is estimated using quoted market prices for similar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Discount Loans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fair value of performing whole loans is estimated based upon quoted market prices for similar whole loan pools. The fair value of the discount loan portfolio is estimated based upon current market yields at which recent pools of similar mortgages have traded taking into consideration the timing and amount of expected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Low-Income Housing Tax Credit Interests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fair value of the investments in low-income housing tax credit interests is estimated by discounting the future tax benefits expected to be realized from these investments using discount rates at which similar investments were being made on or about the respective financial statement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fair value of demand deposits, savings accounts and money market deposits is the amount payable on demand at the reporting date. The fair value of fixed-maturity certificates of deposit is estimated by discounting the required cash payments at the market rates offered for deposits with similar maturities on or about the respective financial statement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fair value of the Company's notes and debentures and capital securities are based upon quoted market prices. The fair value of the Company's other borrowings is estimated based upon the discount value of the future cash flows expected to be paid on such borrowings using estimated market discount rates that reflect the borrowings of others with similar terms and maturities.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85" w:right="1440" w:bottom="12" w:gutter="0" w:footer="0" w:header="0"/>
        </w:sectPr>
      </w:pPr>
    </w:p>
    <w:bookmarkStart w:id="101" w:name="page102"/>
    <w:bookmarkEnd w:id="101"/>
    <w:p>
      <w:pPr>
        <w:jc w:val="center"/>
        <w:ind w:right="38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8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84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3"/>
          </w:tcPr>
          <w:p>
            <w:pPr>
              <w:spacing w:after="0"/>
              <w:rPr>
                <w:sz w:val="20"/>
                <w:szCs w:val="20"/>
                <w:color w:val="auto"/>
              </w:rPr>
            </w:pPr>
            <w:r>
              <w:rPr>
                <w:rFonts w:ascii="Courier New" w:cs="Courier New" w:eastAsia="Courier New" w:hAnsi="Courier New"/>
                <w:sz w:val="15"/>
                <w:szCs w:val="15"/>
                <w:color w:val="auto"/>
              </w:rPr>
              <w:t>Risk Management Instruments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37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fair value of interest rate swap</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agreements</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is the</w:t>
            </w:r>
          </w:p>
        </w:tc>
        <w:tc>
          <w:tcPr>
            <w:tcW w:w="8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3"/>
              </w:rPr>
              <w:t>estimated</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amount</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6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that the Company would  receive or pay to terminate</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the swap</w:t>
            </w:r>
          </w:p>
        </w:tc>
        <w:tc>
          <w:tcPr>
            <w:tcW w:w="204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agreements at the</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reporting</w:t>
            </w:r>
          </w:p>
        </w:tc>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taking into account</w:t>
            </w:r>
          </w:p>
        </w:tc>
        <w:tc>
          <w:tcPr>
            <w:tcW w:w="26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rates and the credit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worthiness of</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swap</w:t>
            </w:r>
          </w:p>
        </w:tc>
        <w:tc>
          <w:tcPr>
            <w:tcW w:w="37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counterparties on or about the respective</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financial</w:t>
            </w:r>
          </w:p>
        </w:tc>
        <w:tc>
          <w:tcPr>
            <w:tcW w:w="204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statement dates.</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Market  quotes are used to</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w:t>
            </w:r>
          </w:p>
        </w:tc>
        <w:tc>
          <w:tcPr>
            <w:tcW w:w="18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the fair value of</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rate</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futures</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contracts.</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Loan Commitments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464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8"/>
              </w:rPr>
              <w:t>The fair value of loan commitments is estimated</w:t>
            </w:r>
          </w:p>
        </w:tc>
        <w:tc>
          <w:tcPr>
            <w:tcW w:w="284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w w:val="99"/>
              </w:rPr>
              <w:t>considering the difference</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4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between interest rates on or about the respective  financial statement dates and</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committed rates.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Real Estate Owned</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378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Real estate,  although not a financial</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instrument,</w:t>
            </w:r>
          </w:p>
        </w:tc>
        <w:tc>
          <w:tcPr>
            <w:tcW w:w="252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is an integral part of</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Company's  business.</w:t>
            </w:r>
          </w:p>
        </w:tc>
        <w:tc>
          <w:tcPr>
            <w:tcW w:w="5200" w:type="dxa"/>
            <w:vAlign w:val="bottom"/>
            <w:gridSpan w:val="8"/>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The fair value of real estate is estimated  based upon</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4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appraisals, broker price opinions and other standard industry valuation methods,</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 anticipated selling costs.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7480" w:type="dxa"/>
            <w:vAlign w:val="bottom"/>
            <w:gridSpan w:val="10"/>
          </w:tcPr>
          <w:p>
            <w:pPr>
              <w:ind w:left="440"/>
              <w:spacing w:after="0"/>
              <w:rPr>
                <w:sz w:val="20"/>
                <w:szCs w:val="20"/>
                <w:color w:val="auto"/>
              </w:rPr>
            </w:pPr>
            <w:r>
              <w:rPr>
                <w:rFonts w:ascii="Courier New" w:cs="Courier New" w:eastAsia="Courier New" w:hAnsi="Courier New"/>
                <w:sz w:val="15"/>
                <w:szCs w:val="15"/>
                <w:color w:val="auto"/>
              </w:rPr>
              <w:t>The  carrying  amounts  and the  estimated  fair  values  of the  Company's</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54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financial instruments and real estate owned are as follows: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847"/>
              <w:spacing w:after="0"/>
              <w:rPr>
                <w:sz w:val="20"/>
                <w:szCs w:val="20"/>
                <w:color w:val="auto"/>
              </w:rPr>
            </w:pPr>
            <w:r>
              <w:rPr>
                <w:rFonts w:ascii="Courier New" w:cs="Courier New" w:eastAsia="Courier New" w:hAnsi="Courier New"/>
                <w:sz w:val="15"/>
                <w:szCs w:val="15"/>
                <w:color w:val="auto"/>
              </w:rPr>
              <w:t>December 31, 1997</w:t>
            </w:r>
          </w:p>
        </w:tc>
        <w:tc>
          <w:tcPr>
            <w:tcW w:w="338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December 31, 1996</w:t>
            </w:r>
          </w:p>
        </w:tc>
      </w:tr>
      <w:tr>
        <w:trPr>
          <w:trHeight w:val="168"/>
        </w:trPr>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Carrying Amount</w:t>
            </w:r>
          </w:p>
        </w:tc>
        <w:tc>
          <w:tcPr>
            <w:tcW w:w="17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Fair Value</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Carrying Amount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5"/>
              </w:rPr>
              <w: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ASSETS: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378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4"/>
              </w:rPr>
              <w:t>Cash and cash equivalents................</w:t>
            </w:r>
          </w:p>
        </w:tc>
        <w:tc>
          <w:tcPr>
            <w:tcW w:w="860" w:type="dxa"/>
            <w:vAlign w:val="bottom"/>
          </w:tcPr>
          <w:p>
            <w:pPr>
              <w:spacing w:after="0"/>
              <w:rPr>
                <w:sz w:val="24"/>
                <w:szCs w:val="2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152,244</w:t>
            </w:r>
          </w:p>
        </w:tc>
        <w:tc>
          <w:tcPr>
            <w:tcW w:w="520" w:type="dxa"/>
            <w:vAlign w:val="bottom"/>
          </w:tcPr>
          <w:p>
            <w:pPr>
              <w:spacing w:after="0"/>
              <w:rPr>
                <w:sz w:val="24"/>
                <w:szCs w:val="2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152,244</w:t>
            </w:r>
          </w:p>
        </w:tc>
        <w:tc>
          <w:tcPr>
            <w:tcW w:w="1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52,219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52,219</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4"/>
              </w:rPr>
              <w:t>Securities held for trading..............</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75,606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75,606</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4"/>
              </w:rPr>
              <w:t>Securities available for sale............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430,524</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430,524</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354,005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354,005</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4"/>
              </w:rPr>
              <w:t>Loans available for sale.................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177,041</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184,884</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126,366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128,784</w:t>
            </w: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77"/>
              </w:rPr>
              <w:t>Investment securities....................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59,567</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59,567</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8,901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8,901</w:t>
            </w: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77"/>
              </w:rPr>
              <w:t>Loan portfolio, net......................</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266,299</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281,850</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402,582</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410,934</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4"/>
              </w:rPr>
              <w:t>Discount loan portfolio, net.............</w:t>
            </w:r>
          </w:p>
        </w:tc>
        <w:tc>
          <w:tcPr>
            <w:tcW w:w="860" w:type="dxa"/>
            <w:vAlign w:val="bottom"/>
          </w:tcPr>
          <w:p>
            <w:pPr>
              <w:spacing w:after="0"/>
              <w:rPr>
                <w:sz w:val="14"/>
                <w:szCs w:val="14"/>
                <w:color w:val="auto"/>
              </w:rPr>
            </w:pPr>
          </w:p>
        </w:tc>
        <w:tc>
          <w:tcPr>
            <w:tcW w:w="11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1,434,176</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1,657,222</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1,060,953</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1,140,686</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Investments in low-income housing tax</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76"/>
              </w:rPr>
              <w:t>credit interests.......................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128,614</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151,130</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93,309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113,850</w:t>
            </w: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77"/>
              </w:rPr>
              <w:t>Real estate owned, net...................</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167,265</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212,443</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103,704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130,221</w:t>
            </w: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77"/>
              </w:rPr>
              <w:t>Deposits.................................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1,982,822</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2,024,857</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1,919,742</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1,934,717</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6"/>
              </w:rPr>
              <w:t>Advances from the Federal Home Loan Bank</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9"/>
              </w:rPr>
              <w:t>Securities sold under agreements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76"/>
              </w:rPr>
              <w:t>to repurchase..........................</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108,250</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108,250</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74,546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74,546</w:t>
            </w:r>
          </w:p>
        </w:tc>
      </w:tr>
      <w:tr>
        <w:trPr>
          <w:trHeight w:val="168"/>
        </w:trPr>
        <w:tc>
          <w:tcPr>
            <w:tcW w:w="46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Obligations outstanding under lines of credit</w:t>
            </w: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118,304</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118,304</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Notes, debentures and other interest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76"/>
              </w:rPr>
              <w:t>bearing obligations....................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226,975</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255,538</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225,573</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246,511</w:t>
            </w:r>
          </w:p>
        </w:tc>
      </w:tr>
      <w:tr>
        <w:trPr>
          <w:trHeight w:val="168"/>
        </w:trPr>
        <w:tc>
          <w:tcPr>
            <w:tcW w:w="3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83"/>
              </w:rPr>
              <w:t>Capital securities........................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125,000</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135,313</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3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77"/>
              </w:rPr>
              <w:t>Loan commitments.........................</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225,569</w:t>
            </w:r>
          </w:p>
        </w:tc>
        <w:tc>
          <w:tcPr>
            <w:tcW w:w="5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225,569</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194,128</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194,128</w:t>
            </w:r>
          </w:p>
        </w:tc>
      </w:tr>
      <w:tr>
        <w:trPr>
          <w:trHeight w:val="505"/>
        </w:trPr>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88"/>
              </w:rPr>
              <w:t>38</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860"/>
          </w:cols>
          <w:pgMar w:left="220" w:top="617" w:right="819" w:bottom="1440" w:gutter="0" w:footer="0" w:header="0"/>
        </w:sectPr>
      </w:pPr>
    </w:p>
    <w:bookmarkStart w:id="102" w:name="page103"/>
    <w:bookmarkEnd w:id="102"/>
    <w:p>
      <w:pPr>
        <w:ind w:left="15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10"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1997, 1996 and 1995</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(Dollars in Thousands, except share data)</w:t>
      </w:r>
    </w:p>
    <w:p>
      <w:pPr>
        <w:sectPr>
          <w:pgSz w:w="11900" w:h="16838" w:orient="portrait"/>
          <w:cols w:equalWidth="0" w:num="1">
            <w:col w:w="10860"/>
          </w:cols>
          <w:pgMar w:left="220" w:top="455" w:right="819"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HELD FOR TRADING</w:t>
      </w:r>
    </w:p>
    <w:p>
      <w:pPr>
        <w:spacing w:after="0" w:line="178" w:lineRule="exact"/>
        <w:rPr>
          <w:sz w:val="20"/>
          <w:szCs w:val="20"/>
          <w:color w:val="auto"/>
        </w:rPr>
      </w:pPr>
    </w:p>
    <w:p>
      <w:pPr>
        <w:sectPr>
          <w:pgSz w:w="11900" w:h="16838" w:orient="portrait"/>
          <w:cols w:equalWidth="0" w:num="2">
            <w:col w:w="540" w:space="340"/>
            <w:col w:w="9980"/>
          </w:cols>
          <w:pgMar w:left="220" w:top="455" w:right="819" w:bottom="1440" w:gutter="0" w:footer="0" w:header="0"/>
          <w:type w:val="continuous"/>
        </w:sectPr>
      </w:pPr>
    </w:p>
    <w:p>
      <w:pPr>
        <w:jc w:val="both"/>
        <w:ind w:firstLine="437"/>
        <w:spacing w:after="0" w:line="235" w:lineRule="auto"/>
        <w:rPr>
          <w:sz w:val="20"/>
          <w:szCs w:val="20"/>
          <w:color w:val="auto"/>
        </w:rPr>
      </w:pPr>
      <w:r>
        <w:rPr>
          <w:rFonts w:ascii="Courier New" w:cs="Courier New" w:eastAsia="Courier New" w:hAnsi="Courier New"/>
          <w:sz w:val="15"/>
          <w:szCs w:val="15"/>
          <w:color w:val="auto"/>
        </w:rPr>
        <w:t>The Company held no securities for trading at December 31, 1997. and fair values and gross unrealized gains and losses for the securities held for trading at December 31, 1996 were as follows: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The book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w:t>
      </w:r>
    </w:p>
    <w:p>
      <w:pPr>
        <w:spacing w:after="0" w:line="372" w:lineRule="exact"/>
        <w:rPr>
          <w:sz w:val="20"/>
          <w:szCs w:val="20"/>
          <w:color w:val="auto"/>
        </w:rPr>
      </w:pPr>
    </w:p>
    <w:p>
      <w:pPr>
        <w:sectPr>
          <w:pgSz w:w="11900" w:h="16838" w:orient="portrait"/>
          <w:cols w:equalWidth="0" w:num="2">
            <w:col w:w="6140" w:space="80"/>
            <w:col w:w="4640"/>
          </w:cols>
          <w:pgMar w:left="220" w:top="455" w:right="81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Book</w:t>
      </w:r>
    </w:p>
    <w:p>
      <w:pPr>
        <w:ind w:left="5000"/>
        <w:spacing w:after="0" w:line="237" w:lineRule="auto"/>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Gross</w:t>
      </w:r>
    </w:p>
    <w:p>
      <w:pPr>
        <w:ind w:left="100"/>
        <w:spacing w:after="0" w:line="237" w:lineRule="auto"/>
        <w:rPr>
          <w:sz w:val="20"/>
          <w:szCs w:val="20"/>
          <w:color w:val="auto"/>
        </w:rPr>
      </w:pPr>
      <w:r>
        <w:rPr>
          <w:rFonts w:ascii="Courier New" w:cs="Courier New" w:eastAsia="Courier New" w:hAnsi="Courier New"/>
          <w:sz w:val="15"/>
          <w:szCs w:val="15"/>
          <w:color w:val="auto"/>
        </w:rPr>
        <w:t>Unrealized</w:t>
      </w:r>
    </w:p>
    <w:p>
      <w:pPr>
        <w:ind w:left="360"/>
        <w:spacing w:after="0" w:line="238" w:lineRule="auto"/>
        <w:rPr>
          <w:sz w:val="20"/>
          <w:szCs w:val="20"/>
          <w:color w:val="auto"/>
        </w:rPr>
      </w:pPr>
      <w:r>
        <w:rPr>
          <w:rFonts w:ascii="Courier New" w:cs="Courier New" w:eastAsia="Courier New" w:hAnsi="Courier New"/>
          <w:sz w:val="15"/>
          <w:szCs w:val="15"/>
          <w:color w:val="auto"/>
        </w:rPr>
        <w:t>Gains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Gross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Unrealized</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Losses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Fair</w:t>
      </w:r>
    </w:p>
    <w:p>
      <w:pPr>
        <w:ind w:left="360"/>
        <w:spacing w:after="0" w:line="237" w:lineRule="auto"/>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5600" w:space="700"/>
            <w:col w:w="1060" w:space="700"/>
            <w:col w:w="1040" w:space="700"/>
            <w:col w:w="1060"/>
          </w:cols>
          <w:pgMar w:left="220" w:top="455" w:right="8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Collateralized mortgage obligations.........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Futures contracts...........................</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75,526</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75,526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220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75,386</w:t>
      </w:r>
    </w:p>
    <w:p>
      <w:pPr>
        <w:jc w:val="right"/>
        <w:spacing w:after="0" w:line="237" w:lineRule="auto"/>
        <w:rPr>
          <w:sz w:val="20"/>
          <w:szCs w:val="20"/>
          <w:color w:val="auto"/>
        </w:rPr>
      </w:pPr>
      <w:r>
        <w:rPr>
          <w:rFonts w:ascii="Courier New" w:cs="Courier New" w:eastAsia="Courier New" w:hAnsi="Courier New"/>
          <w:sz w:val="15"/>
          <w:szCs w:val="15"/>
          <w:color w:val="auto"/>
        </w:rPr>
        <w:t>220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75,606</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5">
            <w:col w:w="4020" w:space="720"/>
            <w:col w:w="860" w:space="700"/>
            <w:col w:w="1060" w:space="700"/>
            <w:col w:w="1140" w:space="600"/>
            <w:col w:w="1060"/>
          </w:cols>
          <w:pgMar w:left="220" w:top="455" w:right="819" w:bottom="1440" w:gutter="0" w:footer="0" w:header="0"/>
          <w:type w:val="continuous"/>
        </w:sectPr>
      </w:pPr>
    </w:p>
    <w:p>
      <w:pPr>
        <w:spacing w:after="0" w:line="309" w:lineRule="exact"/>
        <w:rPr>
          <w:sz w:val="20"/>
          <w:szCs w:val="20"/>
          <w:color w:val="auto"/>
        </w:rPr>
      </w:pPr>
    </w:p>
    <w:p>
      <w:pPr>
        <w:jc w:val="both"/>
        <w:ind w:right="3860" w:firstLine="437"/>
        <w:spacing w:after="0" w:line="255" w:lineRule="auto"/>
        <w:rPr>
          <w:sz w:val="20"/>
          <w:szCs w:val="20"/>
          <w:color w:val="auto"/>
        </w:rPr>
      </w:pPr>
      <w:r>
        <w:rPr>
          <w:rFonts w:ascii="Courier New" w:cs="Courier New" w:eastAsia="Courier New" w:hAnsi="Courier New"/>
          <w:sz w:val="14"/>
          <w:szCs w:val="14"/>
          <w:color w:val="auto"/>
        </w:rPr>
        <w:t>The Company traded assets totaling $1,023,965, $373,723 and $93,942 in aggregate sales proceeds during the years ended December 31, 1997, 1996 and 1995, respectively, primarily in connection with the Company's securitizations of loans, resulting in realized net gains of $72,214, $14,645 and $2,949 for the years ended December 31, 1997, 1996 and 1995, respectively. Unrealized gains on securities held for trading and included in gains on sales of interest earning assets amounted to $0, $80 and $0, respectively, in 1997, 1996 and 1995.</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860"/>
          </w:cols>
          <w:pgMar w:left="220" w:top="455" w:right="819" w:bottom="1440" w:gutter="0" w:footer="0" w:header="0"/>
          <w:type w:val="continuous"/>
        </w:sectPr>
      </w:pPr>
    </w:p>
    <w:bookmarkStart w:id="103" w:name="page104"/>
    <w:bookmarkEnd w:id="103"/>
    <w:p>
      <w:pPr>
        <w:jc w:val="center"/>
        <w:ind w:right="39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92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SECURITIES AND LOANS AVAILABLE FOR SALE</w:t>
      </w:r>
    </w:p>
    <w:p>
      <w:pPr>
        <w:spacing w:after="0" w:line="173" w:lineRule="exact"/>
        <w:rPr>
          <w:sz w:val="20"/>
          <w:szCs w:val="20"/>
          <w:color w:val="auto"/>
        </w:rPr>
      </w:pPr>
    </w:p>
    <w:p>
      <w:pPr>
        <w:jc w:val="both"/>
        <w:ind w:right="3940" w:firstLine="437"/>
        <w:spacing w:after="0" w:line="235" w:lineRule="auto"/>
        <w:rPr>
          <w:sz w:val="20"/>
          <w:szCs w:val="20"/>
          <w:color w:val="auto"/>
        </w:rPr>
      </w:pPr>
      <w:r>
        <w:rPr>
          <w:rFonts w:ascii="Courier New" w:cs="Courier New" w:eastAsia="Courier New" w:hAnsi="Courier New"/>
          <w:sz w:val="15"/>
          <w:szCs w:val="15"/>
          <w:color w:val="auto"/>
        </w:rPr>
        <w:t>The amortized cost, fair value and gross unrealized gains and losses on the Company's securities and loans available for sale are as follows at the periods ended: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Gross</w:t>
            </w:r>
          </w:p>
        </w:tc>
        <w:tc>
          <w:tcPr>
            <w:tcW w:w="52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12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21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Unrealized</w:t>
            </w:r>
          </w:p>
        </w:tc>
        <w:tc>
          <w:tcPr>
            <w:tcW w:w="52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w:t>
            </w:r>
          </w:p>
        </w:tc>
        <w:tc>
          <w:tcPr>
            <w:tcW w:w="21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Gains</w:t>
            </w:r>
          </w:p>
        </w:tc>
        <w:tc>
          <w:tcPr>
            <w:tcW w:w="520" w:type="dxa"/>
            <w:vAlign w:val="bottom"/>
          </w:tcPr>
          <w:p>
            <w:pPr>
              <w:spacing w:after="0"/>
              <w:rPr>
                <w:sz w:val="14"/>
                <w:szCs w:val="14"/>
                <w:color w:val="auto"/>
              </w:rPr>
            </w:pP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AAA-rated collateralized mortgage</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obligations..........................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160,347</w:t>
            </w:r>
          </w:p>
        </w:tc>
        <w:tc>
          <w:tcPr>
            <w:tcW w:w="1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$ 160,451</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FHLMC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73,214</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(8,688)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64,745</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FNMA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71,215</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(12,329)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59,715</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GNMA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35,221</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(5,455)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29,766</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AAA-rated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14,700</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13,863</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62,247</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6,587</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67,830</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REMIC residuals........................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17,267</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15,693</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Swaps..................................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434,211</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7,849</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(30,091)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411,969</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Multi-family and commercial:</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AAA-rated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1,008</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1,030</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Non-investment grade interest only.....</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2,743</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734</w:t>
            </w:r>
          </w:p>
        </w:tc>
        <w:tc>
          <w:tcPr>
            <w:tcW w:w="52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3,477</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12,107</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2,047</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14,048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15,858</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3,010</w:t>
            </w:r>
          </w:p>
        </w:tc>
        <w:tc>
          <w:tcPr>
            <w:tcW w:w="5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18,555</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450,069</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$ 10,859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(30,404)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$ 430,524</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176,554</w:t>
            </w:r>
          </w:p>
        </w:tc>
        <w:tc>
          <w:tcPr>
            <w:tcW w:w="1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7,843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$ 184,397</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Consumer loans.........................</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w:t>
            </w:r>
          </w:p>
        </w:tc>
        <w:tc>
          <w:tcPr>
            <w:tcW w:w="1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177,041</w:t>
            </w:r>
          </w:p>
        </w:tc>
        <w:tc>
          <w:tcPr>
            <w:tcW w:w="1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7,843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$ 184,884</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940"/>
          </w:cols>
          <w:pgMar w:left="220" w:top="449" w:right="739" w:bottom="1440" w:gutter="0" w:footer="0" w:header="0"/>
        </w:sectPr>
      </w:pPr>
    </w:p>
    <w:bookmarkStart w:id="104" w:name="page105"/>
    <w:bookmarkEnd w:id="104"/>
    <w:p>
      <w:pPr>
        <w:jc w:val="center"/>
        <w:ind w:right="39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920"/>
        <w:spacing w:after="0" w:line="238" w:lineRule="auto"/>
        <w:rPr>
          <w:sz w:val="20"/>
          <w:szCs w:val="20"/>
          <w:color w:val="auto"/>
        </w:rPr>
      </w:pPr>
      <w:r>
        <w:rPr>
          <w:rFonts w:ascii="Courier New" w:cs="Courier New" w:eastAsia="Courier New" w:hAnsi="Courier New"/>
          <w:sz w:val="15"/>
          <w:szCs w:val="15"/>
          <w:color w:val="auto"/>
        </w:rPr>
        <w:t>DECEMBER 31, 1997, 1996 and 1995</w:t>
      </w:r>
    </w:p>
    <w:tbl>
      <w:tblPr>
        <w:tblLayout w:type="fixed"/>
        <w:tblInd w:w="0" w:type="dxa"/>
        <w:tblCellMar>
          <w:top w:w="0" w:type="dxa"/>
          <w:left w:w="0" w:type="dxa"/>
          <w:bottom w:w="0" w:type="dxa"/>
          <w:right w:w="0" w:type="dxa"/>
        </w:tblCellMar>
      </w:tblPr>
      <w:tr>
        <w:trPr>
          <w:trHeight w:val="168"/>
        </w:trPr>
        <w:tc>
          <w:tcPr>
            <w:tcW w:w="60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4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Gross</w:t>
            </w:r>
          </w:p>
        </w:tc>
        <w:tc>
          <w:tcPr>
            <w:tcW w:w="560" w:type="dxa"/>
            <w:vAlign w:val="bottom"/>
          </w:tcPr>
          <w:p>
            <w:pPr>
              <w:spacing w:after="0"/>
              <w:rPr>
                <w:sz w:val="24"/>
                <w:szCs w:val="2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Gross</w:t>
            </w:r>
          </w:p>
        </w:tc>
        <w:tc>
          <w:tcPr>
            <w:tcW w:w="130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Unrealized</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Unrealized</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Cost</w:t>
            </w:r>
          </w:p>
        </w:tc>
        <w:tc>
          <w:tcPr>
            <w:tcW w:w="7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Gains</w:t>
            </w:r>
          </w:p>
        </w:tc>
        <w:tc>
          <w:tcPr>
            <w:tcW w:w="56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Losses</w:t>
            </w:r>
          </w:p>
        </w:tc>
        <w:tc>
          <w:tcPr>
            <w:tcW w:w="13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AAA-rated collateralized mortgage</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obligations..........................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74,224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73,935</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FHLMC interest only....................</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46,735</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47,571</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FNMA interest only.....................</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48,573</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1,315</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49,380</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AAA-rated interest only................</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1,166</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15,550</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3,614</w:t>
            </w:r>
          </w:p>
        </w:tc>
        <w:tc>
          <w:tcPr>
            <w:tcW w:w="56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19,164</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REMIC residuals........................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19,211</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1,349</w:t>
            </w:r>
          </w:p>
        </w:tc>
        <w:tc>
          <w:tcPr>
            <w:tcW w:w="56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20,560</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Futures contracts......................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(1,921)</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205,459</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7,514</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209,862</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Multi-family and commercial:</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AAA-rated interest only................</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82,996</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1,353</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83,590</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Non-investment grade interest only.....</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3,620</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Subordinates...........................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56,500</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1,856</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57,534</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Futures contracts......................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143,116</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3,414</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144,143</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348,575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10,928</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(5,498)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$ 354,005</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111,980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2,948</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$ 113,958</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13,657</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13,962</w:t>
            </w:r>
          </w:p>
        </w:tc>
      </w:tr>
      <w:tr>
        <w:trPr>
          <w:trHeight w:val="168"/>
        </w:trPr>
        <w:tc>
          <w:tcPr>
            <w:tcW w:w="4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Consumer loans...........................</w:t>
            </w:r>
          </w:p>
        </w:tc>
        <w:tc>
          <w:tcPr>
            <w:tcW w:w="5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729</w:t>
            </w:r>
          </w:p>
        </w:tc>
        <w:tc>
          <w:tcPr>
            <w:tcW w:w="7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w:t>
            </w:r>
          </w:p>
        </w:tc>
        <w:tc>
          <w:tcPr>
            <w:tcW w:w="56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126,366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3,396</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$ 128,784</w:t>
            </w:r>
          </w:p>
        </w:tc>
      </w:tr>
      <w:tr>
        <w:trPr>
          <w:trHeight w:val="168"/>
        </w:trPr>
        <w:tc>
          <w:tcPr>
            <w:tcW w:w="430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940" w:firstLine="437"/>
        <w:spacing w:after="0" w:line="235" w:lineRule="auto"/>
        <w:rPr>
          <w:sz w:val="20"/>
          <w:szCs w:val="20"/>
          <w:color w:val="auto"/>
        </w:rPr>
      </w:pPr>
      <w:r>
        <w:rPr>
          <w:rFonts w:ascii="Courier New" w:cs="Courier New" w:eastAsia="Courier New" w:hAnsi="Courier New"/>
          <w:sz w:val="15"/>
          <w:szCs w:val="15"/>
          <w:color w:val="auto"/>
        </w:rPr>
        <w:t>A profile of the maturities of securities available for sale at December 31, 1997 follows. Mortgage-backed securities are included based on their weighted-average maturities, reflecting anticipated future prepayments based on a consensus of dealers in the market.</w:t>
      </w:r>
    </w:p>
    <w:p>
      <w:pPr>
        <w:spacing w:after="0" w:line="200" w:lineRule="exact"/>
        <w:rPr>
          <w:sz w:val="20"/>
          <w:szCs w:val="20"/>
          <w:color w:val="auto"/>
        </w:rPr>
      </w:pPr>
    </w:p>
    <w:p>
      <w:pPr>
        <w:spacing w:after="0" w:line="30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3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Amortized Cost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Fair Value</w:t>
            </w:r>
          </w:p>
        </w:tc>
      </w:tr>
      <w:tr>
        <w:trPr>
          <w:trHeight w:val="168"/>
        </w:trPr>
        <w:tc>
          <w:tcPr>
            <w:tcW w:w="4640" w:type="dxa"/>
            <w:vAlign w:val="bottom"/>
          </w:tcPr>
          <w:p>
            <w:pPr>
              <w:spacing w:after="0"/>
              <w:rPr>
                <w:sz w:val="14"/>
                <w:szCs w:val="14"/>
                <w:color w:val="auto"/>
              </w:rPr>
            </w:pPr>
          </w:p>
        </w:tc>
        <w:tc>
          <w:tcPr>
            <w:tcW w:w="3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82"/>
              </w:rPr>
              <w:t>Due within one year...........................................</w:t>
            </w:r>
          </w:p>
        </w:tc>
        <w:tc>
          <w:tcPr>
            <w:tcW w:w="2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120,839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120,700</w:t>
            </w: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after 1 through 5 years...................................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246,204</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223,873</w:t>
            </w: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after 5 through 10 years..................................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79,322</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81,655</w:t>
            </w: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after 10 years............................................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3,704</w:t>
            </w:r>
          </w:p>
        </w:tc>
        <w:tc>
          <w:tcPr>
            <w:tcW w:w="4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4,296</w:t>
            </w:r>
          </w:p>
        </w:tc>
      </w:tr>
      <w:tr>
        <w:trPr>
          <w:trHeight w:val="168"/>
        </w:trPr>
        <w:tc>
          <w:tcPr>
            <w:tcW w:w="4640" w:type="dxa"/>
            <w:vAlign w:val="bottom"/>
          </w:tcPr>
          <w:p>
            <w:pPr>
              <w:spacing w:after="0"/>
              <w:rPr>
                <w:sz w:val="14"/>
                <w:szCs w:val="14"/>
                <w:color w:val="auto"/>
              </w:rPr>
            </w:pPr>
          </w:p>
        </w:tc>
        <w:tc>
          <w:tcPr>
            <w:tcW w:w="3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2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450,069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430,524</w:t>
            </w:r>
          </w:p>
        </w:tc>
      </w:tr>
      <w:tr>
        <w:trPr>
          <w:trHeight w:val="168"/>
        </w:trPr>
        <w:tc>
          <w:tcPr>
            <w:tcW w:w="4640" w:type="dxa"/>
            <w:vAlign w:val="bottom"/>
          </w:tcPr>
          <w:p>
            <w:pPr>
              <w:spacing w:after="0"/>
              <w:rPr>
                <w:sz w:val="14"/>
                <w:szCs w:val="14"/>
                <w:color w:val="auto"/>
              </w:rPr>
            </w:pPr>
          </w:p>
        </w:tc>
        <w:tc>
          <w:tcPr>
            <w:tcW w:w="3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10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77"/>
              </w:rPr>
              <w:t>41</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05" w:name="page106"/>
    <w:bookmarkEnd w:id="10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Gross realized gains and losses, proceeds on sales, premiums amortized against and discounts accreted to income were as follows during the periods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1997</w:t>
            </w:r>
          </w:p>
        </w:tc>
        <w:tc>
          <w:tcPr>
            <w:tcW w:w="3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Gross realized gains..........................................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1,266</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realized losses.........................................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(3,591)</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realized gains (losses)...................................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Proceeds on sales.............................................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$ 202,670</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$ 175,857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$ 836,247</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Premiums amortized against interest income....................</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23,508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5,188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Discounts accreted to interest income.........................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(6,734)</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(3,261)</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(3,135)</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premium amortization......................................</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66,285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20,247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2,053</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realized gains..........................................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realized losses.........................................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(1,662)</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realized gains (losses)...................................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1,817</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Proceeds on sales.............................................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$ 519,163</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$ 397,606</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$ 100,104</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One security in the available for sale portfolio, with a market value of $12,334, is pledged as collateral to the State of New Jersey in connection with the Bank's sales of certificates of deposit over $100 to New Jersey municipalities. Additionally, certain mortgage-related securities are pledged as collateral for securities sold under agreements to repurchase (see Note 16).</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106" w:name="page107"/>
    <w:bookmarkEnd w:id="106"/>
    <w:p>
      <w:pPr>
        <w:jc w:val="center"/>
        <w:ind w:right="34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48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INVESTMENT SECURITIES</w:t>
      </w:r>
    </w:p>
    <w:p>
      <w:pPr>
        <w:spacing w:after="0" w:line="166" w:lineRule="exact"/>
        <w:rPr>
          <w:sz w:val="20"/>
          <w:szCs w:val="20"/>
          <w:color w:val="auto"/>
        </w:rPr>
      </w:pPr>
    </w:p>
    <w:p>
      <w:pPr>
        <w:ind w:left="440"/>
        <w:spacing w:after="0"/>
        <w:tabs>
          <w:tab w:leader="none" w:pos="2080" w:val="left"/>
          <w:tab w:leader="none" w:pos="2780" w:val="left"/>
          <w:tab w:leader="none" w:pos="3760" w:val="left"/>
          <w:tab w:leader="none" w:pos="4800" w:val="left"/>
          <w:tab w:leader="none" w:pos="5420" w:val="left"/>
          <w:tab w:leader="none" w:pos="5840" w:val="left"/>
        </w:tabs>
        <w:rPr>
          <w:sz w:val="20"/>
          <w:szCs w:val="20"/>
          <w:color w:val="auto"/>
        </w:rPr>
      </w:pPr>
      <w:r>
        <w:rPr>
          <w:rFonts w:ascii="Courier New" w:cs="Courier New" w:eastAsia="Courier New" w:hAnsi="Courier New"/>
          <w:sz w:val="15"/>
          <w:szCs w:val="15"/>
          <w:color w:val="auto"/>
        </w:rPr>
        <w:t>The book and fair</w:t>
        <w:tab/>
        <w:t>values</w:t>
        <w:tab/>
        <w:t>and gross</w:t>
        <w:tab/>
        <w:t>unrealized</w:t>
        <w:tab/>
        <w:t>gains</w:t>
        <w:tab/>
        <w:t>and</w:t>
      </w:r>
      <w:r>
        <w:rPr>
          <w:sz w:val="20"/>
          <w:szCs w:val="20"/>
          <w:color w:val="auto"/>
        </w:rPr>
        <w:tab/>
      </w:r>
      <w:r>
        <w:rPr>
          <w:rFonts w:ascii="Courier New" w:cs="Courier New" w:eastAsia="Courier New" w:hAnsi="Courier New"/>
          <w:sz w:val="14"/>
          <w:szCs w:val="14"/>
          <w:color w:val="auto"/>
        </w:rPr>
        <w:t>losses on the</w:t>
      </w:r>
    </w:p>
    <w:p>
      <w:pPr>
        <w:spacing w:after="0" w:line="237" w:lineRule="auto"/>
        <w:rPr>
          <w:sz w:val="20"/>
          <w:szCs w:val="20"/>
          <w:color w:val="auto"/>
        </w:rPr>
      </w:pPr>
      <w:r>
        <w:rPr>
          <w:rFonts w:ascii="Courier New" w:cs="Courier New" w:eastAsia="Courier New" w:hAnsi="Courier New"/>
          <w:sz w:val="15"/>
          <w:szCs w:val="15"/>
          <w:color w:val="auto"/>
        </w:rPr>
        <w:t>Company's investment securities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3"/>
              </w:rPr>
              <w:t>Gross</w:t>
            </w:r>
          </w:p>
        </w:tc>
        <w:tc>
          <w:tcPr>
            <w:tcW w:w="580" w:type="dxa"/>
            <w:vAlign w:val="bottom"/>
          </w:tcPr>
          <w:p>
            <w:pPr>
              <w:spacing w:after="0"/>
              <w:rPr>
                <w:sz w:val="14"/>
                <w:szCs w:val="14"/>
                <w:color w:val="auto"/>
              </w:rPr>
            </w:pP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Gross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Unrealized</w:t>
            </w:r>
          </w:p>
        </w:tc>
        <w:tc>
          <w:tcPr>
            <w:tcW w:w="1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Unrealized</w:t>
            </w:r>
          </w:p>
        </w:tc>
        <w:tc>
          <w:tcPr>
            <w:tcW w:w="560" w:type="dxa"/>
            <w:vAlign w:val="bottom"/>
          </w:tcPr>
          <w:p>
            <w:pPr>
              <w:spacing w:after="0"/>
              <w:rPr>
                <w:sz w:val="14"/>
                <w:szCs w:val="14"/>
                <w:color w:val="auto"/>
              </w:rPr>
            </w:pP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5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Gains</w:t>
            </w:r>
          </w:p>
        </w:tc>
        <w:tc>
          <w:tcPr>
            <w:tcW w:w="5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Losses</w:t>
            </w:r>
          </w:p>
        </w:tc>
        <w:tc>
          <w:tcPr>
            <w:tcW w:w="560" w:type="dxa"/>
            <w:vAlign w:val="bottom"/>
          </w:tcPr>
          <w:p>
            <w:pPr>
              <w:spacing w:after="0"/>
              <w:rPr>
                <w:sz w:val="14"/>
                <w:szCs w:val="14"/>
                <w:color w:val="auto"/>
              </w:rPr>
            </w:pP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3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Equity Securities: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common stocks......................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38,545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9,638</w:t>
            </w: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46,272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Non-marketable Equity Securities: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 Home Loan Bank stock.............</w:t>
            </w:r>
          </w:p>
        </w:tc>
        <w:tc>
          <w:tcPr>
            <w:tcW w:w="7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10,825</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10,825</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partnership interests............</w:t>
            </w:r>
          </w:p>
        </w:tc>
        <w:tc>
          <w:tcPr>
            <w:tcW w:w="7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2,470</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2,470</w:t>
            </w:r>
          </w:p>
        </w:tc>
      </w:tr>
      <w:tr>
        <w:trPr>
          <w:trHeight w:val="168"/>
        </w:trPr>
        <w:tc>
          <w:tcPr>
            <w:tcW w:w="43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51,840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9,638</w:t>
            </w: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59,567</w:t>
            </w:r>
          </w:p>
        </w:tc>
      </w:tr>
      <w:tr>
        <w:trPr>
          <w:trHeight w:val="168"/>
        </w:trPr>
        <w:tc>
          <w:tcPr>
            <w:tcW w:w="43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Non-marketable Equity Securities: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 Home Loan Bank 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8,798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partnership interests............</w:t>
            </w:r>
          </w:p>
        </w:tc>
        <w:tc>
          <w:tcPr>
            <w:tcW w:w="7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3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8,901</w:t>
            </w:r>
          </w:p>
        </w:tc>
      </w:tr>
      <w:tr>
        <w:trPr>
          <w:trHeight w:val="168"/>
        </w:trPr>
        <w:tc>
          <w:tcPr>
            <w:tcW w:w="43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Included in interest income on investment securities and other for the periods ended December 31, 1997, 1996 and 1995 are $1,603, $1,767 and $1,388, respectively, of deferred fees accreted on tax residuals (see Note 21).</w:t>
      </w:r>
    </w:p>
    <w:p>
      <w:pPr>
        <w:spacing w:after="0" w:line="174"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As a member of the FHLB system, the Bank is required to maintain an investment in the capital stock of the FHLB in an amount at least equal to the greater of 1% of residential mortgage assets, 5% of outstanding borrowings (advances) from the FHLB, or 0.3% of total assets. FHLB capital stock is generally pledged to secure FHLB advances.</w:t>
      </w:r>
    </w:p>
    <w:p>
      <w:pPr>
        <w:spacing w:after="0" w:line="174"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The Company's investment in other common stocks at December 31, 1997 is primarily comprised of 1,715,000 shares of stock in OAIC with a book value and fair value of $25,519 and $35,158, respectively.</w:t>
      </w:r>
    </w:p>
    <w:p>
      <w:pPr>
        <w:spacing w:after="0" w:line="174" w:lineRule="exact"/>
        <w:rPr>
          <w:sz w:val="20"/>
          <w:szCs w:val="20"/>
          <w:color w:val="auto"/>
        </w:rPr>
      </w:pPr>
    </w:p>
    <w:p>
      <w:pPr>
        <w:jc w:val="both"/>
        <w:ind w:right="3500" w:firstLine="437"/>
        <w:spacing w:after="0" w:line="234" w:lineRule="auto"/>
        <w:rPr>
          <w:sz w:val="20"/>
          <w:szCs w:val="20"/>
          <w:color w:val="auto"/>
        </w:rPr>
      </w:pPr>
      <w:r>
        <w:rPr>
          <w:rFonts w:ascii="Courier New" w:cs="Courier New" w:eastAsia="Courier New" w:hAnsi="Courier New"/>
          <w:sz w:val="15"/>
          <w:szCs w:val="15"/>
          <w:color w:val="auto"/>
        </w:rPr>
        <w:t>Dividends earned on FHLB stock and other common stocks amounted to $2,000, $567 and $505 during 1997, 1996 and 1995,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500"/>
          </w:cols>
          <w:pgMar w:left="220" w:top="617" w:right="1179" w:bottom="1440" w:gutter="0" w:footer="0" w:header="0"/>
        </w:sectPr>
      </w:pPr>
    </w:p>
    <w:bookmarkStart w:id="107" w:name="page108"/>
    <w:bookmarkEnd w:id="107"/>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tbl>
      <w:tblPr>
        <w:tblLayout w:type="fixed"/>
        <w:tblInd w:w="0" w:type="dxa"/>
        <w:tblCellMar>
          <w:top w:w="0" w:type="dxa"/>
          <w:left w:w="0" w:type="dxa"/>
          <w:bottom w:w="0" w:type="dxa"/>
          <w:right w:w="0" w:type="dxa"/>
        </w:tblCellMar>
      </w:tblPr>
      <w:tr>
        <w:trPr>
          <w:trHeight w:val="168"/>
        </w:trPr>
        <w:tc>
          <w:tcPr>
            <w:tcW w:w="68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6880" w:type="dxa"/>
            <w:vAlign w:val="bottom"/>
          </w:tcPr>
          <w:p>
            <w:pPr>
              <w:jc w:val="right"/>
              <w:ind w:right="4787"/>
              <w:spacing w:after="0"/>
              <w:rPr>
                <w:sz w:val="20"/>
                <w:szCs w:val="20"/>
                <w:color w:val="auto"/>
              </w:rPr>
            </w:pPr>
            <w:r>
              <w:rPr>
                <w:rFonts w:ascii="Courier New" w:cs="Courier New" w:eastAsia="Courier New" w:hAnsi="Courier New"/>
                <w:sz w:val="15"/>
                <w:szCs w:val="15"/>
                <w:color w:val="auto"/>
                <w:w w:val="96"/>
              </w:rPr>
              <w:t>NOTE 8   LOAN PORTFOLIO</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6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The Company's loan portfolio consisted of the following at December 31:</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6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1997</w:t>
            </w:r>
          </w:p>
        </w:tc>
        <w:tc>
          <w:tcPr>
            <w:tcW w:w="52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Carrying value:</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68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Single family residential...................................</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46,226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73,186</w:t>
            </w:r>
          </w:p>
        </w:tc>
      </w:tr>
      <w:tr>
        <w:trPr>
          <w:trHeight w:val="168"/>
        </w:trPr>
        <w:tc>
          <w:tcPr>
            <w:tcW w:w="68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Permanent.................................................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38,105</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31,252</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Construction..............................................</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33,277</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36,590</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Total multi-family residential............................</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71,382</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67,842</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880" w:type="dxa"/>
            <w:vAlign w:val="bottom"/>
          </w:tcPr>
          <w:p>
            <w:pPr>
              <w:jc w:val="right"/>
              <w:ind w:right="5127"/>
              <w:spacing w:after="0" w:line="168" w:lineRule="exact"/>
              <w:rPr>
                <w:sz w:val="20"/>
                <w:szCs w:val="20"/>
                <w:color w:val="auto"/>
              </w:rPr>
            </w:pPr>
            <w:r>
              <w:rPr>
                <w:rFonts w:ascii="Courier New" w:cs="Courier New" w:eastAsia="Courier New" w:hAnsi="Courier New"/>
                <w:sz w:val="15"/>
                <w:szCs w:val="15"/>
                <w:color w:val="auto"/>
              </w:rPr>
              <w:t>Hotel:</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Permanent...............................................</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64,040</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173,947</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Construction............................................</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25,322</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26,364</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Office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68,759</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128,782</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Land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2,858</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2,332</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Other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16,094</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25,623</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Total commercial real estate............................</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177,073</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357,048</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Commercial non-mortgage.......................................</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Consumer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Total loans.............................................</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294,925</w:t>
            </w:r>
          </w:p>
        </w:tc>
        <w:tc>
          <w:tcPr>
            <w:tcW w:w="5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501,114</w:t>
            </w: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Undisbursed loan funds..........................................</w:t>
            </w:r>
          </w:p>
        </w:tc>
        <w:tc>
          <w:tcPr>
            <w:tcW w:w="5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(22,210)</w:t>
            </w:r>
          </w:p>
        </w:tc>
        <w:tc>
          <w:tcPr>
            <w:tcW w:w="5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(89,840)</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Unaccreted discount...........................................</w:t>
            </w:r>
          </w:p>
        </w:tc>
        <w:tc>
          <w:tcPr>
            <w:tcW w:w="5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(2,721)</w:t>
            </w:r>
          </w:p>
        </w:tc>
        <w:tc>
          <w:tcPr>
            <w:tcW w:w="5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(5,169)</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5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(3,695)</w:t>
            </w:r>
          </w:p>
        </w:tc>
        <w:tc>
          <w:tcPr>
            <w:tcW w:w="5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Loans, net..............................................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266,299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402,582</w:t>
            </w:r>
          </w:p>
        </w:tc>
      </w:tr>
      <w:tr>
        <w:trPr>
          <w:trHeight w:val="168"/>
        </w:trPr>
        <w:tc>
          <w:tcPr>
            <w:tcW w:w="68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At December 31, 1997 the Company had $4,382 of single family residential loans and $3,686 of multi-family residential loans outstanding, at market interest rates and terms, which were issued to facilitate the sale of the Company's real estate owned and real estate held for development.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Included in the loan portfolio at December 31, 1997 and 1996 are $101,126 and $315,871 respectively, of loans in which the Company participates in the residual profits of the underlying real estate, of which $88,954 and $233,749, respectively, have been funded. The Company records any residual profits as part of interest income when received.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108" w:name="page109"/>
    <w:bookmarkEnd w:id="108"/>
    <w:p>
      <w:pPr>
        <w:jc w:val="center"/>
        <w:ind w:right="39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9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920"/>
        <w:spacing w:after="0" w:line="238" w:lineRule="auto"/>
        <w:rPr>
          <w:sz w:val="20"/>
          <w:szCs w:val="20"/>
          <w:color w:val="auto"/>
        </w:rPr>
      </w:pPr>
      <w:r>
        <w:rPr>
          <w:rFonts w:ascii="Courier New" w:cs="Courier New" w:eastAsia="Courier New" w:hAnsi="Courier New"/>
          <w:sz w:val="15"/>
          <w:szCs w:val="15"/>
          <w:color w:val="auto"/>
        </w:rPr>
        <w:t>DECEMBER 31, 1997, 1996 and 1995</w:t>
      </w: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60" w:type="dxa"/>
            <w:vAlign w:val="bottom"/>
            <w:gridSpan w:val="2"/>
          </w:tcPr>
          <w:p>
            <w:pPr>
              <w:jc w:val="right"/>
              <w:ind w:right="1427"/>
              <w:spacing w:after="0" w:line="168" w:lineRule="exact"/>
              <w:rPr>
                <w:sz w:val="20"/>
                <w:szCs w:val="20"/>
                <w:color w:val="auto"/>
              </w:rPr>
            </w:pPr>
            <w:r>
              <w:rPr>
                <w:rFonts w:ascii="Courier New" w:cs="Courier New" w:eastAsia="Courier New" w:hAnsi="Courier New"/>
                <w:sz w:val="15"/>
                <w:szCs w:val="15"/>
                <w:color w:val="auto"/>
                <w:w w:val="98"/>
              </w:rPr>
              <w:t>(Dollars in Thousands, except share data)</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The</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following</w:t>
            </w:r>
          </w:p>
        </w:tc>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table  presents</w:t>
            </w:r>
          </w:p>
        </w:tc>
        <w:tc>
          <w:tcPr>
            <w:tcW w:w="42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6"/>
              </w:rPr>
              <w:t>a summary of the  Company's  nonperforming</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w:t>
            </w: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for loan losses and</w:t>
            </w:r>
          </w:p>
        </w:tc>
        <w:tc>
          <w:tcPr>
            <w:tcW w:w="42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significant  ratios at and for the years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December 31:</w:t>
            </w:r>
          </w:p>
        </w:tc>
        <w:tc>
          <w:tcPr>
            <w:tcW w:w="16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1997</w:t>
            </w:r>
          </w:p>
        </w:tc>
        <w:tc>
          <w:tcPr>
            <w:tcW w:w="34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Nonperforming loans:</w:t>
            </w: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Single family residential.....................................</w:t>
            </w: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2,923</w:t>
            </w: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Multi-family..................................................</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7,583</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Consumer......................................................</w:t>
            </w:r>
          </w:p>
        </w:tc>
        <w:tc>
          <w:tcPr>
            <w:tcW w:w="35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3,856</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Balance at beginning of year..................................</w:t>
            </w: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3,523</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1,947</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1,071</w:t>
            </w: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1,121</w:t>
            </w: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Charge-offs...................................................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70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Recoveries</w:t>
            </w:r>
          </w:p>
        </w:tc>
        <w:tc>
          <w:tcPr>
            <w:tcW w:w="5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Balance at end of year........................................</w:t>
            </w: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3,523</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1,947</w:t>
            </w:r>
          </w:p>
        </w:tc>
      </w:tr>
      <w:tr>
        <w:trPr>
          <w:trHeight w:val="168"/>
        </w:trPr>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Significant ratios:</w:t>
            </w: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Nonperforming loans as a percentage of:</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Loans.........................................................</w:t>
            </w:r>
          </w:p>
        </w:tc>
        <w:tc>
          <w:tcPr>
            <w:tcW w:w="3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0.56%</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r>
      <w:tr>
        <w:trPr>
          <w:trHeight w:val="336"/>
        </w:trPr>
        <w:tc>
          <w:tcPr>
            <w:tcW w:w="700" w:type="dxa"/>
            <w:vAlign w:val="bottom"/>
          </w:tcPr>
          <w:p>
            <w:pPr>
              <w:spacing w:after="0"/>
              <w:rPr>
                <w:sz w:val="24"/>
                <w:szCs w:val="24"/>
                <w:color w:val="auto"/>
              </w:rPr>
            </w:pPr>
          </w:p>
        </w:tc>
        <w:tc>
          <w:tcPr>
            <w:tcW w:w="61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Allowance for loan losses as a percentage of:</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5"/>
              </w:rPr>
              <w:t>Loans.........................................................</w:t>
            </w:r>
          </w:p>
        </w:tc>
        <w:tc>
          <w:tcPr>
            <w:tcW w:w="3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0.87%</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0.65%</w:t>
            </w:r>
          </w:p>
        </w:tc>
      </w:tr>
      <w:tr>
        <w:trPr>
          <w:trHeight w:val="336"/>
        </w:trPr>
        <w:tc>
          <w:tcPr>
            <w:tcW w:w="700" w:type="dxa"/>
            <w:vAlign w:val="bottom"/>
          </w:tcPr>
          <w:p>
            <w:pPr>
              <w:spacing w:after="0"/>
              <w:rPr>
                <w:sz w:val="24"/>
                <w:szCs w:val="24"/>
                <w:color w:val="auto"/>
              </w:rPr>
            </w:pPr>
          </w:p>
        </w:tc>
        <w:tc>
          <w:tcPr>
            <w:tcW w:w="61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Nonperforming loans...........................................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40.35%</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154.24%</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50.49%</w:t>
            </w:r>
          </w:p>
        </w:tc>
      </w:tr>
      <w:tr>
        <w:trPr>
          <w:trHeight w:val="168"/>
        </w:trPr>
        <w:tc>
          <w:tcPr>
            <w:tcW w:w="700" w:type="dxa"/>
            <w:vAlign w:val="bottom"/>
          </w:tcPr>
          <w:p>
            <w:pPr>
              <w:spacing w:after="0"/>
              <w:rPr>
                <w:sz w:val="14"/>
                <w:szCs w:val="14"/>
                <w:color w:val="auto"/>
              </w:rPr>
            </w:pPr>
          </w:p>
        </w:tc>
        <w:tc>
          <w:tcPr>
            <w:tcW w:w="61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Net charge-offs (recoveries) as a percentage of average loans.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r>
    </w:tbl>
    <w:p>
      <w:pPr>
        <w:spacing w:after="0" w:line="341" w:lineRule="exact"/>
        <w:rPr>
          <w:sz w:val="20"/>
          <w:szCs w:val="20"/>
          <w:color w:val="auto"/>
        </w:rPr>
      </w:pPr>
    </w:p>
    <w:p>
      <w:pPr>
        <w:jc w:val="both"/>
        <w:ind w:right="3940" w:firstLine="437"/>
        <w:spacing w:after="0" w:line="235" w:lineRule="auto"/>
        <w:rPr>
          <w:sz w:val="20"/>
          <w:szCs w:val="20"/>
          <w:color w:val="auto"/>
        </w:rPr>
      </w:pPr>
      <w:r>
        <w:rPr>
          <w:rFonts w:ascii="Courier New" w:cs="Courier New" w:eastAsia="Courier New" w:hAnsi="Courier New"/>
          <w:sz w:val="15"/>
          <w:szCs w:val="15"/>
          <w:color w:val="auto"/>
        </w:rPr>
        <w:t>If non-accrual loans had been current in accordance with their original terms, interest income for the years ended December 31, 1997, 1996 and 1995 would have been approximately $515, $214 and $322 higher, respectively. No interest has been accrued on loans greater than 89 days past due.</w:t>
      </w:r>
    </w:p>
    <w:p>
      <w:pPr>
        <w:spacing w:after="0" w:line="175" w:lineRule="exact"/>
        <w:rPr>
          <w:sz w:val="20"/>
          <w:szCs w:val="20"/>
          <w:color w:val="auto"/>
        </w:rPr>
      </w:pPr>
    </w:p>
    <w:p>
      <w:pPr>
        <w:jc w:val="both"/>
        <w:ind w:right="3940" w:firstLine="437"/>
        <w:spacing w:after="0" w:line="234" w:lineRule="auto"/>
        <w:rPr>
          <w:sz w:val="20"/>
          <w:szCs w:val="20"/>
          <w:color w:val="auto"/>
        </w:rPr>
      </w:pPr>
      <w:r>
        <w:rPr>
          <w:rFonts w:ascii="Courier New" w:cs="Courier New" w:eastAsia="Courier New" w:hAnsi="Courier New"/>
          <w:sz w:val="15"/>
          <w:szCs w:val="15"/>
          <w:color w:val="auto"/>
        </w:rPr>
        <w:t>At December 31, 1997, the Company had no investment in impaired loans as defined in accordance with SFAS No. 114, and as amended by SFAS No. 118.</w:t>
      </w:r>
    </w:p>
    <w:p>
      <w:pPr>
        <w:spacing w:after="0" w:line="173" w:lineRule="exact"/>
        <w:rPr>
          <w:sz w:val="20"/>
          <w:szCs w:val="20"/>
          <w:color w:val="auto"/>
        </w:rPr>
      </w:pPr>
    </w:p>
    <w:p>
      <w:pPr>
        <w:jc w:val="both"/>
        <w:ind w:right="3940" w:firstLine="437"/>
        <w:spacing w:after="0" w:line="258" w:lineRule="auto"/>
        <w:rPr>
          <w:sz w:val="20"/>
          <w:szCs w:val="20"/>
          <w:color w:val="auto"/>
        </w:rPr>
      </w:pPr>
      <w:r>
        <w:rPr>
          <w:rFonts w:ascii="Courier New" w:cs="Courier New" w:eastAsia="Courier New" w:hAnsi="Courier New"/>
          <w:sz w:val="14"/>
          <w:szCs w:val="14"/>
          <w:color w:val="auto"/>
        </w:rPr>
        <w:t>The loan portfolio is geographically located throughout the United States. The following table sets forth the five states in which the largest amount of properties securing the Company's loans were located at December 31, 1997.</w:t>
      </w:r>
    </w:p>
    <w:p>
      <w:pPr>
        <w:spacing w:after="0" w:line="200" w:lineRule="exact"/>
        <w:rPr>
          <w:sz w:val="20"/>
          <w:szCs w:val="20"/>
          <w:color w:val="auto"/>
        </w:rPr>
      </w:pPr>
    </w:p>
    <w:p>
      <w:pPr>
        <w:spacing w:after="0" w:line="29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Singe Family</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Multi-family</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Commercial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Residential</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Residential</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Real Estate</w:t>
            </w:r>
          </w:p>
        </w:tc>
        <w:tc>
          <w:tcPr>
            <w:tcW w:w="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Consumer</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New York............................................</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3,871</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31,835</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58,774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New Jersey..........................................</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27,433</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5,448</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2,544</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35,434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California..........................................</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2,771</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4,763</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20,213</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27,747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Maryland............................................</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26,008</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26,148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Illinois............................................</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21,098</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21,154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11,955</w:t>
            </w:r>
          </w:p>
        </w:tc>
        <w:tc>
          <w:tcPr>
            <w:tcW w:w="3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29,336</w:t>
            </w:r>
          </w:p>
        </w:tc>
        <w:tc>
          <w:tcPr>
            <w:tcW w:w="3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84,142</w:t>
            </w:r>
          </w:p>
        </w:tc>
        <w:tc>
          <w:tcPr>
            <w:tcW w:w="2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125,668</w:t>
            </w: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46,226</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71,382</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177,073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294,925</w:t>
            </w: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109" w:name="page110"/>
    <w:bookmarkEnd w:id="109"/>
    <w:p>
      <w:pPr>
        <w:jc w:val="center"/>
        <w:ind w:right="34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4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48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DISCOUNT LOAN PORTFOLIO</w:t>
      </w:r>
    </w:p>
    <w:p>
      <w:pPr>
        <w:spacing w:after="0" w:line="173" w:lineRule="exact"/>
        <w:rPr>
          <w:sz w:val="20"/>
          <w:szCs w:val="20"/>
          <w:color w:val="auto"/>
        </w:rPr>
      </w:pPr>
    </w:p>
    <w:p>
      <w:pPr>
        <w:jc w:val="both"/>
        <w:ind w:right="3500" w:firstLine="437"/>
        <w:spacing w:after="0" w:line="255" w:lineRule="auto"/>
        <w:rPr>
          <w:sz w:val="20"/>
          <w:szCs w:val="20"/>
          <w:color w:val="auto"/>
        </w:rPr>
      </w:pPr>
      <w:r>
        <w:rPr>
          <w:rFonts w:ascii="Courier New" w:cs="Courier New" w:eastAsia="Courier New" w:hAnsi="Courier New"/>
          <w:sz w:val="14"/>
          <w:szCs w:val="14"/>
          <w:color w:val="auto"/>
        </w:rPr>
        <w:t>The Company has acquired, through private sales and auctions, mortgage loans at a discount because the borrowers are either not current as to principal and interest payments or there is doubt as to the borrowers' ability to pay in full the contractual principal and interest. The Company estimates the amounts it will realize through foreclosure, collection efforts or other resolution of each loan and the length of time required to complete the collection process in determining the amounts it will bid to acquire such loans.</w:t>
      </w:r>
    </w:p>
    <w:p>
      <w:pPr>
        <w:spacing w:after="0" w:line="166" w:lineRule="exact"/>
        <w:rPr>
          <w:sz w:val="20"/>
          <w:szCs w:val="20"/>
          <w:color w:val="auto"/>
        </w:rPr>
      </w:pPr>
    </w:p>
    <w:p>
      <w:pPr>
        <w:jc w:val="both"/>
        <w:ind w:right="3500" w:firstLine="437"/>
        <w:spacing w:after="0" w:line="255" w:lineRule="auto"/>
        <w:rPr>
          <w:sz w:val="20"/>
          <w:szCs w:val="20"/>
          <w:color w:val="auto"/>
        </w:rPr>
      </w:pPr>
      <w:r>
        <w:rPr>
          <w:rFonts w:ascii="Courier New" w:cs="Courier New" w:eastAsia="Courier New" w:hAnsi="Courier New"/>
          <w:sz w:val="14"/>
          <w:szCs w:val="14"/>
          <w:color w:val="auto"/>
        </w:rPr>
        <w:t>The resolution alternatives applied to the discount loan portfolio are (i) the borrower brings the loan current in accordance with original or modified terms; (ii) the borrower repays the loan or a negotiated amount; (iii) the borrower agrees to a deed-in-lieu of foreclosure, in which case it is classified as real estate owned and held for sale by the Company and (iv) the Company forecloses on the loan and the property is either acquired at the foreclosure sale by a third-party or by the Company, in which case it is classified as real estate owned and held for sale. The Company periodically reviews the discount loan portfolio performance to ensure that nonperforming loans are carried at the lower of amortized cost or net realizable value of the underlying collateral and the remaining unaccreted discount is adjusted accordingly. Upon receipt of title to the property, the loans are transferred to real estate owned.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discount loan portfolio consists of the following at December</w:t>
      </w:r>
    </w:p>
    <w:p>
      <w:pPr>
        <w:spacing w:after="0" w:line="237" w:lineRule="auto"/>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Carrying Value</w:t>
            </w:r>
          </w:p>
        </w:tc>
      </w:tr>
      <w:tr>
        <w:trPr>
          <w:trHeight w:val="168"/>
        </w:trPr>
        <w:tc>
          <w:tcPr>
            <w:tcW w:w="5860" w:type="dxa"/>
            <w:vAlign w:val="bottom"/>
          </w:tcPr>
          <w:p>
            <w:pPr>
              <w:spacing w:after="0"/>
              <w:rPr>
                <w:sz w:val="14"/>
                <w:szCs w:val="14"/>
                <w:color w:val="auto"/>
              </w:rPr>
            </w:pPr>
          </w:p>
        </w:tc>
        <w:tc>
          <w:tcPr>
            <w:tcW w:w="3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86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4907"/>
              <w:spacing w:after="0"/>
              <w:rPr>
                <w:sz w:val="20"/>
                <w:szCs w:val="20"/>
                <w:color w:val="auto"/>
              </w:rPr>
            </w:pPr>
            <w:r>
              <w:rPr>
                <w:rFonts w:ascii="Courier New" w:cs="Courier New" w:eastAsia="Courier New" w:hAnsi="Courier New"/>
                <w:sz w:val="15"/>
                <w:szCs w:val="15"/>
                <w:color w:val="auto"/>
                <w:w w:val="95"/>
              </w:rPr>
              <w:t>Loan type:</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Single family residential...................................</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900,817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504,049</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Multi-family residential....................................</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191,302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341,796</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Commercial real estate......................................</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701,035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465,801</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Other.......................................................</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2,753</w:t>
            </w:r>
          </w:p>
        </w:tc>
      </w:tr>
      <w:tr>
        <w:trPr>
          <w:trHeight w:val="168"/>
        </w:trPr>
        <w:tc>
          <w:tcPr>
            <w:tcW w:w="586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discount loans......................................</w:t>
            </w:r>
          </w:p>
        </w:tc>
        <w:tc>
          <w:tcPr>
            <w:tcW w:w="60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1,795,019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1,314,399</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Unaccreted discount.........................................</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(337,350)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(241,908)</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Allowance for loan losses...................................</w:t>
            </w:r>
          </w:p>
        </w:tc>
        <w:tc>
          <w:tcPr>
            <w:tcW w:w="60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(23,493)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(11,538)</w:t>
            </w:r>
          </w:p>
        </w:tc>
      </w:tr>
      <w:tr>
        <w:trPr>
          <w:trHeight w:val="168"/>
        </w:trPr>
        <w:tc>
          <w:tcPr>
            <w:tcW w:w="586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Discount loans, net.........................................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1,434,176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$ 1,060,953</w:t>
            </w:r>
          </w:p>
        </w:tc>
      </w:tr>
      <w:tr>
        <w:trPr>
          <w:trHeight w:val="168"/>
        </w:trPr>
        <w:tc>
          <w:tcPr>
            <w:tcW w:w="586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w w:val="96"/>
              </w:rPr>
              <w:t>The  following  table sets forth the  payment</w:t>
            </w:r>
          </w:p>
        </w:tc>
        <w:tc>
          <w:tcPr>
            <w:tcW w:w="100" w:type="dxa"/>
            <w:vAlign w:val="bottom"/>
          </w:tcPr>
          <w:p>
            <w:pPr>
              <w:spacing w:after="0"/>
              <w:rPr>
                <w:sz w:val="14"/>
                <w:szCs w:val="14"/>
                <w:color w:val="auto"/>
              </w:rPr>
            </w:pPr>
          </w:p>
        </w:tc>
        <w:tc>
          <w:tcPr>
            <w:tcW w:w="29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status at December 31 of the</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loans in the Company's gross discount loan portfolio:</w:t>
            </w: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505"/>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December 31, 1997</w:t>
            </w:r>
          </w:p>
        </w:tc>
        <w:tc>
          <w:tcPr>
            <w:tcW w:w="3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1996</w:t>
            </w:r>
          </w:p>
        </w:tc>
        <w:tc>
          <w:tcPr>
            <w:tcW w:w="80" w:type="dxa"/>
            <w:vAlign w:val="bottom"/>
          </w:tcPr>
          <w:p>
            <w:pPr>
              <w:spacing w:after="0"/>
              <w:rPr>
                <w:sz w:val="24"/>
                <w:szCs w:val="2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1"/>
                <w:szCs w:val="11"/>
                <w:color w:val="auto"/>
                <w:w w:val="71"/>
              </w:rPr>
              <w:t>------------------------------</w:t>
            </w:r>
          </w:p>
        </w:tc>
        <w:tc>
          <w:tcPr>
            <w:tcW w:w="1580" w:type="dxa"/>
            <w:vAlign w:val="bottom"/>
          </w:tcPr>
          <w:p>
            <w:pPr>
              <w:spacing w:after="0"/>
              <w:rPr>
                <w:sz w:val="14"/>
                <w:szCs w:val="14"/>
                <w:color w:val="auto"/>
              </w:rPr>
            </w:pP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Principal</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Percentage</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Principal</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of Loans</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Loans</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without Forbearance Agreements:</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670,115</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37.33%</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572,043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43.52%</w:t>
            </w:r>
          </w:p>
        </w:tc>
        <w:tc>
          <w:tcPr>
            <w:tcW w:w="8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31 to 89 days......................</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21,098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1.18</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19,458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638,319</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35.56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506,113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38.51</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and servicing not yet transferred..</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28,053</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1.56</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149,564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Subtotal....................................</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1,357,585</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75.63</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1,247,178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94.89</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Loans with Forbearance Agreements: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3,140</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0.18</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7,554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0.57</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31 to 89 days......................</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0.09</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0.21</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0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432,606(1)</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24.10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56,964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Subtotal....................................</w:t>
            </w:r>
          </w:p>
        </w:tc>
        <w:tc>
          <w:tcPr>
            <w:tcW w:w="1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437,434</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24.37</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67,221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w:t>
            </w:r>
          </w:p>
        </w:tc>
        <w:tc>
          <w:tcPr>
            <w:tcW w:w="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1,795,019</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$ 1,314,399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500" w:hanging="430"/>
        <w:spacing w:after="0" w:line="235"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$316.3 million of loans which were less than 90 days past due under the terms of the forbearance agreements at December 31, 1997, of which $184.5 million were current and $131.8 million were past due 31 to 89 days.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500"/>
          </w:cols>
          <w:pgMar w:left="220" w:top="617" w:right="1179" w:bottom="685"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0"/>
        </w:trPr>
        <w:tc>
          <w:tcPr>
            <w:tcW w:w="6480" w:type="dxa"/>
            <w:vAlign w:val="bottom"/>
            <w:gridSpan w:val="2"/>
          </w:tcPr>
          <w:p>
            <w:pPr>
              <w:jc w:val="center"/>
              <w:ind w:left="467"/>
              <w:spacing w:after="0"/>
              <w:rPr>
                <w:sz w:val="20"/>
                <w:szCs w:val="20"/>
                <w:color w:val="auto"/>
              </w:rPr>
            </w:pPr>
            <w:r>
              <w:rPr>
                <w:rFonts w:ascii="Courier New" w:cs="Courier New" w:eastAsia="Courier New" w:hAnsi="Courier New"/>
                <w:sz w:val="15"/>
                <w:szCs w:val="15"/>
                <w:color w:val="auto"/>
                <w:w w:val="97"/>
              </w:rPr>
              <w:t>OCWEN FINANCIAL CORPORATION AND SUBSIDIARIES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48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NOTES TO CONSOLIDATED FINANCIAL STATEMENTS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480" w:type="dxa"/>
            <w:vAlign w:val="bottom"/>
            <w:gridSpan w:val="2"/>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DECEMBER 31, 1997, 1996 and 1995</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(Dollars</w:t>
            </w:r>
          </w:p>
        </w:tc>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A summary of income on</w:t>
            </w:r>
          </w:p>
        </w:tc>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discount  loans is as follows  for the years</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24"/>
                <w:szCs w:val="2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ind w:left="800"/>
              <w:spacing w:after="0"/>
              <w:rPr>
                <w:sz w:val="20"/>
                <w:szCs w:val="20"/>
                <w:color w:val="auto"/>
              </w:rPr>
            </w:pPr>
            <w:r>
              <w:rPr>
                <w:rFonts w:ascii="Courier New" w:cs="Courier New" w:eastAsia="Courier New" w:hAnsi="Courier New"/>
                <w:sz w:val="15"/>
                <w:szCs w:val="15"/>
                <w:color w:val="auto"/>
              </w:rPr>
              <w:t>Interest Income:</w:t>
            </w:r>
          </w:p>
        </w:tc>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4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Realized....................................................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$ 157,649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97,174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70,807</w:t>
            </w:r>
          </w:p>
        </w:tc>
      </w:tr>
      <w:tr>
        <w:trPr>
          <w:trHeight w:val="168"/>
        </w:trPr>
        <w:tc>
          <w:tcPr>
            <w:tcW w:w="64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Accreted and unrealized.....................................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5,191</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$ 157,649</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$ 103,165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75,998</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Gains on Sales:</w:t>
            </w:r>
          </w:p>
        </w:tc>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4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Realized gains on sales.....................................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4,215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6,008</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Proceeds on sales...........................................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$ 500,151</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$ 190,616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$ 38,942</w:t>
            </w:r>
          </w:p>
        </w:tc>
      </w:tr>
      <w:tr>
        <w:trPr>
          <w:trHeight w:val="168"/>
        </w:trPr>
        <w:tc>
          <w:tcPr>
            <w:tcW w:w="25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60" w:firstLine="437"/>
        <w:spacing w:after="0" w:line="235" w:lineRule="auto"/>
        <w:rPr>
          <w:sz w:val="20"/>
          <w:szCs w:val="20"/>
          <w:color w:val="auto"/>
        </w:rPr>
      </w:pPr>
      <w:r>
        <w:rPr>
          <w:rFonts w:ascii="Courier New" w:cs="Courier New" w:eastAsia="Courier New" w:hAnsi="Courier New"/>
          <w:sz w:val="15"/>
          <w:szCs w:val="15"/>
          <w:color w:val="auto"/>
        </w:rPr>
        <w:t>Proceeds on sales of discount loans during 1997 and 1996 include non-cash proceeds related to the exchange of discount loans for securities in connection with the Company's securitization activities (see Note 5).</w:t>
      </w:r>
    </w:p>
    <w:p>
      <w:pPr>
        <w:spacing w:after="0" w:line="174" w:lineRule="exact"/>
        <w:rPr>
          <w:sz w:val="20"/>
          <w:szCs w:val="20"/>
          <w:color w:val="auto"/>
        </w:rPr>
      </w:pPr>
    </w:p>
    <w:p>
      <w:pPr>
        <w:jc w:val="both"/>
        <w:ind w:right="3860"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activity in the Company's gross discount loan portfolio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46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60" w:type="dxa"/>
            <w:vAlign w:val="bottom"/>
          </w:tcPr>
          <w:p>
            <w:pPr>
              <w:spacing w:after="0"/>
              <w:rPr>
                <w:sz w:val="20"/>
                <w:szCs w:val="20"/>
                <w:color w:val="auto"/>
              </w:rPr>
            </w:pPr>
            <w:r>
              <w:rPr>
                <w:rFonts w:ascii="Courier New" w:cs="Courier New" w:eastAsia="Courier New" w:hAnsi="Courier New"/>
                <w:sz w:val="15"/>
                <w:szCs w:val="15"/>
                <w:color w:val="auto"/>
                <w:w w:val="97"/>
              </w:rPr>
              <w:t>Principal balance at beginning of year........................</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1,314,399</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943,529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785,434</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Acquisitions..................................................</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1,776,773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1,110,887</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791,195</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Resolutions and repayments....................................</w:t>
            </w:r>
          </w:p>
        </w:tc>
        <w:tc>
          <w:tcPr>
            <w:tcW w:w="3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(484,869)</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(371,228)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(300,161)</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Loans transferred to real estate owned........................</w:t>
            </w:r>
          </w:p>
        </w:tc>
        <w:tc>
          <w:tcPr>
            <w:tcW w:w="3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(292,412)</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(138,543)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(281,344)</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Sales.........................................................</w:t>
            </w:r>
          </w:p>
        </w:tc>
        <w:tc>
          <w:tcPr>
            <w:tcW w:w="30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(518,872)</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(230,246)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(51,595)</w:t>
            </w:r>
          </w:p>
        </w:tc>
      </w:tr>
      <w:tr>
        <w:trPr>
          <w:trHeight w:val="168"/>
        </w:trPr>
        <w:tc>
          <w:tcPr>
            <w:tcW w:w="546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Principal balance at end of year .............................</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1,795,019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$ 1,314,399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943,529</w:t>
            </w:r>
          </w:p>
        </w:tc>
      </w:tr>
      <w:tr>
        <w:trPr>
          <w:trHeight w:val="168"/>
        </w:trPr>
        <w:tc>
          <w:tcPr>
            <w:tcW w:w="546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60" w:firstLine="437"/>
        <w:spacing w:after="0" w:line="235" w:lineRule="auto"/>
        <w:rPr>
          <w:sz w:val="20"/>
          <w:szCs w:val="20"/>
          <w:color w:val="auto"/>
        </w:rPr>
      </w:pPr>
      <w:r>
        <w:rPr>
          <w:rFonts w:ascii="Courier New" w:cs="Courier New" w:eastAsia="Courier New" w:hAnsi="Courier New"/>
          <w:sz w:val="15"/>
          <w:szCs w:val="15"/>
          <w:color w:val="auto"/>
        </w:rPr>
        <w:t>The discount loan portfolio is geographically located throughout the United States. The following table sets forth the five states in which the largest amount of properties securing the Company's discount loans were located at December 31, 1997:</w:t>
      </w: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Commercial</w:t>
            </w:r>
          </w:p>
        </w:tc>
        <w:tc>
          <w:tcPr>
            <w:tcW w:w="13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Single family</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Multi-family</w:t>
            </w:r>
          </w:p>
        </w:tc>
        <w:tc>
          <w:tcPr>
            <w:tcW w:w="174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Real Estate</w:t>
            </w:r>
          </w:p>
        </w:tc>
        <w:tc>
          <w:tcPr>
            <w:tcW w:w="136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Residential</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Residential</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and Other</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20" w:type="dxa"/>
            <w:vAlign w:val="bottom"/>
          </w:tcPr>
          <w:p>
            <w:pPr>
              <w:spacing w:after="0"/>
              <w:rPr>
                <w:sz w:val="14"/>
                <w:szCs w:val="14"/>
                <w:color w:val="auto"/>
              </w:rPr>
            </w:pPr>
          </w:p>
        </w:tc>
        <w:tc>
          <w:tcPr>
            <w:tcW w:w="18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160,042</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59,473</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91,627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311,142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4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80,442</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3,430</w:t>
            </w:r>
          </w:p>
        </w:tc>
        <w:tc>
          <w:tcPr>
            <w:tcW w:w="4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137,026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220,898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4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98,248</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9,527</w:t>
            </w:r>
          </w:p>
        </w:tc>
        <w:tc>
          <w:tcPr>
            <w:tcW w:w="4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93,677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201,452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4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54,802</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21,856</w:t>
            </w:r>
          </w:p>
        </w:tc>
        <w:tc>
          <w:tcPr>
            <w:tcW w:w="4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27,074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103,732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4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39,616</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52,599</w:t>
            </w:r>
          </w:p>
        </w:tc>
        <w:tc>
          <w:tcPr>
            <w:tcW w:w="4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3,329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95,544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467,667</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44,417</w:t>
            </w:r>
          </w:p>
        </w:tc>
        <w:tc>
          <w:tcPr>
            <w:tcW w:w="4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350,167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862,251</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900,817</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$ 191,302</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702,900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$ 1,795,019</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860"/>
          </w:cols>
          <w:pgMar w:left="220" w:top="617" w:right="819" w:bottom="0" w:gutter="0" w:footer="0" w:header="0"/>
        </w:sectPr>
      </w:pPr>
    </w:p>
    <w:p>
      <w:pPr>
        <w:spacing w:after="0" w:line="141" w:lineRule="exact"/>
        <w:rPr>
          <w:sz w:val="20"/>
          <w:szCs w:val="20"/>
          <w:color w:val="auto"/>
        </w:rPr>
      </w:pPr>
    </w:p>
    <w:p>
      <w:pPr>
        <w:jc w:val="both"/>
        <w:ind w:firstLine="437"/>
        <w:spacing w:after="0" w:line="235" w:lineRule="auto"/>
        <w:rPr>
          <w:sz w:val="20"/>
          <w:szCs w:val="20"/>
          <w:color w:val="auto"/>
        </w:rPr>
      </w:pPr>
      <w:r>
        <w:rPr>
          <w:rFonts w:ascii="Courier New" w:cs="Courier New" w:eastAsia="Courier New" w:hAnsi="Courier New"/>
          <w:sz w:val="15"/>
          <w:szCs w:val="15"/>
          <w:color w:val="auto"/>
        </w:rPr>
        <w:t>The following schedule loan losses and significant ended December 31:</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3860"/>
        <w:spacing w:after="0" w:line="261" w:lineRule="auto"/>
        <w:rPr>
          <w:sz w:val="20"/>
          <w:szCs w:val="20"/>
          <w:color w:val="auto"/>
        </w:rPr>
      </w:pPr>
      <w:r>
        <w:rPr>
          <w:rFonts w:ascii="Courier New" w:cs="Courier New" w:eastAsia="Courier New" w:hAnsi="Courier New"/>
          <w:sz w:val="14"/>
          <w:szCs w:val="14"/>
          <w:color w:val="auto"/>
        </w:rPr>
        <w:t>presents a summary of the Company's allowance for ratios for its discount loans at and for the years</w:t>
      </w:r>
    </w:p>
    <w:p>
      <w:pPr>
        <w:spacing w:after="0" w:line="354" w:lineRule="exact"/>
        <w:rPr>
          <w:sz w:val="20"/>
          <w:szCs w:val="20"/>
          <w:color w:val="auto"/>
        </w:rPr>
      </w:pPr>
    </w:p>
    <w:p>
      <w:pPr>
        <w:sectPr>
          <w:pgSz w:w="11900" w:h="16838" w:orient="portrait"/>
          <w:cols w:equalWidth="0" w:num="2">
            <w:col w:w="2460" w:space="180"/>
            <w:col w:w="8220"/>
          </w:cols>
          <w:pgMar w:left="220" w:top="617" w:right="819" w:bottom="0" w:gutter="0" w:footer="0" w:header="0"/>
          <w:type w:val="continuous"/>
        </w:sect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260" w:type="dxa"/>
            <w:vAlign w:val="bottom"/>
          </w:tcPr>
          <w:p>
            <w:pPr>
              <w:spacing w:after="0"/>
              <w:rPr>
                <w:sz w:val="14"/>
                <w:szCs w:val="14"/>
                <w:color w:val="auto"/>
              </w:rPr>
            </w:pPr>
          </w:p>
        </w:tc>
        <w:tc>
          <w:tcPr>
            <w:tcW w:w="1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7"/>
              </w:rPr>
              <w:t>Balance at beginning of year..................................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31,894</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20,578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Charge-offs...................................................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(20,349)</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(9,216)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Recoveries....................................................</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410</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7"/>
              </w:rPr>
              <w:t>Balance at end of year........................................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23,493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11,538</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Significant ratios: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Allowances for loan losses as a percentage of</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discount loan portfolio, net....................................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Net charge-offs (recoveries) as a percentage of average discount loans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4"/>
                <w:szCs w:val="24"/>
                <w:color w:val="auto"/>
              </w:rPr>
            </w:pPr>
          </w:p>
        </w:tc>
        <w:tc>
          <w:tcPr>
            <w:tcW w:w="9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77"/>
              </w:rPr>
              <w:t>47</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860"/>
          </w:cols>
          <w:pgMar w:left="220" w:top="617" w:right="819" w:bottom="0" w:gutter="0" w:footer="0" w:header="0"/>
          <w:type w:val="continuous"/>
        </w:sectPr>
      </w:pPr>
    </w:p>
    <w:bookmarkStart w:id="111" w:name="page112"/>
    <w:bookmarkEnd w:id="111"/>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NOTE 10  REAL ESTATE OWNED</w:t>
            </w: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Real  estate  owned,  net of  allowance</w:t>
            </w:r>
          </w:p>
        </w:tc>
        <w:tc>
          <w:tcPr>
            <w:tcW w:w="3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for  losses,  is held for sale and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consists of the following at December 31:</w:t>
            </w: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1996</w:t>
            </w:r>
          </w:p>
        </w:tc>
      </w:tr>
      <w:tr>
        <w:trPr>
          <w:trHeight w:val="168"/>
        </w:trPr>
        <w:tc>
          <w:tcPr>
            <w:tcW w:w="40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800"/>
              <w:spacing w:after="0"/>
              <w:rPr>
                <w:sz w:val="20"/>
                <w:szCs w:val="20"/>
                <w:color w:val="auto"/>
              </w:rPr>
            </w:pPr>
            <w:r>
              <w:rPr>
                <w:rFonts w:ascii="Courier New" w:cs="Courier New" w:eastAsia="Courier New" w:hAnsi="Courier New"/>
                <w:sz w:val="15"/>
                <w:szCs w:val="15"/>
                <w:color w:val="auto"/>
              </w:rPr>
              <w:t>Discount loan portfolio:</w:t>
            </w:r>
          </w:p>
        </w:tc>
        <w:tc>
          <w:tcPr>
            <w:tcW w:w="2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76,409</w:t>
            </w:r>
          </w:p>
        </w:tc>
        <w:tc>
          <w:tcPr>
            <w:tcW w:w="700" w:type="dxa"/>
            <w:vAlign w:val="bottom"/>
          </w:tcPr>
          <w:p>
            <w:pPr>
              <w:spacing w:after="0"/>
              <w:rPr>
                <w:sz w:val="14"/>
                <w:szCs w:val="14"/>
                <w:color w:val="auto"/>
              </w:rPr>
            </w:pP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49,728</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16,741</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14,046</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71,339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36,264</w:t>
            </w:r>
          </w:p>
        </w:tc>
      </w:tr>
      <w:tr>
        <w:trPr>
          <w:trHeight w:val="168"/>
        </w:trPr>
        <w:tc>
          <w:tcPr>
            <w:tcW w:w="40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discount loan portfolio.............................</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164,489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100,038</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Loan portfolio................................................</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Loans available for sale......................................</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3,074</w:t>
            </w:r>
          </w:p>
        </w:tc>
      </w:tr>
      <w:tr>
        <w:trPr>
          <w:trHeight w:val="168"/>
        </w:trPr>
        <w:tc>
          <w:tcPr>
            <w:tcW w:w="40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167,265</w:t>
            </w:r>
          </w:p>
        </w:tc>
        <w:tc>
          <w:tcPr>
            <w:tcW w:w="700" w:type="dxa"/>
            <w:vAlign w:val="bottom"/>
          </w:tcPr>
          <w:p>
            <w:pPr>
              <w:spacing w:after="0"/>
              <w:rPr>
                <w:sz w:val="14"/>
                <w:szCs w:val="14"/>
                <w:color w:val="auto"/>
              </w:rPr>
            </w:pP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103,704</w:t>
            </w:r>
          </w:p>
        </w:tc>
      </w:tr>
      <w:tr>
        <w:trPr>
          <w:trHeight w:val="168"/>
        </w:trPr>
        <w:tc>
          <w:tcPr>
            <w:tcW w:w="40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The  following  schedule  presents  the</w:t>
            </w:r>
          </w:p>
        </w:tc>
        <w:tc>
          <w:tcPr>
            <w:tcW w:w="3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activity,  in  aggregate,  in  the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valuation allowances on real estate owned for the years ended December 31:</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040" w:type="dxa"/>
            <w:vAlign w:val="bottom"/>
          </w:tcPr>
          <w:p>
            <w:pPr>
              <w:spacing w:after="0"/>
              <w:rPr>
                <w:sz w:val="14"/>
                <w:szCs w:val="14"/>
                <w:color w:val="auto"/>
              </w:rPr>
            </w:pPr>
          </w:p>
        </w:tc>
        <w:tc>
          <w:tcPr>
            <w:tcW w:w="3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800"/>
              <w:spacing w:after="0"/>
              <w:rPr>
                <w:sz w:val="20"/>
                <w:szCs w:val="20"/>
                <w:color w:val="auto"/>
              </w:rPr>
            </w:pPr>
            <w:r>
              <w:rPr>
                <w:rFonts w:ascii="Courier New" w:cs="Courier New" w:eastAsia="Courier New" w:hAnsi="Courier New"/>
                <w:sz w:val="12"/>
                <w:szCs w:val="12"/>
                <w:color w:val="auto"/>
                <w:w w:val="72"/>
              </w:rPr>
              <w:t>Balance at beginning of year..................................</w:t>
            </w:r>
          </w:p>
        </w:tc>
        <w:tc>
          <w:tcPr>
            <w:tcW w:w="2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11,493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4,606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3,937</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13,450</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18,360</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10,510</w:t>
            </w:r>
          </w:p>
        </w:tc>
      </w:tr>
      <w:tr>
        <w:trPr>
          <w:trHeight w:val="168"/>
        </w:trPr>
        <w:tc>
          <w:tcPr>
            <w:tcW w:w="6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Charge-offs and sales.........................................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(12,597)</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(11,473)</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(9,841)</w:t>
            </w:r>
          </w:p>
        </w:tc>
      </w:tr>
      <w:tr>
        <w:trPr>
          <w:trHeight w:val="168"/>
        </w:trPr>
        <w:tc>
          <w:tcPr>
            <w:tcW w:w="4040" w:type="dxa"/>
            <w:vAlign w:val="bottom"/>
          </w:tcPr>
          <w:p>
            <w:pPr>
              <w:spacing w:after="0"/>
              <w:rPr>
                <w:sz w:val="14"/>
                <w:szCs w:val="14"/>
                <w:color w:val="auto"/>
              </w:rPr>
            </w:pPr>
          </w:p>
        </w:tc>
        <w:tc>
          <w:tcPr>
            <w:tcW w:w="3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rPr>
                <w:sz w:val="20"/>
                <w:szCs w:val="20"/>
                <w:color w:val="auto"/>
              </w:rPr>
            </w:pPr>
            <w:r>
              <w:rPr>
                <w:rFonts w:ascii="Courier New" w:cs="Courier New" w:eastAsia="Courier New" w:hAnsi="Courier New"/>
                <w:sz w:val="12"/>
                <w:szCs w:val="12"/>
                <w:color w:val="auto"/>
                <w:w w:val="72"/>
              </w:rPr>
              <w:t>Balance at end of year........................................</w:t>
            </w:r>
          </w:p>
        </w:tc>
        <w:tc>
          <w:tcPr>
            <w:tcW w:w="2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11,493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4,606</w:t>
            </w:r>
          </w:p>
        </w:tc>
      </w:tr>
      <w:tr>
        <w:trPr>
          <w:trHeight w:val="168"/>
        </w:trPr>
        <w:tc>
          <w:tcPr>
            <w:tcW w:w="4040" w:type="dxa"/>
            <w:vAlign w:val="bottom"/>
          </w:tcPr>
          <w:p>
            <w:pPr>
              <w:spacing w:after="0"/>
              <w:rPr>
                <w:sz w:val="14"/>
                <w:szCs w:val="14"/>
                <w:color w:val="auto"/>
              </w:rPr>
            </w:pPr>
          </w:p>
        </w:tc>
        <w:tc>
          <w:tcPr>
            <w:tcW w:w="3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results of the Company's investment in real estate owned, which were primarily related to the discount loan portfolio, during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1997</w:t>
            </w: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40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Gains on sales................................................</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30,651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22,835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19,006</w:t>
            </w:r>
          </w:p>
        </w:tc>
      </w:tr>
      <w:tr>
        <w:trPr>
          <w:trHeight w:val="168"/>
        </w:trPr>
        <w:tc>
          <w:tcPr>
            <w:tcW w:w="6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(13,450)</w:t>
            </w:r>
          </w:p>
        </w:tc>
        <w:tc>
          <w:tcPr>
            <w:tcW w:w="12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(18,360)</w:t>
            </w:r>
          </w:p>
        </w:tc>
        <w:tc>
          <w:tcPr>
            <w:tcW w:w="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(10,510)</w:t>
            </w:r>
          </w:p>
        </w:tc>
      </w:tr>
      <w:tr>
        <w:trPr>
          <w:trHeight w:val="168"/>
        </w:trPr>
        <w:tc>
          <w:tcPr>
            <w:tcW w:w="6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(Carrying costs) rental income, net...........................</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(9,924)</w:t>
            </w:r>
          </w:p>
        </w:tc>
        <w:tc>
          <w:tcPr>
            <w:tcW w:w="5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640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9,540</w:t>
            </w:r>
          </w:p>
        </w:tc>
      </w:tr>
      <w:tr>
        <w:trPr>
          <w:trHeight w:val="168"/>
        </w:trPr>
        <w:tc>
          <w:tcPr>
            <w:tcW w:w="640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400" w:type="dxa"/>
            <w:vAlign w:val="bottom"/>
          </w:tcPr>
          <w:p>
            <w:pPr>
              <w:jc w:val="right"/>
              <w:ind w:right="3347"/>
              <w:spacing w:after="0"/>
              <w:rPr>
                <w:sz w:val="20"/>
                <w:szCs w:val="20"/>
                <w:color w:val="auto"/>
              </w:rPr>
            </w:pPr>
            <w:r>
              <w:rPr>
                <w:rFonts w:ascii="Courier New" w:cs="Courier New" w:eastAsia="Courier New" w:hAnsi="Courier New"/>
                <w:sz w:val="15"/>
                <w:szCs w:val="15"/>
                <w:color w:val="auto"/>
                <w:w w:val="96"/>
              </w:rPr>
              <w:t>NOTE 11  INVESTMENT IN REAL ESTATE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3"/>
        </w:trPr>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24"/>
                <w:szCs w:val="24"/>
                <w:color w:val="auto"/>
              </w:rPr>
            </w:pP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Loans accounted for as investments in real estate:</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6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Multi-family residential....................................</w:t>
            </w:r>
          </w:p>
        </w:tc>
        <w:tc>
          <w:tcPr>
            <w:tcW w:w="3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61,967</w:t>
            </w:r>
          </w:p>
        </w:tc>
        <w:tc>
          <w:tcPr>
            <w:tcW w:w="700" w:type="dxa"/>
            <w:vAlign w:val="bottom"/>
          </w:tcPr>
          <w:p>
            <w:pPr>
              <w:spacing w:after="0"/>
              <w:rPr>
                <w:sz w:val="24"/>
                <w:szCs w:val="24"/>
                <w:color w:val="auto"/>
              </w:rPr>
            </w:pP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24,946</w:t>
            </w:r>
          </w:p>
        </w:tc>
      </w:tr>
      <w:tr>
        <w:trPr>
          <w:trHeight w:val="168"/>
        </w:trPr>
        <w:tc>
          <w:tcPr>
            <w:tcW w:w="6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Nonresidential..............................................</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Hotels........................................................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1,426</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16,087</w:t>
            </w:r>
          </w:p>
        </w:tc>
      </w:tr>
      <w:tr>
        <w:trPr>
          <w:trHeight w:val="168"/>
        </w:trPr>
        <w:tc>
          <w:tcPr>
            <w:tcW w:w="6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65,972</w:t>
            </w:r>
          </w:p>
        </w:tc>
        <w:tc>
          <w:tcPr>
            <w:tcW w:w="700" w:type="dxa"/>
            <w:vAlign w:val="bottom"/>
          </w:tcPr>
          <w:p>
            <w:pPr>
              <w:spacing w:after="0"/>
              <w:rPr>
                <w:sz w:val="14"/>
                <w:szCs w:val="14"/>
                <w:color w:val="auto"/>
              </w:rPr>
            </w:pP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41,033</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During 1997, the Company sold a 69% partnership interest in the one hotel it owned and operated.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853" w:gutter="0" w:footer="0" w:header="0"/>
        </w:sectPr>
      </w:pPr>
    </w:p>
    <w:bookmarkStart w:id="112" w:name="page113"/>
    <w:bookmarkEnd w:id="11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services for other investors mortgage loans which it does not own. The total amount of such loans serviced for others was $5,509,819 and $1,918,098 at December 31, 1997 and 1996, respectively. Servicing fee income on such loans amounted to $22,056, $2,414 and $493 for the years ended December 31, 1997, 1996 and 1995, respectively.</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unamortized balance of mortgage servicing rights, which are included in other assets, is as follows at December 31:</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88"/>
              </w:rPr>
              <w:t>1997</w:t>
            </w:r>
          </w:p>
        </w:tc>
        <w:tc>
          <w:tcPr>
            <w:tcW w:w="540" w:type="dxa"/>
            <w:vAlign w:val="bottom"/>
          </w:tcPr>
          <w:p>
            <w:pPr>
              <w:spacing w:after="0"/>
              <w:rPr>
                <w:sz w:val="14"/>
                <w:szCs w:val="1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328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balance.................</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7,369</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40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(1,630)</w:t>
            </w:r>
          </w:p>
        </w:tc>
        <w:tc>
          <w:tcPr>
            <w:tcW w:w="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w:t>
            </w:r>
          </w:p>
        </w:tc>
      </w:tr>
      <w:tr>
        <w:trPr>
          <w:trHeight w:val="168"/>
        </w:trPr>
        <w:tc>
          <w:tcPr>
            <w:tcW w:w="328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5,739</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2,418</w:t>
            </w:r>
          </w:p>
        </w:tc>
      </w:tr>
      <w:tr>
        <w:trPr>
          <w:trHeight w:val="168"/>
        </w:trPr>
        <w:tc>
          <w:tcPr>
            <w:tcW w:w="328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Periodically, the Company evaluates the recoverability of mortgage servicing rights based on the projected value of future net servicing income. Future prepayment rates are estimated based on current interest rates and various portfolio characteristics, including loan type, interest rate, and market prepayment estimates. If the estimated recovery is lower than the current amount of mortgage servicing rights, a reduction to mortgage servicing rights is recorded through an increase in the valuation allowance. Valuation allowances were established through charges to servicing fees and other charges during 1996 primarily as a result of higher than projected prepayment rates.</w:t>
      </w:r>
    </w:p>
    <w:p>
      <w:pPr>
        <w:spacing w:after="0" w:line="200" w:lineRule="exact"/>
        <w:rPr>
          <w:sz w:val="20"/>
          <w:szCs w:val="20"/>
          <w:color w:val="auto"/>
        </w:rPr>
      </w:pPr>
    </w:p>
    <w:p>
      <w:pPr>
        <w:spacing w:after="0" w:line="29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INVESTMENTS IN LOW INCOME HOUSING TAX CREDIT INTERESTS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carrying value of the Company's investments in low-income housing tax credit interests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88"/>
              </w:rPr>
              <w:t>1997</w:t>
            </w:r>
          </w:p>
        </w:tc>
        <w:tc>
          <w:tcPr>
            <w:tcW w:w="5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58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Investments solely as a limited partner made</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prior to May 18, 1995.......................................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31,418</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55,595</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solely as a limited partner made on or after</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May 18, 1995................................................</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47,153</w:t>
            </w:r>
          </w:p>
        </w:tc>
        <w:tc>
          <w:tcPr>
            <w:tcW w:w="5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as both a limited and, through subsidiaries,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partner.............................................</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50,043</w:t>
            </w:r>
          </w:p>
        </w:tc>
        <w:tc>
          <w:tcPr>
            <w:tcW w:w="5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24,827</w:t>
            </w:r>
          </w:p>
        </w:tc>
      </w:tr>
      <w:tr>
        <w:trPr>
          <w:trHeight w:val="168"/>
        </w:trPr>
        <w:tc>
          <w:tcPr>
            <w:tcW w:w="58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128,614</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93,309</w:t>
            </w:r>
          </w:p>
        </w:tc>
      </w:tr>
      <w:tr>
        <w:trPr>
          <w:trHeight w:val="168"/>
        </w:trPr>
        <w:tc>
          <w:tcPr>
            <w:tcW w:w="58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qualified affordable housing projects underlying the Company's investments in low-income housing tax credit interests are geographically located throughout the United States. At December 31, 1997, the Company's largest single investment was $9,693 which is in a project located in Racine, Wisconsin.</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Income on the Company's limited partnership investments made prior to May 18, 1995, is recorded under the level yield method as a reduction of income tax expense, and amounted to $6,846, $8,144 and $7,709 for the years ended December 31, 1997, 1996 and 1995, respectively. Had these investments been accounted for under the equity method, net income would have been reduced by $2,779, $2,223 and $2,798 for the years ended December 31, 1997, 1996 and 1995, respectively. For limited partnership investments made after May 18, 1995, and for investments as a limited and, through subsidiaries, general partner, the Company recognized tax credits of $8,035 and $1,186 for the years ended December 31, 1997 and 1996, respectively, and recorded a loss of $4,935 and $636 from operations of the underlying real estate after depreciation for the years ended December 31, 1997 and 1996, respectively.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liabilities include $0 and $9,105 at December 31, 1997 and 1996, respectively, representing contractual obligations to fund certain limited partnerships which invest in low-income housing tax credit interests.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Included in other income for the years ended December 31, 1997 and 1996 are gains of $6,298 and $4,861, respectively, on the sales of certain investments in low-income housing tax credit interests which had carrying values of $15,728 and $19,806, respectively, at time of sale.</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PREMISES AND EQUIPMENT</w:t>
      </w:r>
    </w:p>
    <w:p>
      <w:pPr>
        <w:spacing w:after="0" w:line="200" w:lineRule="exact"/>
        <w:rPr>
          <w:sz w:val="20"/>
          <w:szCs w:val="20"/>
          <w:color w:val="auto"/>
        </w:rPr>
      </w:pPr>
    </w:p>
    <w:p>
      <w:pPr>
        <w:spacing w:after="0" w:line="303" w:lineRule="exact"/>
        <w:rPr>
          <w:sz w:val="20"/>
          <w:szCs w:val="20"/>
          <w:color w:val="auto"/>
        </w:rPr>
      </w:pPr>
    </w:p>
    <w:p>
      <w:pPr>
        <w:jc w:val="center"/>
        <w:ind w:left="53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7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360"/>
        <w:spacing w:after="0"/>
        <w:tabs>
          <w:tab w:leader="none" w:pos="90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7100"/>
        <w:spacing w:after="0"/>
        <w:tabs>
          <w:tab w:leader="none" w:pos="8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7"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w w:val="74"/>
              </w:rPr>
              <w:t>Land .........................................................</w:t>
            </w:r>
          </w:p>
        </w:tc>
        <w:tc>
          <w:tcPr>
            <w:tcW w:w="2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773</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w:t>
            </w:r>
          </w:p>
        </w:tc>
      </w:tr>
      <w:tr>
        <w:trPr>
          <w:trHeight w:val="168"/>
        </w:trPr>
        <w:tc>
          <w:tcPr>
            <w:tcW w:w="6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7,664</w:t>
            </w:r>
          </w:p>
        </w:tc>
        <w:tc>
          <w:tcPr>
            <w:tcW w:w="6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5,999</w:t>
            </w:r>
          </w:p>
        </w:tc>
      </w:tr>
      <w:tr>
        <w:trPr>
          <w:trHeight w:val="168"/>
        </w:trPr>
        <w:tc>
          <w:tcPr>
            <w:tcW w:w="6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Office and computer equipment.................................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28,675</w:t>
            </w:r>
          </w:p>
        </w:tc>
        <w:tc>
          <w:tcPr>
            <w:tcW w:w="6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15,950</w:t>
            </w:r>
          </w:p>
        </w:tc>
      </w:tr>
      <w:tr>
        <w:trPr>
          <w:trHeight w:val="168"/>
        </w:trPr>
        <w:tc>
          <w:tcPr>
            <w:tcW w:w="6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(15,570)</w:t>
            </w:r>
          </w:p>
        </w:tc>
        <w:tc>
          <w:tcPr>
            <w:tcW w:w="6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(7,815)</w:t>
            </w:r>
          </w:p>
        </w:tc>
      </w:tr>
      <w:tr>
        <w:trPr>
          <w:trHeight w:val="168"/>
        </w:trPr>
        <w:tc>
          <w:tcPr>
            <w:tcW w:w="4200" w:type="dxa"/>
            <w:vAlign w:val="bottom"/>
          </w:tcPr>
          <w:p>
            <w:pPr>
              <w:spacing w:after="0"/>
              <w:rPr>
                <w:sz w:val="14"/>
                <w:szCs w:val="14"/>
                <w:color w:val="auto"/>
              </w:rPr>
            </w:pPr>
          </w:p>
        </w:tc>
        <w:tc>
          <w:tcPr>
            <w:tcW w:w="3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21,542</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14,619</w:t>
            </w:r>
          </w:p>
        </w:tc>
      </w:tr>
      <w:tr>
        <w:trPr>
          <w:trHeight w:val="168"/>
        </w:trPr>
        <w:tc>
          <w:tcPr>
            <w:tcW w:w="4200" w:type="dxa"/>
            <w:vAlign w:val="bottom"/>
          </w:tcPr>
          <w:p>
            <w:pPr>
              <w:spacing w:after="0"/>
              <w:rPr>
                <w:sz w:val="14"/>
                <w:szCs w:val="14"/>
                <w:color w:val="auto"/>
              </w:rPr>
            </w:pPr>
          </w:p>
        </w:tc>
        <w:tc>
          <w:tcPr>
            <w:tcW w:w="3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4"/>
                <w:szCs w:val="24"/>
                <w:color w:val="auto"/>
              </w:rPr>
            </w:pPr>
          </w:p>
        </w:tc>
        <w:tc>
          <w:tcPr>
            <w:tcW w:w="2440" w:type="dxa"/>
            <w:vAlign w:val="bottom"/>
          </w:tcPr>
          <w:p>
            <w:pPr>
              <w:jc w:val="right"/>
              <w:ind w:right="2187"/>
              <w:spacing w:after="0"/>
              <w:rPr>
                <w:sz w:val="20"/>
                <w:szCs w:val="20"/>
                <w:color w:val="auto"/>
              </w:rPr>
            </w:pPr>
            <w:r>
              <w:rPr>
                <w:rFonts w:ascii="Courier New" w:cs="Courier New" w:eastAsia="Courier New" w:hAnsi="Courier New"/>
                <w:sz w:val="15"/>
                <w:szCs w:val="15"/>
                <w:color w:val="auto"/>
                <w:w w:val="88"/>
              </w:rPr>
              <w:t>49</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439"/>
          </w:cols>
          <w:pgMar w:left="1020" w:top="303" w:right="1440" w:bottom="1440" w:gutter="0" w:footer="0" w:header="0"/>
        </w:sectPr>
      </w:pPr>
    </w:p>
    <w:bookmarkStart w:id="114" w:name="page115"/>
    <w:bookmarkEnd w:id="114"/>
    <w:p>
      <w:pPr>
        <w:jc w:val="center"/>
        <w:ind w:right="36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6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66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DEPOSITS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deposits consist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1997</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r>
      <w:tr>
        <w:trPr>
          <w:trHeight w:val="168"/>
        </w:trPr>
        <w:tc>
          <w:tcPr>
            <w:tcW w:w="3700" w:type="dxa"/>
            <w:vAlign w:val="bottom"/>
          </w:tcPr>
          <w:p>
            <w:pPr>
              <w:spacing w:after="0"/>
              <w:rPr>
                <w:sz w:val="14"/>
                <w:szCs w:val="14"/>
                <w:color w:val="auto"/>
              </w:rPr>
            </w:pPr>
          </w:p>
        </w:tc>
        <w:tc>
          <w:tcPr>
            <w:tcW w:w="22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70"/>
              </w:rPr>
              <w:t>---------------------------------</w:t>
            </w:r>
          </w:p>
        </w:tc>
        <w:tc>
          <w:tcPr>
            <w:tcW w:w="1220" w:type="dxa"/>
            <w:vAlign w:val="bottom"/>
          </w:tcPr>
          <w:p>
            <w:pPr>
              <w:spacing w:after="0"/>
              <w:rPr>
                <w:sz w:val="14"/>
                <w:szCs w:val="14"/>
                <w:color w:val="auto"/>
              </w:rPr>
            </w:pPr>
          </w:p>
        </w:tc>
        <w:tc>
          <w:tcPr>
            <w:tcW w:w="32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78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Book</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Weighted</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Book</w:t>
            </w:r>
          </w:p>
        </w:tc>
      </w:tr>
      <w:tr>
        <w:trPr>
          <w:trHeight w:val="168"/>
        </w:trPr>
        <w:tc>
          <w:tcPr>
            <w:tcW w:w="370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 Rate</w:t>
            </w:r>
          </w:p>
        </w:tc>
        <w:tc>
          <w:tcPr>
            <w:tcW w:w="7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Value</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Average Rate</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700" w:type="dxa"/>
            <w:vAlign w:val="bottom"/>
          </w:tcPr>
          <w:p>
            <w:pPr>
              <w:spacing w:after="0"/>
              <w:rPr>
                <w:sz w:val="14"/>
                <w:szCs w:val="14"/>
                <w:color w:val="auto"/>
              </w:rPr>
            </w:pP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Non-interest bearing deposits............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130,372</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96,563</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checking accounts......................</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4.73</w:t>
            </w:r>
          </w:p>
        </w:tc>
        <w:tc>
          <w:tcPr>
            <w:tcW w:w="7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27,624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w:t>
            </w:r>
          </w:p>
        </w:tc>
        <w:tc>
          <w:tcPr>
            <w:tcW w:w="8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22,208</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Savings accounts.........................</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2.30</w:t>
            </w:r>
          </w:p>
        </w:tc>
        <w:tc>
          <w:tcPr>
            <w:tcW w:w="7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2.30</w:t>
            </w:r>
          </w:p>
        </w:tc>
        <w:tc>
          <w:tcPr>
            <w:tcW w:w="8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159,660</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121,532</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 of deposit..................</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1,834,899</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1,809,098</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Unamortized deferred fees................</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(11,737)</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(10,888)</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rPr>
                <w:sz w:val="14"/>
                <w:szCs w:val="14"/>
                <w:color w:val="auto"/>
              </w:rPr>
            </w:pP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6.00</w:t>
            </w:r>
          </w:p>
        </w:tc>
        <w:tc>
          <w:tcPr>
            <w:tcW w:w="7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1,823,162</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w:t>
            </w:r>
          </w:p>
        </w:tc>
        <w:tc>
          <w:tcPr>
            <w:tcW w:w="8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1,798,210</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deposits...........................</w:t>
            </w:r>
          </w:p>
        </w:tc>
        <w:tc>
          <w:tcPr>
            <w:tcW w:w="14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5.95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1,982,822</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5.47</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$ 1,919,742</w:t>
            </w:r>
          </w:p>
        </w:tc>
      </w:tr>
      <w:tr>
        <w:trPr>
          <w:trHeight w:val="168"/>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680" w:firstLine="437"/>
        <w:spacing w:after="0" w:line="237" w:lineRule="auto"/>
        <w:rPr>
          <w:sz w:val="20"/>
          <w:szCs w:val="20"/>
          <w:color w:val="auto"/>
        </w:rPr>
      </w:pPr>
      <w:r>
        <w:rPr>
          <w:rFonts w:ascii="Courier New" w:cs="Courier New" w:eastAsia="Courier New" w:hAnsi="Courier New"/>
          <w:sz w:val="15"/>
          <w:szCs w:val="15"/>
          <w:color w:val="auto"/>
        </w:rPr>
        <w:t>At December 31, 1997 and 1996, certificates of deposit include $1,607,043 and $1,572,081, respectively, of deposits originated through national, regional and local investment banking firms which solicit deposits from their customers, all of which are non-cancelable. Additionally, at December 31, 1997 and 1996, $133,738 and $147,488, respectively, of certificates of deposit were issued on an uninsured basis. Of the $133,738 of uninsured deposits at December 31, 1997, $98,069 were from political subdivisions in New Jersey and secured or collateralized as required under state law. Non-interest bearing deposits include $96,518 and $82,885 of advance payments by borrowers for taxes, insurance and principal and interest collected but not yet remitted in accordance with loan servicing agreements at December 31, 1997 and 1996, respectively.</w:t>
      </w:r>
    </w:p>
    <w:p>
      <w:pPr>
        <w:spacing w:after="0" w:line="167" w:lineRule="exact"/>
        <w:rPr>
          <w:sz w:val="20"/>
          <w:szCs w:val="20"/>
          <w:color w:val="auto"/>
        </w:rPr>
      </w:pPr>
    </w:p>
    <w:p>
      <w:pPr>
        <w:ind w:left="440"/>
        <w:spacing w:after="0"/>
        <w:tabs>
          <w:tab w:leader="none" w:pos="860" w:val="left"/>
          <w:tab w:leader="none" w:pos="2000" w:val="left"/>
          <w:tab w:leader="none" w:pos="2880" w:val="left"/>
          <w:tab w:leader="none" w:pos="3580" w:val="left"/>
          <w:tab w:leader="none" w:pos="4540" w:val="left"/>
          <w:tab w:leader="none" w:pos="5760" w:val="left"/>
          <w:tab w:leader="none" w:pos="6120" w:val="left"/>
        </w:tabs>
        <w:rPr>
          <w:sz w:val="20"/>
          <w:szCs w:val="20"/>
          <w:color w:val="auto"/>
        </w:rPr>
      </w:pPr>
      <w:r>
        <w:rPr>
          <w:rFonts w:ascii="Courier New" w:cs="Courier New" w:eastAsia="Courier New" w:hAnsi="Courier New"/>
          <w:sz w:val="15"/>
          <w:szCs w:val="15"/>
          <w:color w:val="auto"/>
        </w:rPr>
        <w:t>The</w:t>
        <w:tab/>
        <w:t>contractual</w:t>
        <w:tab/>
        <w:t>maturity</w:t>
        <w:tab/>
        <w:t>of the</w:t>
        <w:tab/>
        <w:t>Company's</w:t>
        <w:tab/>
        <w:t>certificates</w:t>
        <w:tab/>
        <w:t>of</w:t>
      </w:r>
      <w:r>
        <w:rPr>
          <w:sz w:val="20"/>
          <w:szCs w:val="20"/>
          <w:color w:val="auto"/>
        </w:rPr>
        <w:tab/>
      </w:r>
      <w:r>
        <w:rPr>
          <w:rFonts w:ascii="Courier New" w:cs="Courier New" w:eastAsia="Courier New" w:hAnsi="Courier New"/>
          <w:sz w:val="14"/>
          <w:szCs w:val="14"/>
          <w:color w:val="auto"/>
        </w:rPr>
        <w:t>deposit at</w:t>
      </w:r>
    </w:p>
    <w:tbl>
      <w:tblPr>
        <w:tblLayout w:type="fixed"/>
        <w:tblInd w:w="0" w:type="dxa"/>
        <w:tblCellMar>
          <w:top w:w="0" w:type="dxa"/>
          <w:left w:w="0" w:type="dxa"/>
          <w:bottom w:w="0" w:type="dxa"/>
          <w:right w:w="0" w:type="dxa"/>
        </w:tblCellMar>
      </w:tblP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1997 follows: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CONTRACTUAL REMAINING MATURITY:</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Within one year....................................</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840,463</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Within two years...................................</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376,628</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Within three years.................................</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234,244</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Within four years..................................</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225,479</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Within five years..................................</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146,013</w:t>
            </w:r>
          </w:p>
        </w:tc>
      </w:tr>
      <w:tr>
        <w:trPr>
          <w:trHeight w:val="168"/>
        </w:trPr>
        <w:tc>
          <w:tcPr>
            <w:tcW w:w="5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3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1,823,162</w:t>
            </w:r>
          </w:p>
        </w:tc>
      </w:tr>
      <w:tr>
        <w:trPr>
          <w:trHeight w:val="168"/>
        </w:trPr>
        <w:tc>
          <w:tcPr>
            <w:tcW w:w="534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680"/>
        <w:spacing w:after="0" w:line="236" w:lineRule="auto"/>
        <w:rPr>
          <w:sz w:val="20"/>
          <w:szCs w:val="20"/>
          <w:color w:val="auto"/>
        </w:rPr>
      </w:pPr>
      <w:r>
        <w:rPr>
          <w:rFonts w:ascii="Courier New" w:cs="Courier New" w:eastAsia="Courier New" w:hAnsi="Courier New"/>
          <w:sz w:val="15"/>
          <w:szCs w:val="15"/>
          <w:color w:val="auto"/>
        </w:rPr>
        <w:t>The amortization of the deferred fees of $6,619, $5,384 and $4,729 for the years ended December 31, 1997, 1996 and 1995, respectively, is computed using the interest method and is included in interest expense on certificates of deposit. The interest expense by type of deposit account is as follows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NOW accounts and money market checking........................</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Savings ......................................................</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 of deposit.......................................</w:t>
            </w:r>
          </w:p>
        </w:tc>
        <w:tc>
          <w:tcPr>
            <w:tcW w:w="3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120,801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93,075</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70,371</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122,070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93,773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71,853</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80" w:firstLine="437"/>
        <w:spacing w:after="0" w:line="234" w:lineRule="auto"/>
        <w:rPr>
          <w:sz w:val="20"/>
          <w:szCs w:val="20"/>
          <w:color w:val="auto"/>
        </w:rPr>
      </w:pPr>
      <w:r>
        <w:rPr>
          <w:rFonts w:ascii="Courier New" w:cs="Courier New" w:eastAsia="Courier New" w:hAnsi="Courier New"/>
          <w:sz w:val="15"/>
          <w:szCs w:val="15"/>
          <w:color w:val="auto"/>
        </w:rPr>
        <w:t>Accrued interest payable on deposits amounted to $21,967 and $18,249 at December 31, 1997 and 1996,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680"/>
          </w:cols>
          <w:pgMar w:left="220" w:top="617" w:right="999" w:bottom="1440" w:gutter="0" w:footer="0" w:header="0"/>
        </w:sectPr>
      </w:pPr>
    </w:p>
    <w:bookmarkStart w:id="115" w:name="page116"/>
    <w:bookmarkEnd w:id="115"/>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SECURITIES SOLD UNDER AGREEMENTS TO REPURCHASE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periodically enters into sales of securities under agreements to repurchase the same securities (reverse repurchase agreements). Fixed coupon reverse repurchase agreements with maturities of three months or less are treated as financings, and the obligations to repurchase securities sold are reflected as a liability in the accompanying consolidated statements of financial condition. All securities underlying reverse repurchase agreements are reflected as assets in the accompanying consolidated statements of financial condition and are held in safekeeping by broker/dealers.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000" w:type="dxa"/>
            <w:vAlign w:val="bottom"/>
          </w:tcPr>
          <w:p>
            <w:pPr>
              <w:spacing w:after="0"/>
              <w:rPr>
                <w:sz w:val="14"/>
                <w:szCs w:val="14"/>
                <w:color w:val="auto"/>
              </w:rPr>
            </w:pPr>
          </w:p>
        </w:tc>
        <w:tc>
          <w:tcPr>
            <w:tcW w:w="33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00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information concerning securities sold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under agreements to repurchase: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Balance at end of year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108,250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74,546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84,761</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interest payable at end of year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interest rate at end of year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6.06%</w:t>
            </w:r>
          </w:p>
        </w:tc>
        <w:tc>
          <w:tcPr>
            <w:tcW w:w="40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Average balance during the year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16,717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19,581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16,754</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interest rate during the year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w:t>
            </w:r>
          </w:p>
        </w:tc>
        <w:tc>
          <w:tcPr>
            <w:tcW w:w="40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Maximum month-end balance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108,250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84,321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84,761</w:t>
            </w:r>
          </w:p>
        </w:tc>
      </w:tr>
    </w:tbl>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Mortgage-related securities at amortized cost of $121,371 and a market value of $120,168 were posted as collateral for securities sold under agreements to repurchase at December 31, 1997.</w:t>
      </w:r>
    </w:p>
    <w:p>
      <w:pPr>
        <w:spacing w:after="0" w:line="33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116" w:name="page117"/>
    <w:bookmarkEnd w:id="116"/>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NOTES, DEBENTURES AND OTHER INTEREST BEARING OBLIGATIONS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debentures and other interest bearing obligations mature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90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1997</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7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7.063% note due January 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1,975</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11.875% notes due October 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12% subordinated debentures due June 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2014:</w:t>
            </w: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0 - 8.5% mortgage loan due December 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w:t>
            </w:r>
          </w:p>
        </w:tc>
      </w:tr>
      <w:tr>
        <w:trPr>
          <w:trHeight w:val="168"/>
        </w:trPr>
        <w:tc>
          <w:tcPr>
            <w:tcW w:w="7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ind w:left="6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226,975</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225,573</w:t>
            </w:r>
          </w:p>
        </w:tc>
      </w:tr>
      <w:tr>
        <w:trPr>
          <w:trHeight w:val="168"/>
        </w:trPr>
        <w:tc>
          <w:tcPr>
            <w:tcW w:w="7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On June 12, 1995, the Bank issued $100,000 of 12% Subordinated Debentures due 2005 (the "Debentures") with interest payable semiannually on June 15 and December 15. The Debentures are unsecured general obligations of the Bank and are subordinated in right of payment to all existing and future senior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Debentures</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may not be</w:t>
            </w:r>
          </w:p>
        </w:tc>
        <w:tc>
          <w:tcPr>
            <w:tcW w:w="86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9"/>
              </w:rPr>
              <w:t>redeemed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prior to June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w w:val="98"/>
              </w:rPr>
              <w:t>15,  2000,  except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described</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below.  On</w:t>
            </w: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or after such</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w:t>
            </w:r>
          </w:p>
        </w:tc>
        <w:tc>
          <w:tcPr>
            <w:tcW w:w="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the Debentures</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may be redeemed at any</w:t>
            </w:r>
          </w:p>
        </w:tc>
      </w:tr>
      <w:tr>
        <w:trPr>
          <w:trHeight w:val="168"/>
        </w:trPr>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time at the option of</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Bank,</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whole</w:t>
            </w: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or in part,  together with accrued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bl>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unpaid interest, if any, on not less than 30 nor more than 60 days notice at the following redemption prices (expressed as a percentage of the principal amount),</w:t>
      </w:r>
    </w:p>
    <w:tbl>
      <w:tblPr>
        <w:tblLayout w:type="fixed"/>
        <w:tblInd w:w="0" w:type="dxa"/>
        <w:tblCellMar>
          <w:top w:w="0" w:type="dxa"/>
          <w:left w:w="0" w:type="dxa"/>
          <w:bottom w:w="0" w:type="dxa"/>
          <w:right w:w="0" w:type="dxa"/>
        </w:tblCellMar>
      </w:tblPr>
      <w:tr>
        <w:trPr>
          <w:trHeight w:val="164"/>
        </w:trPr>
        <w:tc>
          <w:tcPr>
            <w:tcW w:w="350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w w:val="99"/>
              </w:rPr>
              <w:t>if  redeemed  during  the twelve  month</w:t>
            </w:r>
          </w:p>
        </w:tc>
        <w:tc>
          <w:tcPr>
            <w:tcW w:w="350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w w:val="99"/>
              </w:rPr>
              <w:t>period  beginning  June 15 of the years</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indicated below:</w:t>
            </w:r>
          </w:p>
        </w:tc>
        <w:tc>
          <w:tcPr>
            <w:tcW w:w="140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36"/>
        </w:trPr>
        <w:tc>
          <w:tcPr>
            <w:tcW w:w="2100" w:type="dxa"/>
            <w:vAlign w:val="bottom"/>
          </w:tcPr>
          <w:p>
            <w:pPr>
              <w:ind w:left="1680"/>
              <w:spacing w:after="0"/>
              <w:rPr>
                <w:sz w:val="20"/>
                <w:szCs w:val="20"/>
                <w:color w:val="auto"/>
              </w:rPr>
            </w:pPr>
            <w:r>
              <w:rPr>
                <w:rFonts w:ascii="Courier New" w:cs="Courier New" w:eastAsia="Courier New" w:hAnsi="Courier New"/>
                <w:sz w:val="15"/>
                <w:szCs w:val="15"/>
                <w:color w:val="auto"/>
              </w:rPr>
              <w:t>Year</w:t>
            </w:r>
          </w:p>
        </w:tc>
        <w:tc>
          <w:tcPr>
            <w:tcW w:w="1400" w:type="dxa"/>
            <w:vAlign w:val="bottom"/>
          </w:tcPr>
          <w:p>
            <w:pPr>
              <w:spacing w:after="0"/>
              <w:rPr>
                <w:sz w:val="24"/>
                <w:szCs w:val="24"/>
                <w:color w:val="auto"/>
              </w:rPr>
            </w:pPr>
          </w:p>
        </w:tc>
        <w:tc>
          <w:tcPr>
            <w:tcW w:w="35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Redemption Price</w:t>
            </w:r>
          </w:p>
        </w:tc>
      </w:tr>
      <w:tr>
        <w:trPr>
          <w:trHeight w:val="168"/>
        </w:trPr>
        <w:tc>
          <w:tcPr>
            <w:tcW w:w="350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c>
          <w:tcPr>
            <w:tcW w:w="35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4"/>
              </w:rPr>
              <w:t>2000</w:t>
            </w:r>
          </w:p>
        </w:tc>
        <w:tc>
          <w:tcPr>
            <w:tcW w:w="1400" w:type="dxa"/>
            <w:vAlign w:val="bottom"/>
          </w:tcPr>
          <w:p>
            <w:pPr>
              <w:spacing w:after="0"/>
              <w:rPr>
                <w:sz w:val="14"/>
                <w:szCs w:val="14"/>
                <w:color w:val="auto"/>
              </w:rPr>
            </w:pPr>
          </w:p>
        </w:tc>
        <w:tc>
          <w:tcPr>
            <w:tcW w:w="3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105.333%</w:t>
            </w:r>
          </w:p>
        </w:tc>
      </w:tr>
      <w:tr>
        <w:trPr>
          <w:trHeight w:val="168"/>
        </w:trPr>
        <w:tc>
          <w:tcPr>
            <w:tcW w:w="210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4"/>
              </w:rPr>
              <w:t>2001</w:t>
            </w:r>
          </w:p>
        </w:tc>
        <w:tc>
          <w:tcPr>
            <w:tcW w:w="1400" w:type="dxa"/>
            <w:vAlign w:val="bottom"/>
          </w:tcPr>
          <w:p>
            <w:pPr>
              <w:spacing w:after="0"/>
              <w:rPr>
                <w:sz w:val="14"/>
                <w:szCs w:val="14"/>
                <w:color w:val="auto"/>
              </w:rPr>
            </w:pPr>
          </w:p>
        </w:tc>
        <w:tc>
          <w:tcPr>
            <w:tcW w:w="3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104.000%</w:t>
            </w:r>
          </w:p>
        </w:tc>
      </w:tr>
      <w:tr>
        <w:trPr>
          <w:trHeight w:val="168"/>
        </w:trPr>
        <w:tc>
          <w:tcPr>
            <w:tcW w:w="210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4"/>
              </w:rPr>
              <w:t>2002</w:t>
            </w:r>
          </w:p>
        </w:tc>
        <w:tc>
          <w:tcPr>
            <w:tcW w:w="1400" w:type="dxa"/>
            <w:vAlign w:val="bottom"/>
          </w:tcPr>
          <w:p>
            <w:pPr>
              <w:spacing w:after="0"/>
              <w:rPr>
                <w:sz w:val="14"/>
                <w:szCs w:val="14"/>
                <w:color w:val="auto"/>
              </w:rPr>
            </w:pPr>
          </w:p>
        </w:tc>
        <w:tc>
          <w:tcPr>
            <w:tcW w:w="3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102.667%</w:t>
            </w:r>
          </w:p>
        </w:tc>
      </w:tr>
      <w:tr>
        <w:trPr>
          <w:trHeight w:val="168"/>
        </w:trPr>
        <w:tc>
          <w:tcPr>
            <w:tcW w:w="210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4"/>
              </w:rPr>
              <w:t>2003</w:t>
            </w:r>
          </w:p>
        </w:tc>
        <w:tc>
          <w:tcPr>
            <w:tcW w:w="1400" w:type="dxa"/>
            <w:vAlign w:val="bottom"/>
          </w:tcPr>
          <w:p>
            <w:pPr>
              <w:spacing w:after="0"/>
              <w:rPr>
                <w:sz w:val="14"/>
                <w:szCs w:val="14"/>
                <w:color w:val="auto"/>
              </w:rPr>
            </w:pPr>
          </w:p>
        </w:tc>
        <w:tc>
          <w:tcPr>
            <w:tcW w:w="3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101.333%</w:t>
            </w:r>
          </w:p>
        </w:tc>
      </w:tr>
      <w:tr>
        <w:trPr>
          <w:trHeight w:val="168"/>
        </w:trPr>
        <w:tc>
          <w:tcPr>
            <w:tcW w:w="210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4"/>
              </w:rPr>
              <w:t>2004</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thereafter</w:t>
            </w:r>
          </w:p>
        </w:tc>
        <w:tc>
          <w:tcPr>
            <w:tcW w:w="3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100.000%</w:t>
            </w:r>
          </w:p>
        </w:tc>
      </w:tr>
    </w:tbl>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the Bank may redeem, at its option, up to $35,000 principal amount of the Debentures at any time prior to June 15, 1998 with the net cash proceeds received by the Bank from one or more public equity offerings at a purchase price of 112.000% of the principal amount thereof, plus accrued and unpaid interest.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issuance of the Debentures, the Bank incurred certain costs which have been capitalized and are being amortized on a straight-line basis over the expected life of the Debentures. The unamortized balance of these issuance costs amounted to $2,319 and $2,745, at December 31, 1997 and 1996, respectively, and is included in other assets. Accrued interest payable on the Debentures amounted to $500 at December 31, 1997 and 1996, and is included in accrued expenses, payables and other liabilities.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September 25, 1996, the Company completed the public offering of $125,000 aggregate principal of 11.875% Notes due October 1, 2003 ("the Notes") with interest payable semi-annually on April 1 and October 1. The Notes are unsecured general obligations of the Company and are subordinated in right of payment to the claims of creditors of the Company and the Company's subsidiaries.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Notes may not be redeemed prior to October 1, 2001 except as described below. On or after such date, the Notes may be redeemed at any time at the option of the Company, in whole or in part, at the following redemption prices (expressed as a percentage of the principal amount) plus accrued and unpaid interest, if redeemed during the twelve-month period beginning October 1 of the years indicated below:</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60" w:type="dxa"/>
            <w:vAlign w:val="bottom"/>
          </w:tcPr>
          <w:p>
            <w:pPr>
              <w:ind w:left="1240"/>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ind w:left="1140"/>
              <w:spacing w:after="0"/>
              <w:rPr>
                <w:sz w:val="20"/>
                <w:szCs w:val="20"/>
                <w:color w:val="auto"/>
              </w:rPr>
            </w:pPr>
            <w:r>
              <w:rPr>
                <w:rFonts w:ascii="Courier New" w:cs="Courier New" w:eastAsia="Courier New" w:hAnsi="Courier New"/>
                <w:sz w:val="15"/>
                <w:szCs w:val="15"/>
                <w:color w:val="auto"/>
              </w:rPr>
              <w:t>Redemption Price</w:t>
            </w:r>
          </w:p>
        </w:tc>
      </w:tr>
      <w:tr>
        <w:trPr>
          <w:trHeight w:val="168"/>
        </w:trPr>
        <w:tc>
          <w:tcPr>
            <w:tcW w:w="31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33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1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2001</w:t>
            </w:r>
          </w:p>
        </w:tc>
        <w:tc>
          <w:tcPr>
            <w:tcW w:w="33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105.938%</w:t>
            </w:r>
          </w:p>
        </w:tc>
      </w:tr>
      <w:tr>
        <w:trPr>
          <w:trHeight w:val="168"/>
        </w:trPr>
        <w:tc>
          <w:tcPr>
            <w:tcW w:w="31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2002</w:t>
            </w:r>
          </w:p>
        </w:tc>
        <w:tc>
          <w:tcPr>
            <w:tcW w:w="33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102.969%</w:t>
            </w:r>
          </w:p>
        </w:tc>
      </w:tr>
    </w:tbl>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the Company may redeem, at its option, up to 35% of the original aggregate principal amount of the Notes at any time and from time to time until October 1, 1999 with the net cash proceeds received by the Company from one or more public or private equity offerings at a redemption price of 111.875% of the principal amount thereof, plus accrued and unpaid interest.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85" w:right="1440" w:bottom="349" w:gutter="0" w:footer="0" w:header="0"/>
        </w:sectPr>
      </w:pPr>
    </w:p>
    <w:bookmarkStart w:id="117" w:name="page118"/>
    <w:bookmarkEnd w:id="117"/>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indenture governing the Notes requires the Company to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The Company maintained a $15,000 investment in cash and cash equivalents at December 31, 1997 and 1996 that is restricted for purposes of meeting this liquidity requirement. The indenture further provides that the Company shall not sell, transfer or otherwise dispose of shares of common stock of the Bank or permit the Bank to issue, sell or otherwise dispose of shares of its common stock unless in either case the Bank remains a wholly-owned subsidiary of the Company.</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Proceeds from the offering of the Notes amounted to approximately $120,156 (net of underwriting discount). On September 30, 1996, the Company contributed $50,000 of such proceeds to the Bank to support future growth. The remainder of the proceeds retained by the Company have been available for general corporate purposes, with the exception of the liquidity maintenance requirement described above.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issuance of the Notes, the Company incurred certain costs which have been capitalized and are being amortized on a straight-line basis over the life of the Notes. The unamortized balance of these issuance costs amounted to $4,647 and $5,252 at December 31, 1997 and 1996, respectively, and is included in other assets. Accrued interest payable on the Notes amounted to $3,711 and $3,752 at December 31, 1997 and 1996, respectively, and is included in accrued expenses, payables and other liabilities.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118" w:name="page119"/>
    <w:bookmarkEnd w:id="118"/>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CAPITAL SECURITIES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August 1997, OCT, issued $125.0 million of 10 7/8% Capital Securities (the "Capital Securities"). Proceeds from issuance of the Capital Securities were invested in 10 7/8% Junior Subordinated Debentures issued by Ocwen. The Junior Subordinated Debentures, which represent the sole assets of OCT, will mature on August 1, 2027.</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Holders of the Capital Securities will be entitled to receive cumulative cash distributions accruing from the date of original issuance and payable semi-annually in arrears on February 1 and August 1 of each year, commencing on February 1, 1998, at an annual rate of 10 7/8% of the liquidation amount of $1,000 per Capital Security. Payment of distributions out of moneys held by OCT, and payments on liquidation of OCT or the redemption of Capital Securities, are guaranteed by the Company to the extent OCT has funds available. If the Company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 Accumulated distributions payable on the Capital Securities amounted to $5,249 at December 31, 1997 and is included in accrued interest payable.</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has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the Company may elect to begin a new extension period. Accordingly, there could be multiple extension periods of varying lengths throughout the term of the Junior Subordinated Debentures. If interest payments on the Junior Subordinated Debentures are deferred, distributions on the Capital Securities will also be deferred and the Company may not, and may not permit any subsidiary of the Company to, (i) declare or pay any dividends or distributions on, or redeem, purchase, acquire, or make a liquidation payment with respect to, the Company's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 7/8% per annum, compounded semi-annually.</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Junior Subordinated Debentures are redeemable prior to maturity at the option of the Company,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For financial reporting purposes, OCT is treated as a subsidiary of the Company and, accordingly, the accounts of OCT are included in the consolidated financial statements of the Company. Intercompany transactions between OCT and the Company, including the Junior Subordinated Debentures, are eliminated in the consolidated financial statements of the Company. The Capital Securities are presented as a separate caption between liabilities and stockholders' equity in the consolidated statement of financial condition of the Company as "Company-obligated, mandatorily redeemable securities of subsidiary trust holding solely junior subordinated debentures of the Company". Distributions on the Capital Securities are recorded as a separate caption immediately following non-interest expense in the consolidated statement of operations of the Company. The Company intends to continue this method of accounting going forward.</w:t>
      </w:r>
    </w:p>
    <w:p>
      <w:pPr>
        <w:spacing w:after="0" w:line="16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connection with the issuance of the Capital Securities, the Company incurred certain costs which have been capitalized and are being amortized over the term of the Capital Securities. The unamortized balance of these issuance costs amounted to $4,262 at December 31, 1997 and is included in other assets.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119" w:name="page120"/>
    <w:bookmarkEnd w:id="119"/>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BASIC AND DILUTED EARNINGS PER SHARE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is required to present both basic and diluted EPS on the face of its statement of operations. Basic EPS, which replaced primary EPS required by APB 15, is calculated by dividing net income by the weighted average number of common shares outstanding during the year. Diluted EPS is calculated by dividing net income by the weighted average number of common shares outstanding and the dilutive potential common shares related to outstanding stock options. The following is a reconciliation of the calculation of basic EPS to diluted EPS.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1997</w:t>
            </w:r>
          </w:p>
        </w:tc>
        <w:tc>
          <w:tcPr>
            <w:tcW w:w="2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w w:val="79"/>
              </w:rPr>
              <w:t>Net income.............................................................</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78,932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25,467</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Weighted average shares of common stock................................</w:t>
            </w: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56,185,956</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50,556,572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51,712,415</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Basic EPS...........................................................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Weighted average shares of common stock................................</w:t>
            </w: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56,185,956</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50,556,572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51,712,415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options</w:t>
            </w:r>
          </w:p>
        </w:tc>
        <w:tc>
          <w:tcPr>
            <w:tcW w:w="16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650,528</w:t>
            </w:r>
          </w:p>
        </w:tc>
        <w:tc>
          <w:tcPr>
            <w:tcW w:w="2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2,822,310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3,825,745</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56,836,484</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53,378,882</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55,538,160</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78"/>
              </w:rPr>
              <w:t>Diluted EPS.........................................................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0.46</w:t>
            </w:r>
          </w:p>
        </w:tc>
      </w:tr>
      <w:tr>
        <w:trPr>
          <w:trHeight w:val="168"/>
        </w:trPr>
        <w:tc>
          <w:tcPr>
            <w:tcW w:w="508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80" w:type="dxa"/>
            <w:vAlign w:val="bottom"/>
          </w:tcPr>
          <w:p>
            <w:pPr>
              <w:spacing w:after="0"/>
              <w:rPr>
                <w:sz w:val="24"/>
                <w:szCs w:val="24"/>
                <w:color w:val="auto"/>
              </w:rPr>
            </w:pPr>
          </w:p>
        </w:tc>
        <w:tc>
          <w:tcPr>
            <w:tcW w:w="1660" w:type="dxa"/>
            <w:vAlign w:val="bottom"/>
          </w:tcPr>
          <w:p>
            <w:pPr>
              <w:jc w:val="right"/>
              <w:ind w:right="1407"/>
              <w:spacing w:after="0"/>
              <w:rPr>
                <w:sz w:val="20"/>
                <w:szCs w:val="20"/>
                <w:color w:val="auto"/>
              </w:rPr>
            </w:pPr>
            <w:r>
              <w:rPr>
                <w:rFonts w:ascii="Courier New" w:cs="Courier New" w:eastAsia="Courier New" w:hAnsi="Courier New"/>
                <w:sz w:val="15"/>
                <w:szCs w:val="15"/>
                <w:color w:val="auto"/>
                <w:w w:val="88"/>
              </w:rPr>
              <w:t>55</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0" w:name="page121"/>
    <w:bookmarkEnd w:id="120"/>
    <w:p>
      <w:pPr>
        <w:jc w:val="center"/>
        <w:ind w:right="32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2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INTEREST RATE RISK MANAGEMENT INSTRUMENTS</w:t>
      </w:r>
    </w:p>
    <w:p>
      <w:pPr>
        <w:spacing w:after="0" w:line="173" w:lineRule="exact"/>
        <w:rPr>
          <w:sz w:val="20"/>
          <w:szCs w:val="20"/>
          <w:color w:val="auto"/>
        </w:rPr>
      </w:pPr>
    </w:p>
    <w:p>
      <w:pPr>
        <w:jc w:val="both"/>
        <w:ind w:right="3240" w:firstLine="437"/>
        <w:spacing w:after="0" w:line="255" w:lineRule="auto"/>
        <w:rPr>
          <w:sz w:val="20"/>
          <w:szCs w:val="20"/>
          <w:color w:val="auto"/>
        </w:rPr>
      </w:pPr>
      <w:r>
        <w:rPr>
          <w:rFonts w:ascii="Courier New" w:cs="Courier New" w:eastAsia="Courier New" w:hAnsi="Courier New"/>
          <w:sz w:val="14"/>
          <w:szCs w:val="14"/>
          <w:color w:val="auto"/>
        </w:rPr>
        <w:t>In managing its interest rate risk, the Company on occasion enters into swaps. Under swaps, the Company agrees with other parties to exchange, at specified intervals, the difference between fixed-rate and floating-rate interest amounts calculated by reference to an agreed notional amount. The terms of the swaps provide for the Company to receive a floating rate of interest based on the London Interbank Offered Rate ("LIBOR") and to pay fixed interest rates. The notional amount of the swap outstanding at December 31, 1997 is amortized (i.e., reduced) monthly based on estimated prepayment rates. The terms of the outstanding swap, at December 31, 1997 and 1996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7"/>
              </w:rPr>
              <w:t>Notional</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Floating Rate</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7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Maturity</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Amount</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LIBOR Index</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Fixed Rate</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at End of Year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1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1997</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w w:val="97"/>
              </w:rPr>
              <w:t>$ 36,860</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1-Month</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6.18%</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1996</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$ 45,720</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1-Month</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(103)</w:t>
            </w:r>
          </w:p>
        </w:tc>
      </w:tr>
    </w:tbl>
    <w:p>
      <w:pPr>
        <w:spacing w:after="0" w:line="341" w:lineRule="exact"/>
        <w:rPr>
          <w:sz w:val="20"/>
          <w:szCs w:val="20"/>
          <w:color w:val="auto"/>
        </w:rPr>
      </w:pPr>
    </w:p>
    <w:p>
      <w:pPr>
        <w:jc w:val="both"/>
        <w:ind w:right="3240" w:firstLine="437"/>
        <w:spacing w:after="0" w:line="235" w:lineRule="auto"/>
        <w:rPr>
          <w:sz w:val="20"/>
          <w:szCs w:val="20"/>
          <w:color w:val="auto"/>
        </w:rPr>
      </w:pPr>
      <w:r>
        <w:rPr>
          <w:rFonts w:ascii="Courier New" w:cs="Courier New" w:eastAsia="Courier New" w:hAnsi="Courier New"/>
          <w:sz w:val="15"/>
          <w:szCs w:val="15"/>
          <w:color w:val="auto"/>
        </w:rPr>
        <w:t>The 1-month LIBOR was 5.72% on December 31, 1997. The interest expense or benefit of the swaps had the effect of increasing (decreasing) net interest income by $(198), $(58) and $358 for the years ended December 31, 1997, 1996 and 1995, respectively.</w:t>
      </w:r>
    </w:p>
    <w:p>
      <w:pPr>
        <w:spacing w:after="0" w:line="175" w:lineRule="exact"/>
        <w:rPr>
          <w:sz w:val="20"/>
          <w:szCs w:val="20"/>
          <w:color w:val="auto"/>
        </w:rPr>
      </w:pPr>
    </w:p>
    <w:p>
      <w:pPr>
        <w:jc w:val="both"/>
        <w:ind w:right="3240" w:firstLine="437"/>
        <w:spacing w:after="0" w:line="255" w:lineRule="auto"/>
        <w:rPr>
          <w:sz w:val="20"/>
          <w:szCs w:val="20"/>
          <w:color w:val="auto"/>
        </w:rPr>
      </w:pPr>
      <w:r>
        <w:rPr>
          <w:rFonts w:ascii="Courier New" w:cs="Courier New" w:eastAsia="Courier New" w:hAnsi="Courier New"/>
          <w:sz w:val="14"/>
          <w:szCs w:val="14"/>
          <w:color w:val="auto"/>
        </w:rPr>
        <w:t>The Company also enters into short sales of Eurodollar and U.S. Treasury interest rate futures contracts as part of its overall interest rate risk management activity. Interest rate futures contracts are commitments to either purchase or sell designated financial instruments at a future date for a specified price and may be settled in cash or through delivery. The Eurodollar futures contracts have been sold by the Company to hedge the maturity risk of certain short duration mortgage-related securities. U.S. Treasury futures have been sold by the Company to hedge the risk of a reduction in the market value of fixed rate mortgage loans and certain fixed rate mortgage-backed and related securities available for sale in a rising interest rate environment.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Terms and other  information on interest rate futures</w:t>
            </w:r>
          </w:p>
        </w:tc>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contracts sold short</w:t>
            </w: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are as follows:</w:t>
            </w:r>
          </w:p>
        </w:tc>
        <w:tc>
          <w:tcPr>
            <w:tcW w:w="2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Notional</w:t>
            </w:r>
          </w:p>
        </w:tc>
        <w:tc>
          <w:tcPr>
            <w:tcW w:w="4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526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Maturity</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Principal</w:t>
            </w:r>
          </w:p>
        </w:tc>
        <w:tc>
          <w:tcPr>
            <w:tcW w:w="44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260" w:type="dxa"/>
            <w:vAlign w:val="bottom"/>
          </w:tcPr>
          <w:p>
            <w:pPr>
              <w:spacing w:after="0"/>
              <w:rPr>
                <w:sz w:val="14"/>
                <w:szCs w:val="14"/>
                <w:color w:val="auto"/>
              </w:rPr>
            </w:pPr>
          </w:p>
        </w:tc>
        <w:tc>
          <w:tcPr>
            <w:tcW w:w="2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1997:</w:t>
            </w:r>
          </w:p>
        </w:tc>
        <w:tc>
          <w:tcPr>
            <w:tcW w:w="2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2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1"/>
              </w:rPr>
              <w:t>U.S. Treasury futures...............................................</w:t>
            </w:r>
          </w:p>
        </w:tc>
        <w:tc>
          <w:tcPr>
            <w:tcW w:w="2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$ 194,500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2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81"/>
              </w:rPr>
              <w:t>Eurodollar futures..................................................</w:t>
            </w: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$ 365,000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526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336"/>
        </w:trPr>
        <w:tc>
          <w:tcPr>
            <w:tcW w:w="52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1"/>
              </w:rPr>
              <w:t>U.S. Treasury futures...............................................</w:t>
            </w:r>
          </w:p>
        </w:tc>
        <w:tc>
          <w:tcPr>
            <w:tcW w:w="2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165,100</w:t>
            </w:r>
          </w:p>
        </w:tc>
        <w:tc>
          <w:tcPr>
            <w:tcW w:w="44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498</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The  following  table  summarizes</w:t>
            </w:r>
          </w:p>
        </w:tc>
        <w:tc>
          <w:tcPr>
            <w:tcW w:w="39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the  Company's use of interest rate risk</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 instruments.</w:t>
            </w:r>
          </w:p>
        </w:tc>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Notional Amount</w:t>
            </w:r>
          </w:p>
        </w:tc>
        <w:tc>
          <w:tcPr>
            <w:tcW w:w="114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640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Short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Short</w:t>
            </w:r>
          </w:p>
        </w:tc>
      </w:tr>
      <w:tr>
        <w:trPr>
          <w:trHeight w:val="168"/>
        </w:trPr>
        <w:tc>
          <w:tcPr>
            <w:tcW w:w="3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Eurodollar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U.S. Treasury</w:t>
            </w:r>
          </w:p>
        </w:tc>
      </w:tr>
      <w:tr>
        <w:trPr>
          <w:trHeight w:val="168"/>
        </w:trPr>
        <w:tc>
          <w:tcPr>
            <w:tcW w:w="3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Swaps</w:t>
            </w:r>
          </w:p>
        </w:tc>
        <w:tc>
          <w:tcPr>
            <w:tcW w:w="1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Futures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Futures</w:t>
            </w:r>
          </w:p>
        </w:tc>
      </w:tr>
      <w:tr>
        <w:trPr>
          <w:trHeight w:val="168"/>
        </w:trPr>
        <w:tc>
          <w:tcPr>
            <w:tcW w:w="3500" w:type="dxa"/>
            <w:vAlign w:val="bottom"/>
          </w:tcPr>
          <w:p>
            <w:pPr>
              <w:spacing w:after="0"/>
              <w:rPr>
                <w:sz w:val="14"/>
                <w:szCs w:val="14"/>
                <w:color w:val="auto"/>
              </w:rPr>
            </w:pPr>
          </w:p>
        </w:tc>
        <w:tc>
          <w:tcPr>
            <w:tcW w:w="3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1"/>
                <w:szCs w:val="11"/>
                <w:color w:val="auto"/>
                <w:w w:val="74"/>
              </w:rPr>
              <w:t>Balance, December 31, 1995.............................................</w:t>
            </w:r>
          </w:p>
        </w:tc>
        <w:tc>
          <w:tcPr>
            <w:tcW w:w="3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$ 412,000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$ 11,100</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Purchases...........................................................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47,350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3,362,400</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Maturities..........................................................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w:t>
            </w:r>
          </w:p>
        </w:tc>
        <w:tc>
          <w:tcPr>
            <w:tcW w:w="4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Terminations........................................................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(571,000)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(3,208,400)</w:t>
            </w:r>
          </w:p>
        </w:tc>
      </w:tr>
      <w:tr>
        <w:trPr>
          <w:trHeight w:val="168"/>
        </w:trPr>
        <w:tc>
          <w:tcPr>
            <w:tcW w:w="3500" w:type="dxa"/>
            <w:vAlign w:val="bottom"/>
          </w:tcPr>
          <w:p>
            <w:pPr>
              <w:spacing w:after="0"/>
              <w:rPr>
                <w:sz w:val="14"/>
                <w:szCs w:val="14"/>
                <w:color w:val="auto"/>
              </w:rPr>
            </w:pPr>
          </w:p>
        </w:tc>
        <w:tc>
          <w:tcPr>
            <w:tcW w:w="3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Balance, December 31, 1996.............................................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45,720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405,000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165,100</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Purchases...........................................................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966,400</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Maturities..........................................................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(8,860)</w:t>
            </w:r>
          </w:p>
        </w:tc>
        <w:tc>
          <w:tcPr>
            <w:tcW w:w="4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Terminations........................................................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(405,000)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(937,000)</w:t>
            </w:r>
          </w:p>
        </w:tc>
      </w:tr>
      <w:tr>
        <w:trPr>
          <w:trHeight w:val="168"/>
        </w:trPr>
        <w:tc>
          <w:tcPr>
            <w:tcW w:w="3500" w:type="dxa"/>
            <w:vAlign w:val="bottom"/>
          </w:tcPr>
          <w:p>
            <w:pPr>
              <w:spacing w:after="0"/>
              <w:rPr>
                <w:sz w:val="14"/>
                <w:szCs w:val="14"/>
                <w:color w:val="auto"/>
              </w:rPr>
            </w:pPr>
          </w:p>
        </w:tc>
        <w:tc>
          <w:tcPr>
            <w:tcW w:w="3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20"/>
                <w:szCs w:val="20"/>
                <w:color w:val="auto"/>
              </w:rPr>
            </w:pPr>
            <w:r>
              <w:rPr>
                <w:rFonts w:ascii="Courier New" w:cs="Courier New" w:eastAsia="Courier New" w:hAnsi="Courier New"/>
                <w:sz w:val="11"/>
                <w:szCs w:val="11"/>
                <w:color w:val="auto"/>
                <w:w w:val="74"/>
              </w:rPr>
              <w:t>Balance, December 31, 1997.............................................</w:t>
            </w: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36,860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194,500</w:t>
            </w:r>
          </w:p>
        </w:tc>
      </w:tr>
      <w:tr>
        <w:trPr>
          <w:trHeight w:val="168"/>
        </w:trPr>
        <w:tc>
          <w:tcPr>
            <w:tcW w:w="3500" w:type="dxa"/>
            <w:vAlign w:val="bottom"/>
          </w:tcPr>
          <w:p>
            <w:pPr>
              <w:spacing w:after="0"/>
              <w:rPr>
                <w:sz w:val="14"/>
                <w:szCs w:val="14"/>
                <w:color w:val="auto"/>
              </w:rPr>
            </w:pPr>
          </w:p>
        </w:tc>
        <w:tc>
          <w:tcPr>
            <w:tcW w:w="39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40" w:firstLine="437"/>
        <w:spacing w:after="0" w:line="255" w:lineRule="auto"/>
        <w:rPr>
          <w:sz w:val="20"/>
          <w:szCs w:val="20"/>
          <w:color w:val="auto"/>
        </w:rPr>
      </w:pPr>
      <w:r>
        <w:rPr>
          <w:rFonts w:ascii="Courier New" w:cs="Courier New" w:eastAsia="Courier New" w:hAnsi="Courier New"/>
          <w:sz w:val="14"/>
          <w:szCs w:val="14"/>
          <w:color w:val="auto"/>
        </w:rPr>
        <w:t>Because interest rate futures contracts are exchange traded, holders of these instruments look to the exchange for performance under these contracts and not the entity holding the offsetting futures contract, thereby minimizing the risk of nonperformance under these contracts. The Company is exposed to credit loss in the event of nonperformance by the counterparty to the swap and controls this risk through credit monitoring procedures. The notional principal amount</w:t>
      </w:r>
    </w:p>
    <w:p>
      <w:pPr>
        <w:sectPr>
          <w:pgSz w:w="11900" w:h="16838" w:orient="portrait"/>
          <w:cols w:equalWidth="0" w:num="1">
            <w:col w:w="10240"/>
          </w:cols>
          <w:pgMar w:left="220" w:top="617" w:right="1439" w:bottom="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does not represent the Company's exposure to credit loss.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U.S. Treasury Bills with a carrying value of $2,055 and $3,138 and a fair value of $2,055 and $3,138 were pledged by the Company as security for the obligations under these swaps and interest rate futures contracts at December 31, 1997 and 1996,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135" w:right="1440" w:bottom="1440" w:gutter="0" w:footer="0" w:header="0"/>
        </w:sectPr>
      </w:pPr>
    </w:p>
    <w:bookmarkStart w:id="122" w:name="page123"/>
    <w:bookmarkEnd w:id="122"/>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21</w:t>
      </w:r>
      <w:r>
        <w:rPr>
          <w:sz w:val="20"/>
          <w:szCs w:val="20"/>
          <w:color w:val="auto"/>
        </w:rPr>
        <w:tab/>
      </w:r>
      <w:r>
        <w:rPr>
          <w:rFonts w:ascii="Courier New" w:cs="Courier New" w:eastAsia="Courier New" w:hAnsi="Courier New"/>
          <w:sz w:val="14"/>
          <w:szCs w:val="14"/>
          <w:color w:val="auto"/>
        </w:rPr>
        <w:t>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income tax expense (benefit) was allocated as follows: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31,</w:t>
            </w:r>
          </w:p>
        </w:tc>
        <w:tc>
          <w:tcPr>
            <w:tcW w:w="620" w:type="dxa"/>
            <w:vAlign w:val="bottom"/>
          </w:tcPr>
          <w:p>
            <w:pPr>
              <w:spacing w:after="0"/>
              <w:rPr>
                <w:sz w:val="14"/>
                <w:szCs w:val="14"/>
                <w:color w:val="auto"/>
              </w:rPr>
            </w:pPr>
          </w:p>
        </w:tc>
      </w:tr>
      <w:tr>
        <w:trPr>
          <w:trHeight w:val="168"/>
        </w:trPr>
        <w:tc>
          <w:tcPr>
            <w:tcW w:w="3660" w:type="dxa"/>
            <w:vAlign w:val="bottom"/>
          </w:tcPr>
          <w:p>
            <w:pPr>
              <w:spacing w:after="0"/>
              <w:rPr>
                <w:sz w:val="14"/>
                <w:szCs w:val="14"/>
                <w:color w:val="auto"/>
              </w:rPr>
            </w:pPr>
          </w:p>
        </w:tc>
        <w:tc>
          <w:tcPr>
            <w:tcW w:w="59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1997</w:t>
            </w:r>
          </w:p>
        </w:tc>
        <w:tc>
          <w:tcPr>
            <w:tcW w:w="34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3660" w:type="dxa"/>
            <w:vAlign w:val="bottom"/>
          </w:tcPr>
          <w:p>
            <w:pPr>
              <w:spacing w:after="0"/>
              <w:rPr>
                <w:sz w:val="14"/>
                <w:szCs w:val="14"/>
                <w:color w:val="auto"/>
              </w:rPr>
            </w:pPr>
          </w:p>
        </w:tc>
        <w:tc>
          <w:tcPr>
            <w:tcW w:w="36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2"/>
                <w:szCs w:val="12"/>
                <w:color w:val="auto"/>
                <w:w w:val="74"/>
              </w:rPr>
              <w:t>Income from continuing operations...................................</w:t>
            </w:r>
          </w:p>
        </w:tc>
        <w:tc>
          <w:tcPr>
            <w:tcW w:w="2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21,309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11,159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4,562</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(4,097)</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of tax  deduction  in  excess of</w:t>
            </w:r>
          </w:p>
        </w:tc>
        <w:tc>
          <w:tcPr>
            <w:tcW w:w="29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6"/>
              </w:rPr>
              <w:t>amounts  recognized  for</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financial reporting purposes related to employee stock options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reflected in stockholders' equity.................................</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(1,965)</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(2,987)</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3660" w:type="dxa"/>
            <w:vAlign w:val="bottom"/>
          </w:tcPr>
          <w:p>
            <w:pPr>
              <w:spacing w:after="0"/>
              <w:rPr>
                <w:sz w:val="14"/>
                <w:szCs w:val="14"/>
                <w:color w:val="auto"/>
              </w:rPr>
            </w:pPr>
          </w:p>
        </w:tc>
        <w:tc>
          <w:tcPr>
            <w:tcW w:w="36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60" w:type="dxa"/>
            <w:vAlign w:val="bottom"/>
          </w:tcPr>
          <w:p>
            <w:pPr>
              <w:spacing w:after="0"/>
              <w:rPr>
                <w:sz w:val="14"/>
                <w:szCs w:val="14"/>
                <w:color w:val="auto"/>
              </w:rPr>
            </w:pPr>
          </w:p>
        </w:tc>
        <w:tc>
          <w:tcPr>
            <w:tcW w:w="2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19,344</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8,172</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660" w:type="dxa"/>
            <w:vAlign w:val="bottom"/>
          </w:tcPr>
          <w:p>
            <w:pPr>
              <w:spacing w:after="0"/>
              <w:rPr>
                <w:sz w:val="14"/>
                <w:szCs w:val="14"/>
                <w:color w:val="auto"/>
              </w:rPr>
            </w:pPr>
          </w:p>
        </w:tc>
        <w:tc>
          <w:tcPr>
            <w:tcW w:w="36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components of income tax expense (benefit) attributable to income from continuing operations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5600" w:type="dxa"/>
            <w:vAlign w:val="bottom"/>
          </w:tcPr>
          <w:p>
            <w:pPr>
              <w:spacing w:after="0"/>
              <w:rPr>
                <w:sz w:val="14"/>
                <w:szCs w:val="14"/>
                <w:color w:val="auto"/>
              </w:rPr>
            </w:pPr>
          </w:p>
        </w:tc>
        <w:tc>
          <w:tcPr>
            <w:tcW w:w="35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Federal.....................................................</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42,482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(6,844)</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1,673</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State.......................................................</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3,579</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5,011</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46,061</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(7,420)</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6,684</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Federal.....................................................</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(23,085)</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16,616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1,762</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State.......................................................</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(1,667)</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1,963</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(3,884)</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(24,752)</w:t>
            </w:r>
          </w:p>
        </w:tc>
        <w:tc>
          <w:tcPr>
            <w:tcW w:w="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18,579</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(2,122)</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21,309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11,159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4,562</w:t>
            </w:r>
          </w:p>
        </w:tc>
      </w:tr>
      <w:tr>
        <w:trPr>
          <w:trHeight w:val="168"/>
        </w:trPr>
        <w:tc>
          <w:tcPr>
            <w:tcW w:w="56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ind w:left="440"/>
        <w:spacing w:after="0"/>
        <w:tabs>
          <w:tab w:leader="none" w:pos="2180" w:val="left"/>
          <w:tab w:leader="none" w:pos="4460" w:val="left"/>
        </w:tabs>
        <w:rPr>
          <w:sz w:val="20"/>
          <w:szCs w:val="20"/>
          <w:color w:val="auto"/>
        </w:rPr>
      </w:pPr>
      <w:r>
        <w:rPr>
          <w:rFonts w:ascii="Courier New" w:cs="Courier New" w:eastAsia="Courier New" w:hAnsi="Courier New"/>
          <w:sz w:val="15"/>
          <w:szCs w:val="15"/>
          <w:color w:val="auto"/>
        </w:rPr>
        <w:t>Income tax expense</w:t>
        <w:tab/>
        <w:t>differs from the amounts</w:t>
      </w:r>
      <w:r>
        <w:rPr>
          <w:sz w:val="20"/>
          <w:szCs w:val="20"/>
          <w:color w:val="auto"/>
        </w:rPr>
        <w:tab/>
      </w:r>
      <w:r>
        <w:rPr>
          <w:rFonts w:ascii="Courier New" w:cs="Courier New" w:eastAsia="Courier New" w:hAnsi="Courier New"/>
          <w:sz w:val="14"/>
          <w:szCs w:val="14"/>
          <w:color w:val="auto"/>
        </w:rPr>
        <w:t>computed by applying the U.S.</w:t>
      </w:r>
    </w:p>
    <w:p>
      <w:pPr>
        <w:spacing w:after="0" w:line="237" w:lineRule="auto"/>
        <w:rPr>
          <w:sz w:val="20"/>
          <w:szCs w:val="20"/>
          <w:color w:val="auto"/>
        </w:rPr>
      </w:pPr>
      <w:r>
        <w:rPr>
          <w:rFonts w:ascii="Courier New" w:cs="Courier New" w:eastAsia="Courier New" w:hAnsi="Courier New"/>
          <w:sz w:val="15"/>
          <w:szCs w:val="15"/>
          <w:color w:val="auto"/>
        </w:rPr>
        <w:t>Federal corporate income tax rate of 35%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620" w:type="dxa"/>
            <w:vAlign w:val="bottom"/>
          </w:tcPr>
          <w:p>
            <w:pPr>
              <w:spacing w:after="0"/>
              <w:rPr>
                <w:sz w:val="14"/>
                <w:szCs w:val="14"/>
                <w:color w:val="auto"/>
              </w:rPr>
            </w:pPr>
          </w:p>
        </w:tc>
      </w:tr>
      <w:tr>
        <w:trPr>
          <w:trHeight w:val="168"/>
        </w:trPr>
        <w:tc>
          <w:tcPr>
            <w:tcW w:w="6400" w:type="dxa"/>
            <w:vAlign w:val="bottom"/>
          </w:tcPr>
          <w:p>
            <w:pPr>
              <w:spacing w:after="0"/>
              <w:rPr>
                <w:sz w:val="14"/>
                <w:szCs w:val="14"/>
                <w:color w:val="auto"/>
              </w:rPr>
            </w:pPr>
          </w:p>
        </w:tc>
        <w:tc>
          <w:tcPr>
            <w:tcW w:w="35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64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w w:val="99"/>
              </w:rPr>
              <w:t>Expected income tax expense at statutory rate..........................</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21,455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13,196</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Differences between expected and actual tax:</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Excess of cost over net assets acquired adjustments....................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 effect of utilization of net operating loss........................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(906)</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(1,782)</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(1,380)</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 tax (after Federal tax benefit)..................................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901</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Low-income housing tax credits.........................................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(14,881)</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(9,330)</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(7,709)</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Adjustments resulting from IRS audit...................................</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64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Actual income tax expense...........................................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21,309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11,159</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4,562</w:t>
            </w:r>
          </w:p>
        </w:tc>
      </w:tr>
      <w:tr>
        <w:trPr>
          <w:trHeight w:val="168"/>
        </w:trPr>
        <w:tc>
          <w:tcPr>
            <w:tcW w:w="640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For taxable years beginning prior to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 loans (generally loans secured by an interest in improved real estate). The applicable percentage was 8% for tax periods after 1987. The Bank utilized the percentage of taxable income method for these years.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w:t>
      </w:r>
    </w:p>
    <w:p>
      <w:pPr>
        <w:sectPr>
          <w:pgSz w:w="11900" w:h="16838" w:orient="portrait"/>
          <w:cols w:equalWidth="0" w:num="1">
            <w:col w:w="10239"/>
          </w:cols>
          <w:pgMar w:left="220" w:top="617" w:right="1440" w:bottom="0" w:gutter="0" w:footer="0" w:header="0"/>
        </w:sectPr>
      </w:pPr>
    </w:p>
    <w:bookmarkStart w:id="123" w:name="page124"/>
    <w:bookmarkEnd w:id="123"/>
    <w:p>
      <w:pPr>
        <w:jc w:val="both"/>
        <w:ind w:right="3239"/>
        <w:spacing w:after="0" w:line="235" w:lineRule="auto"/>
        <w:rPr>
          <w:sz w:val="20"/>
          <w:szCs w:val="20"/>
          <w:color w:val="auto"/>
        </w:rPr>
      </w:pPr>
      <w:r>
        <w:rPr>
          <w:rFonts w:ascii="Courier New" w:cs="Courier New" w:eastAsia="Courier New" w:hAnsi="Courier New"/>
          <w:sz w:val="15"/>
          <w:szCs w:val="15"/>
          <w:color w:val="auto"/>
        </w:rPr>
        <w:t>one-sixth of its applicable excess reserves in taxable income in each year from 1996 through 2001. As of December 31, 1995, the Bank had approximately $42.4 million of applicable excess reserves. As of December 31, 1996, the Bank had fully provided for the tax related to this recapture.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141" w:right="1440" w:bottom="1440" w:gutter="0" w:footer="0" w:header="0"/>
        </w:sectPr>
      </w:pPr>
    </w:p>
    <w:bookmarkStart w:id="124" w:name="page125"/>
    <w:bookmarkEnd w:id="124"/>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is expected to have no material impact on the Bank's or the Company's operations or financial position.</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accordance with SFAS No. 109 "Accounting for Income Taxes," a deferred tax liability has not been recognized for the tax bad debt base year reserves of the Bank. The base year reserves are generally the balance of reserves as of December 31, 1987 reduced proportionately for reductions in the Bank's loan portfolio between that date and December 31, 1995. At December 31, 1997 and 1996, the amount of those reserves was approximately $5.7 million. This reserve could be recognized in the future under the conditions described in the preceding paragraph.</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deferred tax asset was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32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1997</w:t>
            </w:r>
          </w:p>
        </w:tc>
        <w:tc>
          <w:tcPr>
            <w:tcW w:w="14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6660" w:type="dxa"/>
            <w:vAlign w:val="bottom"/>
          </w:tcPr>
          <w:p>
            <w:pPr>
              <w:ind w:left="280"/>
              <w:spacing w:after="0"/>
              <w:rPr>
                <w:sz w:val="20"/>
                <w:szCs w:val="20"/>
                <w:color w:val="auto"/>
              </w:rPr>
            </w:pPr>
            <w:r>
              <w:rPr>
                <w:rFonts w:ascii="Courier New" w:cs="Courier New" w:eastAsia="Courier New" w:hAnsi="Courier New"/>
                <w:sz w:val="15"/>
                <w:szCs w:val="15"/>
                <w:color w:val="auto"/>
              </w:rPr>
              <w:t>Tax residuals and deferred income on tax residuals..................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3,497</w:t>
            </w:r>
          </w:p>
        </w:tc>
        <w:tc>
          <w:tcPr>
            <w:tcW w:w="8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3,712</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State taxes.........................................................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2,203</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552</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Application of purchase accounting..................................</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655</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1,503</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profit sharing..............................................</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3,234</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1,422</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other liabilities...........................................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2,495</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interest expense on discount loan portfolio................</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7,685</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3,989</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Mark-to-market and reserves on REO properties.......................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3,187</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3,513</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loan foreclosure............................................</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5,635</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Bad debt and loan loss reserves.....................................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9,770</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Reserves on securities held for sale................................</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4,007</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495</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42,863</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15,111</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Bad debt and loan loss reserves.....................................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interest income on discount loan portfolio.................</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2,254</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4,632</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Partnership losses..................................................</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1,386</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763</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4,403</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7,147</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38,460</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7,964</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Mark-to-market on certain mortgage-backed and</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related securities available for sale.............................</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6,688</w:t>
            </w:r>
          </w:p>
        </w:tc>
        <w:tc>
          <w:tcPr>
            <w:tcW w:w="8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45,148</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5,860</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 asset valuation allowance..............................</w:t>
            </w:r>
          </w:p>
        </w:tc>
        <w:tc>
          <w:tcPr>
            <w:tcW w:w="70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45,148</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5,860</w:t>
            </w:r>
          </w:p>
        </w:tc>
      </w:tr>
      <w:tr>
        <w:trPr>
          <w:trHeight w:val="168"/>
        </w:trPr>
        <w:tc>
          <w:tcPr>
            <w:tcW w:w="66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 As a result of the manner in which REMIC residual interests are treated for tax purposes, at December 31, 1997, 1996 and 1995, the Company had approximately $0, $10,228 and $55,000, respectively, of net operating loss carryforwards for tax purposes.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IMI, a wholly owned subsidiary of the Company, had at December 31, 1997 approximately $9,680 of Separate Return Limitation Year ("SRLY") net operating loss carryforward. These SRLY net operating loss carryforwards can only offset IMI future taxable income. Net operating loss carryforward of $8,044 and $1,636 will expire, if unused, in years 2005 and 2007, respectively. In addition, International Hotel Group ("IHG"), a wholly owned subsidiary of IMI, and IHG's subsidiaries had at December 31, 1997 approximately $828 of SRLY net operating loss carryforwards. The SRLY net operating loss carryforward can only offset IHG and its subsidiaries' future taxable income. The $828 operating loss carryforward will expire, if unused, in the year 2008.</w:t>
      </w:r>
    </w:p>
    <w:p>
      <w:pPr>
        <w:sectPr>
          <w:pgSz w:w="11900" w:h="16838" w:orient="portrait"/>
          <w:cols w:equalWidth="0" w:num="1">
            <w:col w:w="10239"/>
          </w:cols>
          <w:pgMar w:left="220" w:top="617" w:right="1440" w:bottom="0" w:gutter="0" w:footer="0" w:header="0"/>
        </w:sectPr>
      </w:pPr>
    </w:p>
    <w:bookmarkStart w:id="125" w:name="page126"/>
    <w:bookmarkEnd w:id="125"/>
    <w:p>
      <w:pPr>
        <w:ind w:left="22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019"/>
          </w:cols>
          <w:pgMar w:left="1440" w:top="303" w:right="1440" w:bottom="1440" w:gutter="0" w:footer="0" w:header="0"/>
        </w:sectPr>
      </w:pPr>
    </w:p>
    <w:bookmarkStart w:id="126" w:name="page127"/>
    <w:bookmarkEnd w:id="126"/>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Company's earnings history, current tax position and taxable income projections, the Company believes that it will generate sufficient taxable income in future years to realize the net deferred tax asset position as of December 31, 1997. In evaluating the expectation of sufficient future taxable income, the Company considered future reversals of temporary differences and available tax planning strategies that could be implemented, if required.</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valuation allowance was not required as of December 31, 1997 and 1996 as it was the Company's assessment that, based on available information, it is more likely than not that all of the deferred tax asset will be realized. A valuation allowance will be established in the future to the extent of a change in the Company's assessment of the amount of the net deferred tax asset that is expected to be realized.</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22</w:t>
      </w:r>
      <w:r>
        <w:rPr>
          <w:sz w:val="20"/>
          <w:szCs w:val="20"/>
          <w:color w:val="auto"/>
        </w:rPr>
        <w:tab/>
      </w:r>
      <w:r>
        <w:rPr>
          <w:rFonts w:ascii="Courier New" w:cs="Courier New" w:eastAsia="Courier New" w:hAnsi="Courier New"/>
          <w:sz w:val="14"/>
          <w:szCs w:val="14"/>
          <w:color w:val="auto"/>
        </w:rPr>
        <w:t>RETIREMENT PLAN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maintains a defined contribution 401(k) plan. The Company matches 50% of each employee's contributions, limited to 2% of the employee's compensation.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its acquisition of Berkeley Federal Savings Bank in June 1993, the Bank assumed the obligations under a noncontributory defined benefit pension plan (the "Plan") covering substantially all employees upon their eligibility under the terms of the Plan. The Plan was frozen for the plan year ended December 31, 1993 and has been fully funded.</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Company's combined contributions to 401(k) plan in the years ended December 31, 1997, 1996 and 1995 were $368, $258 and $248, respectively.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17" w:right="1440" w:bottom="1440" w:gutter="0" w:footer="0" w:header="0"/>
        </w:sectPr>
      </w:pPr>
    </w:p>
    <w:bookmarkStart w:id="127" w:name="page128"/>
    <w:bookmarkEnd w:id="127"/>
    <w:p>
      <w:pPr>
        <w:jc w:val="center"/>
        <w:ind w:left="20" w:right="1560"/>
        <w:spacing w:after="0" w:line="254"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DECEMBER 31, 1997, 1996 and 1995</w:t>
      </w:r>
    </w:p>
    <w:p>
      <w:pPr>
        <w:ind w:left="1760"/>
        <w:spacing w:after="0" w:line="232"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23</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jc w:val="both"/>
        <w:ind w:firstLine="437"/>
        <w:spacing w:after="0" w:line="255" w:lineRule="auto"/>
        <w:rPr>
          <w:sz w:val="20"/>
          <w:szCs w:val="20"/>
          <w:color w:val="auto"/>
        </w:rPr>
      </w:pPr>
      <w:r>
        <w:rPr>
          <w:rFonts w:ascii="Courier New" w:cs="Courier New" w:eastAsia="Courier New" w:hAnsi="Courier New"/>
          <w:sz w:val="14"/>
          <w:szCs w:val="14"/>
          <w:color w:val="auto"/>
        </w:rPr>
        <w:t>On July 12, 1996 stockholders of the Company approved an amendment to the Company's articles of incorporation to increase the authorized number of common shares from 20,000,000 to 200,000,000 shares, to increase the authorized number of preferred shares from 250,000 to 20,000,000 shares and to decrease the par value of the authorized preferred shares from $1.00 to $0.01 per share. On July 30, 1996, the Company's Board of Directors declared a 10-for-1 stock split for each share of common stock then outstanding in the form of a stock dividend which was paid to holders of record on July 31, 1996. On October 29, 1997, the Company's Board of Directors approved a 2-for-1 stock split of its issued and outstanding common stock. The stock split was effected through the distribution of authorized but unissued shares of its common stock on November 20, 1997, to holders of record of its common stock at the close of business on November 12, 1997. All references in the consolidated financial statements to the number of shares and per share amounts have been adjusted retroactively for the recapitalization and the stock splits.</w:t>
      </w:r>
    </w:p>
    <w:p>
      <w:pPr>
        <w:spacing w:after="0" w:line="332" w:lineRule="exact"/>
        <w:rPr>
          <w:sz w:val="20"/>
          <w:szCs w:val="20"/>
          <w:color w:val="auto"/>
        </w:rPr>
      </w:pPr>
    </w:p>
    <w:p>
      <w:pPr>
        <w:jc w:val="both"/>
        <w:ind w:firstLine="437"/>
        <w:spacing w:after="0" w:line="255" w:lineRule="auto"/>
        <w:rPr>
          <w:sz w:val="20"/>
          <w:szCs w:val="20"/>
          <w:color w:val="auto"/>
        </w:rPr>
      </w:pPr>
      <w:r>
        <w:rPr>
          <w:rFonts w:ascii="Courier New" w:cs="Courier New" w:eastAsia="Courier New" w:hAnsi="Courier New"/>
          <w:sz w:val="14"/>
          <w:szCs w:val="14"/>
          <w:color w:val="auto"/>
        </w:rPr>
        <w:t>During September 1996, 2,928,830 shares of common stock were issued in connection with the exercise of vested stock options by certain of the Company's and the Bank's current and former officers and directors. The Company loaned $6,654 to certain of such officers to fund their exercise of the stock options. Such notes, which are presented as a reduction of shareholders' equity, had an unpaid principal balance of $0 and $3,832 at December 31, 1997 and 1996, respectively, bear interest at 10.5% per annum, are payable in two equal installments on March 1, 1998 and March 1, 1999 and are secured by the related shares of common stock. These notes were repaid during 1997.</w:t>
      </w:r>
    </w:p>
    <w:p>
      <w:pPr>
        <w:spacing w:after="0" w:line="165" w:lineRule="exact"/>
        <w:rPr>
          <w:sz w:val="20"/>
          <w:szCs w:val="20"/>
          <w:color w:val="auto"/>
        </w:rPr>
      </w:pPr>
    </w:p>
    <w:p>
      <w:pPr>
        <w:jc w:val="both"/>
        <w:ind w:firstLine="787"/>
        <w:spacing w:after="0" w:line="236" w:lineRule="auto"/>
        <w:rPr>
          <w:sz w:val="20"/>
          <w:szCs w:val="20"/>
          <w:color w:val="auto"/>
        </w:rPr>
      </w:pPr>
      <w:r>
        <w:rPr>
          <w:rFonts w:ascii="Courier New" w:cs="Courier New" w:eastAsia="Courier New" w:hAnsi="Courier New"/>
          <w:sz w:val="15"/>
          <w:szCs w:val="15"/>
          <w:color w:val="auto"/>
        </w:rPr>
        <w:t>On September 25, 1996, certain stockholders of Ocwen completed an initial public offering of 2,300,000 shares of Ocwen common stock. At that time, the Company's common stock began trading on the NASDAQ National Market System under the symbol "OCWEN". Prior to this offering, there had been no public trading market for the common stock. The Company did not receive any of the proceeds from this common stock offering.</w:t>
      </w:r>
    </w:p>
    <w:p>
      <w:pPr>
        <w:spacing w:after="0" w:line="175" w:lineRule="exact"/>
        <w:rPr>
          <w:sz w:val="20"/>
          <w:szCs w:val="20"/>
          <w:color w:val="auto"/>
        </w:rPr>
      </w:pPr>
    </w:p>
    <w:p>
      <w:pPr>
        <w:jc w:val="both"/>
        <w:ind w:firstLine="437"/>
        <w:spacing w:after="0" w:line="256" w:lineRule="auto"/>
        <w:rPr>
          <w:sz w:val="20"/>
          <w:szCs w:val="20"/>
          <w:color w:val="auto"/>
        </w:rPr>
      </w:pPr>
      <w:r>
        <w:rPr>
          <w:rFonts w:ascii="Courier New" w:cs="Courier New" w:eastAsia="Courier New" w:hAnsi="Courier New"/>
          <w:sz w:val="14"/>
          <w:szCs w:val="14"/>
          <w:color w:val="auto"/>
        </w:rPr>
        <w:t>On August 12, 1997, the Company completed a secondary stock offering to the public of 3,450,000 shares which resulted in net proceeds of $141,898. Effective August 1, 1997, shares of the Company's common stock began trading on the New York Stock Exchange ("NYSE") under the symbol "OCN". Upon effectiveness of the NYSE listing, the Company delisted its common stock from NASDAQ.</w:t>
      </w:r>
    </w:p>
    <w:p>
      <w:pPr>
        <w:spacing w:after="0" w:line="163" w:lineRule="exact"/>
        <w:rPr>
          <w:sz w:val="20"/>
          <w:szCs w:val="20"/>
          <w:color w:val="auto"/>
        </w:rPr>
      </w:pPr>
    </w:p>
    <w:p>
      <w:pPr>
        <w:jc w:val="both"/>
        <w:ind w:firstLine="437"/>
        <w:spacing w:after="0" w:line="234" w:lineRule="auto"/>
        <w:rPr>
          <w:sz w:val="20"/>
          <w:szCs w:val="20"/>
          <w:color w:val="auto"/>
        </w:rPr>
      </w:pPr>
      <w:r>
        <w:rPr>
          <w:rFonts w:ascii="Courier New" w:cs="Courier New" w:eastAsia="Courier New" w:hAnsi="Courier New"/>
          <w:sz w:val="15"/>
          <w:szCs w:val="15"/>
          <w:color w:val="auto"/>
        </w:rPr>
        <w:t>During 1995, the Company repurchased from stockholders and retired 8,815,060 shares of common stock for the aggregate price of $41,997.</w:t>
      </w:r>
    </w:p>
    <w:p>
      <w:pPr>
        <w:spacing w:after="0" w:line="173" w:lineRule="exact"/>
        <w:rPr>
          <w:sz w:val="20"/>
          <w:szCs w:val="20"/>
          <w:color w:val="auto"/>
        </w:rPr>
      </w:pPr>
    </w:p>
    <w:p>
      <w:pPr>
        <w:jc w:val="both"/>
        <w:ind w:firstLine="437"/>
        <w:spacing w:after="0" w:line="236" w:lineRule="auto"/>
        <w:rPr>
          <w:sz w:val="20"/>
          <w:szCs w:val="20"/>
          <w:color w:val="auto"/>
        </w:rPr>
      </w:pPr>
      <w:r>
        <w:rPr>
          <w:rFonts w:ascii="Courier New" w:cs="Courier New" w:eastAsia="Courier New" w:hAnsi="Courier New"/>
          <w:sz w:val="15"/>
          <w:szCs w:val="15"/>
          <w:color w:val="auto"/>
        </w:rPr>
        <w:t>In December 1991, as part of its annual incentive compensation plan, the Company adopted a Non-Qualified Stock Option Plan (the "Stock Plan"). The Stock Plan provides for the issuance of stock options to key employees to purchase shares of common stock at prices less than the fair market value of the stock at the date of grant.</w:t>
      </w: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5"/>
              </w:rPr>
              <w:t>Options</w:t>
            </w:r>
          </w:p>
        </w:tc>
      </w:tr>
      <w:tr>
        <w:trPr>
          <w:trHeight w:val="168"/>
        </w:trPr>
        <w:tc>
          <w:tcPr>
            <w:tcW w:w="204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Granted</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c>
          <w:tcPr>
            <w:tcW w:w="14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Exercised</w:t>
            </w:r>
          </w:p>
        </w:tc>
      </w:tr>
      <w:tr>
        <w:trPr>
          <w:trHeight w:val="168"/>
        </w:trPr>
        <w:tc>
          <w:tcPr>
            <w:tcW w:w="2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04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1995:................</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594,760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$ 2.880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194,232</w:t>
            </w:r>
          </w:p>
        </w:tc>
      </w:tr>
      <w:tr>
        <w:trPr>
          <w:trHeight w:val="168"/>
        </w:trPr>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1995:................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14,220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0.472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1996:................</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1,147,370</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1997:................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1,083,794</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20.350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firstLine="437"/>
        <w:spacing w:after="0" w:line="235" w:lineRule="auto"/>
        <w:rPr>
          <w:sz w:val="20"/>
          <w:szCs w:val="20"/>
          <w:color w:val="auto"/>
        </w:rPr>
      </w:pPr>
      <w:r>
        <w:rPr>
          <w:rFonts w:ascii="Courier New" w:cs="Courier New" w:eastAsia="Courier New" w:hAnsi="Courier New"/>
          <w:sz w:val="15"/>
          <w:szCs w:val="15"/>
          <w:color w:val="auto"/>
        </w:rPr>
        <w:t>The difference between the fair market value of the stock at the date of grant and the exercise price is treated as compensation expense. Included in compensation expense is $5,514, $2,725, and $65 for the years ended December 31, 1997, 1996 and 1995, respectively, related to options granted.</w:t>
      </w:r>
    </w:p>
    <w:p>
      <w:pPr>
        <w:spacing w:after="0" w:line="33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Forfeited or</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Options</w:t>
            </w:r>
          </w:p>
        </w:tc>
      </w:tr>
      <w:tr>
        <w:trPr>
          <w:trHeight w:val="168"/>
        </w:trPr>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Repurchased</w:t>
            </w:r>
          </w:p>
        </w:tc>
        <w:tc>
          <w:tcPr>
            <w:tcW w:w="11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Vested</w:t>
            </w:r>
          </w:p>
        </w:tc>
      </w:tr>
      <w:tr>
        <w:trPr>
          <w:trHeight w:val="168"/>
        </w:trPr>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231,148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169,380</w:t>
            </w:r>
          </w:p>
        </w:tc>
      </w:tr>
      <w:tr>
        <w:trPr>
          <w:trHeight w:val="168"/>
        </w:trPr>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14,220</w:t>
            </w:r>
          </w:p>
        </w:tc>
      </w:tr>
      <w:tr>
        <w:trPr>
          <w:trHeight w:val="168"/>
        </w:trPr>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63,158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1,084,212</w:t>
            </w:r>
          </w:p>
        </w:tc>
      </w:tr>
      <w:tr>
        <w:trPr>
          <w:trHeight w:val="168"/>
        </w:trPr>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360"/>
            <w:col w:w="2879"/>
          </w:cols>
          <w:pgMar w:left="220" w:top="624" w:right="1440" w:bottom="1440" w:gutter="0" w:footer="0" w:header="0"/>
        </w:sectPr>
      </w:pPr>
    </w:p>
    <w:bookmarkStart w:id="128" w:name="page129"/>
    <w:bookmarkEnd w:id="128"/>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adopted SFAS No. 123 during 1996. In accordance with the provisions of SFAS No. 123, the Company has retained its current accounting method for its stock-based employee compensation plans under the provisions of APB 25. However, entities continuing to apply APB 25 are required to disclose pro forma net income and earnings per share as if the fair value method of accounting for stock-based employee compensation plans as prescribed by SFAS No. 123 had been utilized. The following is a summary of the Company's pro forma information: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2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w w:val="96"/>
              </w:rPr>
              <w:t>Years ending December 31,</w:t>
            </w:r>
          </w:p>
        </w:tc>
      </w:tr>
      <w:tr>
        <w:trPr>
          <w:trHeight w:val="168"/>
        </w:trPr>
        <w:tc>
          <w:tcPr>
            <w:tcW w:w="4900" w:type="dxa"/>
            <w:vAlign w:val="bottom"/>
          </w:tcPr>
          <w:p>
            <w:pPr>
              <w:spacing w:after="0"/>
              <w:rPr>
                <w:sz w:val="14"/>
                <w:szCs w:val="14"/>
                <w:color w:val="auto"/>
              </w:rPr>
            </w:pPr>
          </w:p>
        </w:tc>
        <w:tc>
          <w:tcPr>
            <w:tcW w:w="51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00" w:type="dxa"/>
            <w:vAlign w:val="bottom"/>
          </w:tcPr>
          <w:p>
            <w:pPr>
              <w:spacing w:after="0"/>
              <w:rPr>
                <w:sz w:val="14"/>
                <w:szCs w:val="14"/>
                <w:color w:val="auto"/>
              </w:rPr>
            </w:pPr>
          </w:p>
        </w:tc>
        <w:tc>
          <w:tcPr>
            <w:tcW w:w="38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ind w:left="800"/>
              <w:spacing w:after="0"/>
              <w:rPr>
                <w:sz w:val="20"/>
                <w:szCs w:val="20"/>
                <w:color w:val="auto"/>
              </w:rPr>
            </w:pPr>
            <w:r>
              <w:rPr>
                <w:rFonts w:ascii="Courier New" w:cs="Courier New" w:eastAsia="Courier New" w:hAnsi="Courier New"/>
                <w:sz w:val="15"/>
                <w:szCs w:val="15"/>
                <w:color w:val="auto"/>
                <w:w w:val="73"/>
              </w:rPr>
              <w:t>Net income (as reported)......................................</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78,932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50,142</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73"/>
              </w:rPr>
              <w:t>Pro forma net income..........................................</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72,668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47,777</w:t>
            </w:r>
          </w:p>
        </w:tc>
      </w:tr>
      <w:tr>
        <w:trPr>
          <w:trHeight w:val="168"/>
        </w:trPr>
        <w:tc>
          <w:tcPr>
            <w:tcW w:w="74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Earnings per share (as reported): ............................</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72"/>
              </w:rPr>
              <w:t>Basic.......................................................</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0.99</w:t>
            </w: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72"/>
              </w:rPr>
              <w:t>Diluted.....................................................</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0.94</w:t>
            </w:r>
          </w:p>
        </w:tc>
      </w:tr>
      <w:tr>
        <w:trPr>
          <w:trHeight w:val="168"/>
        </w:trPr>
        <w:tc>
          <w:tcPr>
            <w:tcW w:w="74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Pro forma earnings per share: ................................</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72"/>
              </w:rPr>
              <w:t>Basic.......................................................</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0.95</w:t>
            </w:r>
          </w:p>
        </w:tc>
      </w:tr>
      <w:tr>
        <w:trPr>
          <w:trHeight w:val="168"/>
        </w:trPr>
        <w:tc>
          <w:tcPr>
            <w:tcW w:w="49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72"/>
              </w:rPr>
              <w:t>Diluted.....................................................</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0.90</w:t>
            </w: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The fair value of the  option  grants  were  estimated</w:t>
            </w:r>
          </w:p>
        </w:tc>
        <w:tc>
          <w:tcPr>
            <w:tcW w:w="25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using the  Black-Scholes</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option-pricing model with the following assumptions:</w:t>
            </w:r>
          </w:p>
        </w:tc>
        <w:tc>
          <w:tcPr>
            <w:tcW w:w="2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ending December 31,</w:t>
            </w:r>
          </w:p>
        </w:tc>
      </w:tr>
      <w:tr>
        <w:trPr>
          <w:trHeight w:val="168"/>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Expected dividend yield.......................................</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0.00%</w:t>
            </w:r>
          </w:p>
        </w:tc>
        <w:tc>
          <w:tcPr>
            <w:tcW w:w="5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r>
      <w:tr>
        <w:trPr>
          <w:trHeight w:val="336"/>
        </w:trPr>
        <w:tc>
          <w:tcPr>
            <w:tcW w:w="74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Expected stock price volatility...............................</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48.00%</w:t>
            </w:r>
          </w:p>
        </w:tc>
        <w:tc>
          <w:tcPr>
            <w:tcW w:w="5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w:t>
            </w:r>
          </w:p>
        </w:tc>
      </w:tr>
      <w:tr>
        <w:trPr>
          <w:trHeight w:val="168"/>
        </w:trPr>
        <w:tc>
          <w:tcPr>
            <w:tcW w:w="74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5.71%</w:t>
            </w:r>
          </w:p>
        </w:tc>
        <w:tc>
          <w:tcPr>
            <w:tcW w:w="5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w:t>
            </w:r>
          </w:p>
        </w:tc>
      </w:tr>
      <w:tr>
        <w:trPr>
          <w:trHeight w:val="168"/>
        </w:trPr>
        <w:tc>
          <w:tcPr>
            <w:tcW w:w="74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 years</w:t>
            </w:r>
          </w:p>
        </w:tc>
        <w:tc>
          <w:tcPr>
            <w:tcW w:w="5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 years</w:t>
            </w:r>
          </w:p>
        </w:tc>
      </w:tr>
      <w:tr>
        <w:trPr>
          <w:trHeight w:val="505"/>
        </w:trPr>
        <w:tc>
          <w:tcPr>
            <w:tcW w:w="4900" w:type="dxa"/>
            <w:vAlign w:val="bottom"/>
          </w:tcPr>
          <w:p>
            <w:pPr>
              <w:spacing w:after="0"/>
              <w:rPr>
                <w:sz w:val="24"/>
                <w:szCs w:val="24"/>
                <w:color w:val="auto"/>
              </w:rPr>
            </w:pPr>
          </w:p>
        </w:tc>
        <w:tc>
          <w:tcPr>
            <w:tcW w:w="254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9" w:name="page130"/>
    <w:bookmarkEnd w:id="129"/>
    <w:p>
      <w:pPr>
        <w:jc w:val="center"/>
        <w:ind w:right="444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44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24</w:t>
      </w:r>
      <w:r>
        <w:rPr>
          <w:sz w:val="20"/>
          <w:szCs w:val="20"/>
          <w:color w:val="auto"/>
        </w:rPr>
        <w:tab/>
      </w:r>
      <w:r>
        <w:rPr>
          <w:rFonts w:ascii="Courier New" w:cs="Courier New" w:eastAsia="Courier New" w:hAnsi="Courier New"/>
          <w:sz w:val="14"/>
          <w:szCs w:val="14"/>
          <w:color w:val="auto"/>
        </w:rPr>
        <w:t>REGULATORY REQUIREMENTS</w:t>
      </w:r>
    </w:p>
    <w:p>
      <w:pPr>
        <w:spacing w:after="0" w:line="173" w:lineRule="exact"/>
        <w:rPr>
          <w:sz w:val="20"/>
          <w:szCs w:val="20"/>
          <w:color w:val="auto"/>
        </w:rPr>
      </w:pPr>
    </w:p>
    <w:p>
      <w:pPr>
        <w:jc w:val="both"/>
        <w:ind w:right="4460" w:firstLine="437"/>
        <w:spacing w:after="0" w:line="236" w:lineRule="auto"/>
        <w:rPr>
          <w:sz w:val="20"/>
          <w:szCs w:val="20"/>
          <w:color w:val="auto"/>
        </w:rPr>
      </w:pPr>
      <w:r>
        <w:rPr>
          <w:rFonts w:ascii="Courier New" w:cs="Courier New" w:eastAsia="Courier New" w:hAnsi="Courier New"/>
          <w:sz w:val="15"/>
          <w:szCs w:val="15"/>
          <w:color w:val="auto"/>
        </w:rPr>
        <w:t>The Financial Institutions Reform, Recovery and Enforcement Act of 1989 ("FIRREA")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1997, the minimum regulatory capital requirements were:</w:t>
      </w:r>
    </w:p>
    <w:p>
      <w:pPr>
        <w:spacing w:after="0" w:line="179" w:lineRule="exact"/>
        <w:rPr>
          <w:sz w:val="20"/>
          <w:szCs w:val="20"/>
          <w:color w:val="auto"/>
        </w:rPr>
      </w:pPr>
    </w:p>
    <w:p>
      <w:pPr>
        <w:jc w:val="both"/>
        <w:ind w:left="440" w:right="4460" w:hanging="430"/>
        <w:spacing w:after="0" w:line="256"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Tangible and core capital of 1.5 percent and 3 percent of total adjusted assets, respectively, consisting principally of stockholders' equity, but excluding most intangible assets, such as goodwill and any net unrealized holding gains or losses on debt securities available for sale.</w:t>
      </w:r>
    </w:p>
    <w:p>
      <w:pPr>
        <w:spacing w:after="0" w:line="164" w:lineRule="exact"/>
        <w:rPr>
          <w:rFonts w:ascii="Courier New" w:cs="Courier New" w:eastAsia="Courier New" w:hAnsi="Courier New"/>
          <w:sz w:val="14"/>
          <w:szCs w:val="14"/>
          <w:color w:val="auto"/>
        </w:rPr>
      </w:pPr>
    </w:p>
    <w:p>
      <w:pPr>
        <w:jc w:val="both"/>
        <w:ind w:left="440" w:right="4460" w:hanging="430"/>
        <w:spacing w:after="0" w:line="235"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Risk-based capital consisting of core capital plus certain subordinated debt and other capital instruments and, subject to certain limitations, general valuation allowances on loans receivable, equal to 8 percent of the value of risk-weighted assets.</w:t>
      </w:r>
    </w:p>
    <w:p>
      <w:pPr>
        <w:spacing w:after="0" w:line="175" w:lineRule="exact"/>
        <w:rPr>
          <w:rFonts w:ascii="Courier New" w:cs="Courier New" w:eastAsia="Courier New" w:hAnsi="Courier New"/>
          <w:sz w:val="15"/>
          <w:szCs w:val="15"/>
          <w:color w:val="auto"/>
        </w:rPr>
      </w:pPr>
    </w:p>
    <w:p>
      <w:pPr>
        <w:jc w:val="both"/>
        <w:ind w:left="440" w:right="4460" w:hanging="430"/>
        <w:spacing w:after="0" w:line="236" w:lineRule="auto"/>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1997, the Bank was "well capitalized" under the prompt corrective action ("PCA") regulations adopted by the OTS pursuant to the Federal Deposit Insurance Corporation Improvement Act of 1991 ("FDICIA"). To be categorized as "well capitalized", the Bank must maintain minimum core capital, Tier 1 risk-based capital and risk-based capital ratios as set forth in the table below. The Bank's capital amounts and classification are subject to review by federal regulators about components, risk-weightings and other factors. There are no conditions or events since December 31, 1997 that management believes have changed the institution's category.</w:t>
      </w:r>
    </w:p>
    <w:p>
      <w:pPr>
        <w:spacing w:after="0" w:line="179" w:lineRule="exact"/>
        <w:rPr>
          <w:sz w:val="20"/>
          <w:szCs w:val="20"/>
          <w:color w:val="auto"/>
        </w:rPr>
      </w:pPr>
    </w:p>
    <w:p>
      <w:pPr>
        <w:ind w:right="4460" w:firstLine="437"/>
        <w:spacing w:after="0" w:line="234" w:lineRule="auto"/>
        <w:rPr>
          <w:sz w:val="20"/>
          <w:szCs w:val="20"/>
          <w:color w:val="auto"/>
        </w:rPr>
      </w:pPr>
      <w:r>
        <w:rPr>
          <w:rFonts w:ascii="Courier New" w:cs="Courier New" w:eastAsia="Courier New" w:hAnsi="Courier New"/>
          <w:sz w:val="15"/>
          <w:szCs w:val="15"/>
          <w:color w:val="auto"/>
        </w:rPr>
        <w:t>The following tables summarize the Bank's actual and required regulatory capital at December 31, 1997 and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To Be</w:t>
            </w: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Well Capitalized</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Agreed Upon</w:t>
            </w:r>
          </w:p>
        </w:tc>
      </w:tr>
      <w:tr>
        <w:trPr>
          <w:trHeight w:val="168"/>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Minimum For Capital For Prompt Corrective</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Capital</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Actual</w:t>
            </w:r>
          </w:p>
        </w:tc>
        <w:tc>
          <w:tcPr>
            <w:tcW w:w="18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Adequacy Purposes</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Action Provisions</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Requirements</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Ratio</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Amount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Ratio</w:t>
            </w:r>
          </w:p>
        </w:tc>
        <w:tc>
          <w:tcPr>
            <w:tcW w:w="2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Amount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Ratio</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Ratio</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 --------</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Stockholders'  equity,  and  ratio  to total  assets.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10.62%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276,277</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loss on certain  available for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securities ...................................</w:t>
            </w:r>
          </w:p>
        </w:tc>
        <w:tc>
          <w:tcPr>
            <w:tcW w:w="10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2,378</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mortgage servicing rights and deferred tax</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10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(1,029)</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Tangible capital, and ratio to adjusted total</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10.66%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277,626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39,060</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 total</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10.66%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277,626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78,120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$ 130,200</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9.00%</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 assets....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10.17%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277,626</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$ 163,837</w:t>
            </w: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and lease losses..................</w:t>
            </w:r>
          </w:p>
        </w:tc>
        <w:tc>
          <w:tcPr>
            <w:tcW w:w="10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27,436</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w:t>
            </w:r>
          </w:p>
        </w:tc>
        <w:tc>
          <w:tcPr>
            <w:tcW w:w="10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100,000</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2 Capital.......................................</w:t>
            </w:r>
          </w:p>
        </w:tc>
        <w:tc>
          <w:tcPr>
            <w:tcW w:w="10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127,436</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 risk-weighted</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14.83%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405,062</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$ 218,449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$ 273,062</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regulatory assets..............................</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$ 2,602,642</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total assets................................</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$ 2,603,991</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Risk-weighted assets.................................</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$ 2,730,616</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60"/>
          </w:cols>
          <w:pgMar w:left="220" w:top="617" w:right="219" w:bottom="1440" w:gutter="0" w:footer="0" w:header="0"/>
        </w:sectPr>
      </w:pPr>
    </w:p>
    <w:bookmarkStart w:id="130" w:name="page131"/>
    <w:bookmarkEnd w:id="130"/>
    <w:p>
      <w:pPr>
        <w:jc w:val="center"/>
        <w:ind w:right="41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0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4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Be Well Capitalized</w:t>
            </w: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Minimum For Capital</w:t>
            </w:r>
          </w:p>
        </w:tc>
        <w:tc>
          <w:tcPr>
            <w:tcW w:w="2140" w:type="dxa"/>
            <w:vAlign w:val="bottom"/>
            <w:gridSpan w:val="3"/>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For Prompt Corrective</w:t>
            </w: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2"/>
              </w:rPr>
              <w:t>Actual</w:t>
            </w:r>
          </w:p>
        </w:tc>
        <w:tc>
          <w:tcPr>
            <w:tcW w:w="198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8"/>
              </w:rPr>
              <w:t>Adequacy Purposes</w:t>
            </w:r>
          </w:p>
        </w:tc>
        <w:tc>
          <w:tcPr>
            <w:tcW w:w="2140" w:type="dxa"/>
            <w:vAlign w:val="bottom"/>
            <w:gridSpan w:val="3"/>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Action Provisions</w:t>
            </w:r>
          </w:p>
        </w:tc>
      </w:tr>
      <w:tr>
        <w:trPr>
          <w:trHeight w:val="168"/>
        </w:trPr>
        <w:tc>
          <w:tcPr>
            <w:tcW w:w="4860" w:type="dxa"/>
            <w:vAlign w:val="bottom"/>
          </w:tcPr>
          <w:p>
            <w:pPr>
              <w:spacing w:after="0"/>
              <w:rPr>
                <w:sz w:val="14"/>
                <w:szCs w:val="14"/>
                <w:color w:val="auto"/>
              </w:rPr>
            </w:pPr>
          </w:p>
        </w:tc>
        <w:tc>
          <w:tcPr>
            <w:tcW w:w="1280" w:type="dxa"/>
            <w:vAlign w:val="bottom"/>
            <w:gridSpan w:val="2"/>
          </w:tcPr>
          <w:p>
            <w:pPr>
              <w:ind w:left="320"/>
              <w:spacing w:after="0"/>
              <w:rPr>
                <w:sz w:val="20"/>
                <w:szCs w:val="20"/>
                <w:color w:val="auto"/>
              </w:rPr>
            </w:pPr>
            <w:r>
              <w:rPr>
                <w:rFonts w:ascii="Courier New" w:cs="Courier New" w:eastAsia="Courier New" w:hAnsi="Courier New"/>
                <w:sz w:val="12"/>
                <w:szCs w:val="12"/>
                <w:color w:val="auto"/>
                <w:w w:val="72"/>
              </w:rPr>
              <w:t>------------------</w:t>
            </w:r>
          </w:p>
        </w:tc>
        <w:tc>
          <w:tcPr>
            <w:tcW w:w="860" w:type="dxa"/>
            <w:vAlign w:val="bottom"/>
          </w:tcPr>
          <w:p>
            <w:pPr>
              <w:spacing w:after="0"/>
              <w:rPr>
                <w:sz w:val="14"/>
                <w:szCs w:val="14"/>
                <w:color w:val="auto"/>
              </w:rPr>
            </w:pPr>
          </w:p>
        </w:tc>
        <w:tc>
          <w:tcPr>
            <w:tcW w:w="19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60" w:type="dxa"/>
            <w:vAlign w:val="bottom"/>
          </w:tcPr>
          <w:p>
            <w:pPr>
              <w:spacing w:after="0"/>
              <w:rPr>
                <w:sz w:val="14"/>
                <w:szCs w:val="14"/>
                <w:color w:val="auto"/>
              </w:rPr>
            </w:pP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Ratio</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Ratio</w:t>
            </w:r>
          </w:p>
        </w:tc>
        <w:tc>
          <w:tcPr>
            <w:tcW w:w="2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Ratio</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4860" w:type="dxa"/>
            <w:vAlign w:val="bottom"/>
          </w:tcPr>
          <w:p>
            <w:pPr>
              <w:spacing w:after="0"/>
              <w:rPr>
                <w:sz w:val="14"/>
                <w:szCs w:val="14"/>
                <w:color w:val="auto"/>
              </w:rPr>
            </w:pP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2"/>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Stockholders' equity, and ratio to total assets......</w:t>
            </w:r>
          </w:p>
        </w:tc>
        <w:tc>
          <w:tcPr>
            <w:tcW w:w="840" w:type="dxa"/>
            <w:vAlign w:val="bottom"/>
          </w:tcPr>
          <w:p>
            <w:pPr>
              <w:ind w:left="320"/>
              <w:spacing w:after="0"/>
              <w:rPr>
                <w:sz w:val="20"/>
                <w:szCs w:val="20"/>
                <w:color w:val="auto"/>
              </w:rPr>
            </w:pPr>
            <w:r>
              <w:rPr>
                <w:rFonts w:ascii="Courier New" w:cs="Courier New" w:eastAsia="Courier New" w:hAnsi="Courier New"/>
                <w:sz w:val="15"/>
                <w:szCs w:val="15"/>
                <w:color w:val="auto"/>
              </w:rPr>
              <w:t>9.49%</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228,153</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gain on certain available for sale</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(3,526)</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mortgage servicing rights.....................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Tangible capital, and ratio to adjusted total assets.</w:t>
            </w: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9.33%</w:t>
            </w: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224,385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36,057</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 total</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9.33%</w:t>
            </w: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224,385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72,114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120,190</w:t>
            </w: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 assets....</w:t>
            </w:r>
          </w:p>
        </w:tc>
        <w:tc>
          <w:tcPr>
            <w:tcW w:w="8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8.47%</w:t>
            </w: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224,385</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159,011</w:t>
            </w: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and lease losses..................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16,057</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100,000</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2 Capital.......................................</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116,057</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 risk-weighted</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 ............................................</w:t>
            </w:r>
          </w:p>
        </w:tc>
        <w:tc>
          <w:tcPr>
            <w:tcW w:w="84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12.85%</w:t>
            </w: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340,442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212,014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265,018</w:t>
            </w: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regulatory assets..............................</w:t>
            </w: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$ 2,405,188</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total assets................................</w:t>
            </w: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$ 2,403,790</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Risk-weighted assets.................................</w:t>
            </w: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$ 2,650,175</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right="4120" w:firstLine="437"/>
        <w:spacing w:after="0" w:line="255" w:lineRule="auto"/>
        <w:rPr>
          <w:sz w:val="20"/>
          <w:szCs w:val="20"/>
          <w:color w:val="auto"/>
        </w:rPr>
      </w:pPr>
      <w:r>
        <w:rPr>
          <w:rFonts w:ascii="Courier New" w:cs="Courier New" w:eastAsia="Courier New" w:hAnsi="Courier New"/>
          <w:sz w:val="14"/>
          <w:szCs w:val="14"/>
          <w:color w:val="auto"/>
        </w:rPr>
        <w:t>The OTS has promulgated a regulation governing capital distributions. The Bank is considered to be a Tier 1 association under this regulation because it met or exceeded its fully phased-in capital requirements at December 31, 1996. A Tier 1 association that before and after a proposed capital distribution meets or exceeds its fully phased-in capital requirements may make capital distributions during any calendar year equal to the greater of (i) 100% of net income for the calendar year to date plus 50% of its "surplus capital ratio" at the beginning of the year or (ii) 75% of its net income over the most recent four-quarter period. In order to make these capital distributions, the Bank must submit written notice to the OTS 30 days in advance of making the distribution.</w:t>
      </w:r>
    </w:p>
    <w:p>
      <w:pPr>
        <w:spacing w:after="0" w:line="165" w:lineRule="exact"/>
        <w:rPr>
          <w:sz w:val="20"/>
          <w:szCs w:val="20"/>
          <w:color w:val="auto"/>
        </w:rPr>
      </w:pPr>
    </w:p>
    <w:p>
      <w:pPr>
        <w:jc w:val="both"/>
        <w:ind w:right="4120" w:firstLine="437"/>
        <w:spacing w:after="0" w:line="236" w:lineRule="auto"/>
        <w:rPr>
          <w:sz w:val="20"/>
          <w:szCs w:val="20"/>
          <w:color w:val="auto"/>
        </w:rPr>
      </w:pPr>
      <w:r>
        <w:rPr>
          <w:rFonts w:ascii="Courier New" w:cs="Courier New" w:eastAsia="Courier New" w:hAnsi="Courier New"/>
          <w:sz w:val="15"/>
          <w:szCs w:val="15"/>
          <w:color w:val="auto"/>
        </w:rPr>
        <w:t>In addition to these OTS regulations governing capital distributions, the indenture governing the Bank's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 (see Note 17).</w:t>
      </w:r>
    </w:p>
    <w:p>
      <w:pPr>
        <w:spacing w:after="0" w:line="176" w:lineRule="exact"/>
        <w:rPr>
          <w:sz w:val="20"/>
          <w:szCs w:val="20"/>
          <w:color w:val="auto"/>
        </w:rPr>
      </w:pPr>
    </w:p>
    <w:p>
      <w:pPr>
        <w:jc w:val="both"/>
        <w:ind w:right="4120" w:firstLine="437"/>
        <w:spacing w:after="0" w:line="237" w:lineRule="auto"/>
        <w:rPr>
          <w:sz w:val="20"/>
          <w:szCs w:val="20"/>
          <w:color w:val="auto"/>
        </w:rPr>
      </w:pPr>
      <w:r>
        <w:rPr>
          <w:rFonts w:ascii="Courier New" w:cs="Courier New" w:eastAsia="Courier New" w:hAnsi="Courier New"/>
          <w:sz w:val="15"/>
          <w:szCs w:val="15"/>
          <w:color w:val="auto"/>
        </w:rPr>
        <w:t>In connection with an examination of the Bank in late 1996 and early 1997, the staff of the OTS expressed concern about many of the Bank's non-traditional operations, which generally are deemed by the OTS to involve higher risk, certain of the Bank's accounting policies and the adequacy of the Bank's capital in light of the Bank's lending and investment strategies. The activities which were of concern to the OTS included the Bank's subprime single family residential lending activities, the Bank's origination of acquisition, development and construction loans with terms which provide for shared participation in the results of the underlying real estate, the Bank's discount loan activities, which involve significantly higher investment in nonperforming and classified assets than the majority of the savings and loan industry, and the Bank's investment in subordinated classes of mortgage-related securities issued in connection with the Bank's asset securitization activities and otherwise.</w:t>
      </w:r>
    </w:p>
    <w:p>
      <w:pPr>
        <w:spacing w:after="0" w:line="174" w:lineRule="exact"/>
        <w:rPr>
          <w:sz w:val="20"/>
          <w:szCs w:val="20"/>
          <w:color w:val="auto"/>
        </w:rPr>
      </w:pPr>
    </w:p>
    <w:p>
      <w:pPr>
        <w:jc w:val="both"/>
        <w:ind w:right="4120" w:firstLine="437"/>
        <w:spacing w:after="0" w:line="255" w:lineRule="auto"/>
        <w:rPr>
          <w:sz w:val="20"/>
          <w:szCs w:val="20"/>
          <w:color w:val="auto"/>
        </w:rPr>
      </w:pPr>
      <w:r>
        <w:rPr>
          <w:rFonts w:ascii="Courier New" w:cs="Courier New" w:eastAsia="Courier New" w:hAnsi="Courier New"/>
          <w:sz w:val="14"/>
          <w:szCs w:val="14"/>
          <w:color w:val="auto"/>
        </w:rPr>
        <w:t>Although the Bank has expressed disagreement with the level of risk perceived by the OTS in its business, the Bank has taken various other actions to address OTS concerns with respect to its risk profile, including the following: (i) the sale to the Company in 1996 of subordinated, participating interests in a total of eleven acquisition, development and construction loans, which interests had an aggregate principal balance of $16,949; (ii) the cessation of originating mortgage loans with profit participation features in the underlying real estate, with the exception of existing commitments, which consisted of commitments for nine loans with an aggregate principal amount of $79,197 at December 31, 1997; (iii) the transfer of its subprime single family residential lending operations and its large multi-family residential and commercial real estate lending operations to OFS and OCC, respectively; (iv) an agreement (a) to discontinue the purchase of subordinate classes of mortgage-related securities created by unaffiliated parties, (b) to sell the five such securities held by it at March 31, 1997 (aggregate book value of $32.0 million), which was completed by a sale to OAIC on May 19, 1997 (at a gain of $2.6 million to the Company), and (c) subject to the requirements of the OTS capital distribution regulation, to dividend to the Company all subordinate</w:t>
      </w:r>
    </w:p>
    <w:p>
      <w:pPr>
        <w:sectPr>
          <w:pgSz w:w="11900" w:h="16838" w:orient="portrait"/>
          <w:cols w:equalWidth="0" w:num="1">
            <w:col w:w="11120"/>
          </w:cols>
          <w:pgMar w:left="220" w:top="617" w:right="559" w:bottom="0" w:gutter="0" w:footer="0" w:header="0"/>
        </w:sectPr>
      </w:pPr>
    </w:p>
    <w:bookmarkStart w:id="131" w:name="page132"/>
    <w:bookmarkEnd w:id="131"/>
    <w:p>
      <w:pPr>
        <w:jc w:val="both"/>
        <w:ind w:right="3239"/>
        <w:spacing w:after="0" w:line="236" w:lineRule="auto"/>
        <w:rPr>
          <w:sz w:val="20"/>
          <w:szCs w:val="20"/>
          <w:color w:val="auto"/>
        </w:rPr>
      </w:pPr>
      <w:r>
        <w:rPr>
          <w:rFonts w:ascii="Courier New" w:cs="Courier New" w:eastAsia="Courier New" w:hAnsi="Courier New"/>
          <w:sz w:val="15"/>
          <w:szCs w:val="15"/>
          <w:color w:val="auto"/>
        </w:rPr>
        <w:t>mortgage-related securities acquired by the Bank in connection with its securitization activities, including two subordinate securities with an aggregate book value of $19.5 million which were dividend to the Company in June 1997 and one subordinate security and one residual security with an aggregate book value of $14.4 million which were dividended to the Company in November 1997; (v) the establishment as of December 31, 1996 of requested write downs of cost basis, which amounted to $7.2 million, against loans and securities resulting from its investment in loans acquired from HUD; (vi) an agreement to employ a senior officer to head its Credit Management Department and to take other steps to improve the effectiveness of</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141" w:right="1440" w:bottom="1440" w:gutter="0" w:footer="0" w:header="0"/>
        </w:sectPr>
      </w:pPr>
    </w:p>
    <w:bookmarkStart w:id="132" w:name="page133"/>
    <w:bookmarkEnd w:id="132"/>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its independent asset review function; and (vii) an agreement to provide the OTS with certain reports on a regular basis. In addition to the foregoing, and based on discussions with the OTS, the Company modified certain of its accounting policies in a manner which will result in more conservative recognition of income. Specifically, the Company (i) ceased accreting into interest income discount on nonperforming residential loans, effective January 1, 1997; (ii) discontinued the capitalization of period expenses to real estate owned, effective January 1, 1997; and (iii) agreed to classify as doubtful for regulatory purposes all real estate owned which are not generating cash flow and which have been held for more than three years. If the new policy on accretion of discount on nonperforming residential loans had been applied in 1996 and 1995, the Company's income from continuing operations before income taxes, as adjusted for related profit sharing expense, would have decreased by approximately $1.4 million and $1.1 million, respectively. If the new policy on capitalization of period expenses on real estate owned had been adopted in 1996 and 1995, the Company's income from continuing operations before income taxes, as adjusted for related profit sharing expense, would have increased by approximately $610,000 in 1996 and would have decreased by approximately $2.3 million during 1995. In light of the foregoing, the Company does not believe that the above-referenced accounting changes had a material effect on the Company's financial condition or results of operations.</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foregoing actions, the Bank also committed to the OTS to maintain a core capital ratio and a total risk-based capital ratio of at least 9% and 13%, respectively, effective June 30, 1997. Although these individual regulatory capital requirements have been agreed to by the OTS, there can be no assurance that in the future the OTS will agree to a decrease in such requirements or will not seek to increase such requirements or will not impose these or other individual regulatory capital requirements in a manner which affects the Bank's status as a "well-capitalized" institution under applicable laws and regulations.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17" w:right="1440" w:bottom="1440" w:gutter="0" w:footer="0" w:header="0"/>
        </w:sectPr>
      </w:pPr>
    </w:p>
    <w:bookmarkStart w:id="133" w:name="page134"/>
    <w:bookmarkEnd w:id="133"/>
    <w:p>
      <w:pPr>
        <w:jc w:val="center"/>
        <w:ind w:right="4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jc w:val="center"/>
        <w:ind w:right="33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25</w:t>
      </w:r>
      <w:r>
        <w:rPr>
          <w:sz w:val="20"/>
          <w:szCs w:val="20"/>
          <w:color w:val="auto"/>
        </w:rPr>
        <w:tab/>
      </w:r>
      <w:r>
        <w:rPr>
          <w:rFonts w:ascii="Courier New" w:cs="Courier New" w:eastAsia="Courier New" w:hAnsi="Courier New"/>
          <w:sz w:val="14"/>
          <w:szCs w:val="14"/>
          <w:color w:val="auto"/>
        </w:rPr>
        <w:t>OTHER EXPENSES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6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600" w:type="dxa"/>
            <w:vAlign w:val="bottom"/>
          </w:tcPr>
          <w:p>
            <w:pPr>
              <w:spacing w:after="0"/>
              <w:rPr>
                <w:sz w:val="14"/>
                <w:szCs w:val="14"/>
                <w:color w:val="auto"/>
              </w:rPr>
            </w:pPr>
          </w:p>
        </w:tc>
        <w:tc>
          <w:tcPr>
            <w:tcW w:w="34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1997</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EXPENSES: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Loan related expenses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7,014</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4,111</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2,383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Professional fees.............................................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2,293</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Travel, lodging, meals and entertainment......................</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2,636</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1,522</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Due diligence costs...........................................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FDIC insurance................................................</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1,593</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2,212</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 of offering costs................................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Marketing.....................................................</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701</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Conferences and seminars......................................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insurance...........................................</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and treasury services..............................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OTS assessment................................................</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Deposit related expenses......................................</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26,771</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12,079</w:t>
            </w:r>
          </w:p>
        </w:tc>
      </w:tr>
      <w:tr>
        <w:trPr>
          <w:trHeight w:val="168"/>
        </w:trPr>
        <w:tc>
          <w:tcPr>
            <w:tcW w:w="560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Included in the 1996 results of operations is a non-recurring expense of $7,140 related to the Federal Deposit Corporation's ("FDIC") assessment to recapitalize the Savings Association Insurance Fund ("SAIF") as a result of federal legislation passed into law on September 30, 1996.</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26</w:t>
      </w:r>
      <w:r>
        <w:rPr>
          <w:sz w:val="20"/>
          <w:szCs w:val="20"/>
          <w:color w:val="auto"/>
        </w:rPr>
        <w:tab/>
      </w:r>
      <w:r>
        <w:rPr>
          <w:rFonts w:ascii="Courier New" w:cs="Courier New" w:eastAsia="Courier New" w:hAnsi="Courier New"/>
          <w:sz w:val="14"/>
          <w:szCs w:val="14"/>
          <w:color w:val="auto"/>
        </w:rPr>
        <w:t>BUSINESS LINE REPORTING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considers itself to be involved in the single business segment of providing financial services and conducts a variety of business activities within this segment. Such activities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Net Interest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Non-Interest</w:t>
            </w:r>
          </w:p>
        </w:tc>
        <w:tc>
          <w:tcPr>
            <w:tcW w:w="220" w:type="dxa"/>
            <w:vAlign w:val="bottom"/>
          </w:tcPr>
          <w:p>
            <w:pPr>
              <w:spacing w:after="0"/>
              <w:rPr>
                <w:sz w:val="14"/>
                <w:szCs w:val="1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Net Income</w:t>
            </w:r>
          </w:p>
        </w:tc>
        <w:tc>
          <w:tcPr>
            <w:tcW w:w="2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Income</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Income (1)</w:t>
            </w:r>
          </w:p>
        </w:tc>
        <w:tc>
          <w:tcPr>
            <w:tcW w:w="2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w:t>
            </w:r>
          </w:p>
        </w:tc>
        <w:tc>
          <w:tcPr>
            <w:tcW w:w="260" w:type="dxa"/>
            <w:vAlign w:val="bottom"/>
          </w:tcPr>
          <w:p>
            <w:pPr>
              <w:spacing w:after="0"/>
              <w:rPr>
                <w:sz w:val="14"/>
                <w:szCs w:val="14"/>
                <w:color w:val="auto"/>
              </w:rPr>
            </w:pP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39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 Loans: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(8,293)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22,384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844,164</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Large Commercial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33,684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20,299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23,476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582,877</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Small Commercial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15,749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5,194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288,029</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Investment in low-income housing tax credits</w:t>
            </w:r>
          </w:p>
        </w:tc>
        <w:tc>
          <w:tcPr>
            <w:tcW w:w="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6,053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9,353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128,614</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Commercial lending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29,152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11,802</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253,496</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Subprime single family lending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17,533</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225,813</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Mortgage loan servicing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26,966</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3,780</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13,411</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Investment securities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12,814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6,902</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5,615</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642,335</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w:t>
            </w:r>
          </w:p>
        </w:tc>
        <w:tc>
          <w:tcPr>
            <w:tcW w:w="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659</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90,426</w:t>
            </w:r>
          </w:p>
        </w:tc>
      </w:tr>
      <w:tr>
        <w:trPr>
          <w:trHeight w:val="168"/>
        </w:trPr>
        <w:tc>
          <w:tcPr>
            <w:tcW w:w="39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147,556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78,932</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$ 3,069,165</w:t>
            </w:r>
          </w:p>
        </w:tc>
      </w:tr>
      <w:tr>
        <w:trPr>
          <w:trHeight w:val="168"/>
        </w:trPr>
        <w:tc>
          <w:tcPr>
            <w:tcW w:w="39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1996:</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 Loans: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Single family residential loans .........</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12,580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650,261</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Large Commercial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14,046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21,745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16,179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516,622</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Small Commercial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283,466</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Investment in low-income housing tax credits</w:t>
            </w:r>
          </w:p>
        </w:tc>
        <w:tc>
          <w:tcPr>
            <w:tcW w:w="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(3,857)</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4,470</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7,269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93,309</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Commercial lending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14,843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3,785</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402,582</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Subprime single family lending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4,787</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6,423</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4,115</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128,878</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Mortgage loan servicing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1,697</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7,495</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2,559</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5,020</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Investment securities ......................</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15,783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(2,244)</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2,226</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342,801</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w:t>
            </w:r>
          </w:p>
        </w:tc>
        <w:tc>
          <w:tcPr>
            <w:tcW w:w="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(7,795)</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4,217</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(2,258)</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60,746</w:t>
            </w:r>
          </w:p>
        </w:tc>
      </w:tr>
      <w:tr>
        <w:trPr>
          <w:trHeight w:val="168"/>
        </w:trPr>
        <w:tc>
          <w:tcPr>
            <w:tcW w:w="39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50,142</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$ 2,483,685</w:t>
            </w:r>
          </w:p>
        </w:tc>
      </w:tr>
      <w:tr>
        <w:trPr>
          <w:trHeight w:val="168"/>
        </w:trPr>
        <w:tc>
          <w:tcPr>
            <w:tcW w:w="39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4460" w:type="dxa"/>
            <w:vAlign w:val="bottom"/>
            <w:gridSpan w:val="4"/>
          </w:tcPr>
          <w:p>
            <w:pPr>
              <w:jc w:val="center"/>
              <w:ind w:left="554"/>
              <w:spacing w:after="0"/>
              <w:rPr>
                <w:sz w:val="20"/>
                <w:szCs w:val="20"/>
                <w:color w:val="auto"/>
              </w:rPr>
            </w:pPr>
            <w:r>
              <w:rPr>
                <w:rFonts w:ascii="Courier New" w:cs="Courier New" w:eastAsia="Courier New" w:hAnsi="Courier New"/>
                <w:sz w:val="15"/>
                <w:szCs w:val="15"/>
                <w:color w:val="auto"/>
                <w:w w:val="96"/>
              </w:rPr>
              <w:t>OCWEN FINANCIAL CORPORATION AND SUBSIDIARIES</w:t>
            </w:r>
          </w:p>
        </w:tc>
      </w:tr>
      <w:tr>
        <w:trPr>
          <w:trHeight w:val="168"/>
        </w:trPr>
        <w:tc>
          <w:tcPr>
            <w:tcW w:w="2980" w:type="dxa"/>
            <w:vAlign w:val="bottom"/>
          </w:tcPr>
          <w:p>
            <w:pPr>
              <w:spacing w:after="0"/>
              <w:rPr>
                <w:sz w:val="14"/>
                <w:szCs w:val="14"/>
                <w:color w:val="auto"/>
              </w:rPr>
            </w:pPr>
          </w:p>
        </w:tc>
        <w:tc>
          <w:tcPr>
            <w:tcW w:w="4460" w:type="dxa"/>
            <w:vAlign w:val="bottom"/>
            <w:gridSpan w:val="4"/>
          </w:tcPr>
          <w:p>
            <w:pPr>
              <w:jc w:val="center"/>
              <w:ind w:left="554"/>
              <w:spacing w:after="0" w:line="168" w:lineRule="exact"/>
              <w:rPr>
                <w:sz w:val="20"/>
                <w:szCs w:val="20"/>
                <w:color w:val="auto"/>
              </w:rPr>
            </w:pPr>
            <w:r>
              <w:rPr>
                <w:rFonts w:ascii="Courier New" w:cs="Courier New" w:eastAsia="Courier New" w:hAnsi="Courier New"/>
                <w:sz w:val="15"/>
                <w:szCs w:val="15"/>
                <w:color w:val="auto"/>
                <w:w w:val="97"/>
              </w:rPr>
              <w:t>NOTES TO CONSOLIDATED FINANCIAL STATEMENTS</w:t>
            </w:r>
          </w:p>
        </w:tc>
      </w:tr>
      <w:tr>
        <w:trPr>
          <w:trHeight w:val="168"/>
        </w:trPr>
        <w:tc>
          <w:tcPr>
            <w:tcW w:w="2980" w:type="dxa"/>
            <w:vAlign w:val="bottom"/>
          </w:tcPr>
          <w:p>
            <w:pPr>
              <w:spacing w:after="0"/>
              <w:rPr>
                <w:sz w:val="14"/>
                <w:szCs w:val="14"/>
                <w:color w:val="auto"/>
              </w:rPr>
            </w:pPr>
          </w:p>
        </w:tc>
        <w:tc>
          <w:tcPr>
            <w:tcW w:w="4460" w:type="dxa"/>
            <w:vAlign w:val="bottom"/>
            <w:gridSpan w:val="4"/>
          </w:tcPr>
          <w:p>
            <w:pPr>
              <w:jc w:val="center"/>
              <w:ind w:left="554"/>
              <w:spacing w:after="0" w:line="168" w:lineRule="exact"/>
              <w:rPr>
                <w:sz w:val="20"/>
                <w:szCs w:val="20"/>
                <w:color w:val="auto"/>
              </w:rPr>
            </w:pPr>
            <w:r>
              <w:rPr>
                <w:rFonts w:ascii="Courier New" w:cs="Courier New" w:eastAsia="Courier New" w:hAnsi="Courier New"/>
                <w:sz w:val="15"/>
                <w:szCs w:val="15"/>
                <w:color w:val="auto"/>
                <w:w w:val="97"/>
              </w:rPr>
              <w:t>DECEMBER 31, 1997, 1996 and 1995</w:t>
            </w:r>
          </w:p>
        </w:tc>
      </w:tr>
      <w:tr>
        <w:trPr>
          <w:trHeight w:val="168"/>
        </w:trPr>
        <w:tc>
          <w:tcPr>
            <w:tcW w:w="2980" w:type="dxa"/>
            <w:vAlign w:val="bottom"/>
          </w:tcPr>
          <w:p>
            <w:pPr>
              <w:spacing w:after="0"/>
              <w:rPr>
                <w:sz w:val="14"/>
                <w:szCs w:val="14"/>
                <w:color w:val="auto"/>
              </w:rPr>
            </w:pPr>
          </w:p>
        </w:tc>
        <w:tc>
          <w:tcPr>
            <w:tcW w:w="44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Discount Loans:</w:t>
            </w: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Single family residential loans</w:t>
            </w:r>
          </w:p>
        </w:tc>
        <w:tc>
          <w:tcPr>
            <w:tcW w:w="2100" w:type="dxa"/>
            <w:vAlign w:val="bottom"/>
          </w:tcPr>
          <w:p>
            <w:pPr>
              <w:jc w:val="right"/>
              <w:ind w:right="194"/>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14,889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2,507</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rPr>
              <w:t>Large Commercial...............................</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12,986</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12,953</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rPr>
              <w:t>Small Commercial...............................</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8,864</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2,436</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Investment in low-income housing tax credits......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(3,549)</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1,923</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Commercial lending................................</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5,839</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Subprime single family lending....................</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2,333</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Mortgage loan servicing...........................</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2,717</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Investment securities.............................</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9,377</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4,708</w:t>
            </w:r>
          </w:p>
        </w:tc>
      </w:tr>
      <w:tr>
        <w:trPr>
          <w:trHeight w:val="168"/>
        </w:trPr>
        <w:tc>
          <w:tcPr>
            <w:tcW w:w="5080" w:type="dxa"/>
            <w:vAlign w:val="bottom"/>
            <w:gridSpan w:val="2"/>
          </w:tcPr>
          <w:p>
            <w:pPr>
              <w:jc w:val="right"/>
              <w:ind w:right="634"/>
              <w:spacing w:after="0" w:line="168" w:lineRule="exact"/>
              <w:rPr>
                <w:sz w:val="20"/>
                <w:szCs w:val="20"/>
                <w:color w:val="auto"/>
              </w:rPr>
            </w:pPr>
            <w:r>
              <w:rPr>
                <w:rFonts w:ascii="Courier New" w:cs="Courier New" w:eastAsia="Courier New" w:hAnsi="Courier New"/>
                <w:sz w:val="15"/>
                <w:szCs w:val="15"/>
                <w:color w:val="auto"/>
                <w:w w:val="96"/>
              </w:rPr>
              <w:t>Other.............................................</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1,202</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3,826</w:t>
            </w:r>
          </w:p>
        </w:tc>
      </w:tr>
      <w:tr>
        <w:trPr>
          <w:trHeight w:val="168"/>
        </w:trPr>
        <w:tc>
          <w:tcPr>
            <w:tcW w:w="2980" w:type="dxa"/>
            <w:vAlign w:val="bottom"/>
          </w:tcPr>
          <w:p>
            <w:pPr>
              <w:spacing w:after="0"/>
              <w:rPr>
                <w:sz w:val="14"/>
                <w:szCs w:val="14"/>
                <w:color w:val="auto"/>
              </w:rPr>
            </w:pPr>
          </w:p>
        </w:tc>
        <w:tc>
          <w:tcPr>
            <w:tcW w:w="3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2100" w:type="dxa"/>
            <w:vAlign w:val="bottom"/>
          </w:tcPr>
          <w:p>
            <w:pPr>
              <w:jc w:val="right"/>
              <w:ind w:right="194"/>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52,133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2980" w:type="dxa"/>
            <w:vAlign w:val="bottom"/>
          </w:tcPr>
          <w:p>
            <w:pPr>
              <w:spacing w:after="0"/>
              <w:rPr>
                <w:sz w:val="14"/>
                <w:szCs w:val="14"/>
                <w:color w:val="auto"/>
              </w:rPr>
            </w:pPr>
          </w:p>
        </w:tc>
        <w:tc>
          <w:tcPr>
            <w:tcW w:w="3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520" w:hanging="430"/>
        <w:spacing w:after="0" w:line="235"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Non-interest income includes $23,688 and $38,320 of equity in earnings of investment in joint venture for the years ended December 31, 1997 and 1996, respectively.</w:t>
      </w:r>
    </w:p>
    <w:p>
      <w:pPr>
        <w:spacing w:after="0" w:line="174" w:lineRule="exact"/>
        <w:rPr>
          <w:sz w:val="20"/>
          <w:szCs w:val="20"/>
          <w:color w:val="auto"/>
        </w:rPr>
      </w:pPr>
    </w:p>
    <w:p>
      <w:pPr>
        <w:jc w:val="both"/>
        <w:ind w:right="520" w:firstLine="437"/>
        <w:spacing w:after="0" w:line="254" w:lineRule="auto"/>
        <w:rPr>
          <w:sz w:val="20"/>
          <w:szCs w:val="20"/>
          <w:color w:val="auto"/>
        </w:rPr>
      </w:pPr>
      <w:r>
        <w:rPr>
          <w:rFonts w:ascii="Courier New" w:cs="Courier New" w:eastAsia="Courier New" w:hAnsi="Courier New"/>
          <w:sz w:val="14"/>
          <w:szCs w:val="14"/>
          <w:color w:val="auto"/>
        </w:rPr>
        <w:t>The Company's discount loan activities include asset acquisition, servicing and resolution of single family residential, large commercial and small commercial loans and the related real estate owned. Investment in low-income housing tax credits includes the Company's investments, primarily through limited partnerships, in qualified low-income rental housing for the purpose of obtaining Federal income tax credits pursuant to Section 42 of the Code. Low-income housing tax credits and benefits of $14,881, $9,330 and $7,709 are included as credits against income tax expense for the years ended December 31, 1997, 1996 and 1995, respectively. Commercial lending includes the Company's origination of multi-family and commercial real estate loans held for investment and the origination and purchase of multi-family residential loans available for sale. Subprime single family lending includes the Company's acquisition and origination of single family residential loans to non-conforming borrowers, which began in late 1994 and which are recorded as available for sale, and the Company's historical loan portfolio of single family residential loans held for investment. Mortgage loan servicing includes the Company's fee-for-services business of providing loan servicing, including asset management and resolution services, to third-party owners of nonperforming, underperforming and subprime assets. Investment securities includes the results of the securities portfolio, whether available for sale, trading or investment, other than REMIC residuals and subordinate interests related to the Company's securitization activities which have been included in the related business activity.</w:t>
      </w:r>
    </w:p>
    <w:p>
      <w:pPr>
        <w:spacing w:after="0" w:line="176" w:lineRule="exact"/>
        <w:rPr>
          <w:sz w:val="20"/>
          <w:szCs w:val="20"/>
          <w:color w:val="auto"/>
        </w:rPr>
      </w:pPr>
    </w:p>
    <w:p>
      <w:pPr>
        <w:jc w:val="both"/>
        <w:ind w:right="520" w:firstLine="437"/>
        <w:spacing w:after="0" w:line="255" w:lineRule="auto"/>
        <w:rPr>
          <w:sz w:val="20"/>
          <w:szCs w:val="20"/>
          <w:color w:val="auto"/>
        </w:rPr>
      </w:pPr>
      <w:r>
        <w:rPr>
          <w:rFonts w:ascii="Courier New" w:cs="Courier New" w:eastAsia="Courier New" w:hAnsi="Courier New"/>
          <w:sz w:val="14"/>
          <w:szCs w:val="14"/>
          <w:color w:val="auto"/>
        </w:rPr>
        <w:t>Interest income and expense have been allocated to each business segment for the investment of funds raised or funding of investments made at an interest rate based upon the Treasury swap yield curve taking into consideration the actual duration of such liabilities or assets. Allocations of non-interest expense generated by corporate support services were made to each business segment based upon management's estimate of time and effort spent in the respective activity. As such, the resulting net income amounts represent estimates of the contribution of each business activity to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 w:type="dxa"/>
            <w:vAlign w:val="bottom"/>
          </w:tcPr>
          <w:p>
            <w:pPr>
              <w:jc w:val="right"/>
              <w:ind w:right="5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4,778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360,742</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9,824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376,823</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4,395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173,114</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3,538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81,362</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256,166</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224,722</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2,263</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410,777</w:t>
            </w:r>
          </w:p>
        </w:tc>
      </w:tr>
      <w:tr>
        <w:trPr>
          <w:trHeight w:val="168"/>
        </w:trPr>
        <w:tc>
          <w:tcPr>
            <w:tcW w:w="20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87,621</w:t>
            </w:r>
          </w:p>
        </w:tc>
      </w:tr>
      <w:tr>
        <w:trPr>
          <w:trHeight w:val="168"/>
        </w:trPr>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0" w:type="dxa"/>
            <w:vAlign w:val="bottom"/>
          </w:tcPr>
          <w:p>
            <w:pPr>
              <w:jc w:val="right"/>
              <w:ind w:right="5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25,467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$ 1,973,590</w:t>
            </w:r>
          </w:p>
        </w:tc>
      </w:tr>
      <w:tr>
        <w:trPr>
          <w:trHeight w:val="168"/>
        </w:trPr>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520" w:space="720"/>
            <w:col w:w="2620"/>
          </w:cols>
          <w:pgMar w:left="220" w:top="953" w:right="819" w:bottom="1440" w:gutter="0" w:footer="0" w:header="0"/>
        </w:sectPr>
      </w:pPr>
    </w:p>
    <w:bookmarkStart w:id="135" w:name="page136"/>
    <w:bookmarkEnd w:id="135"/>
    <w:p>
      <w:pPr>
        <w:jc w:val="center"/>
        <w:ind w:right="323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NOTE 27</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jc w:val="both"/>
        <w:ind w:right="3239" w:firstLine="262"/>
        <w:spacing w:after="0" w:line="235" w:lineRule="auto"/>
        <w:rPr>
          <w:sz w:val="20"/>
          <w:szCs w:val="20"/>
          <w:color w:val="auto"/>
        </w:rPr>
      </w:pPr>
      <w:r>
        <w:rPr>
          <w:rFonts w:ascii="Courier New" w:cs="Courier New" w:eastAsia="Courier New" w:hAnsi="Courier New"/>
          <w:sz w:val="15"/>
          <w:szCs w:val="15"/>
          <w:color w:val="auto"/>
        </w:rPr>
        <w:t>Certain premises are leased under various noncancellable operating leases with terms expiring at various times through 2006, exclusive of renewal option periods. The annual aggregate minimum rental commitments under these leases are summarized as follows:</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3,833</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3,687</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2,954</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2,598</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2,508</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2003-2006................................................</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5,974</w:t>
            </w:r>
          </w:p>
        </w:tc>
      </w:tr>
      <w:tr>
        <w:trPr>
          <w:trHeight w:val="168"/>
        </w:trPr>
        <w:tc>
          <w:tcPr>
            <w:tcW w:w="52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lease payments...................................</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21,554</w:t>
            </w:r>
          </w:p>
        </w:tc>
      </w:tr>
      <w:tr>
        <w:trPr>
          <w:trHeight w:val="168"/>
        </w:trPr>
        <w:tc>
          <w:tcPr>
            <w:tcW w:w="520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Rent expense for the years ended December 31, 1997, 1996 and 1995 was $2,877, $1,563 and $1,601, respectively, which are net of sublease rentals of $0, $0 and $68, respectively.</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At December 31, 1997 the Company was committed to purchase $9,848 of commercial discount loans. The Company also had commitments to originate (i) $29,956 of loans secured by multi-family residential buildings, (ii) $16,798 of mortgage loans secured by office buildings, (iii) $5,125 of loans secured by hotel properties and (iv) $120,368 of loans secured by single family residential buildings. In connection with its 1993 acquisition of Berkeley Federal Savings Bank, the Company has a recourse obligation of $2,720 on single family residential loans sold to the Federal Home Loan Mortgage Corporation ("FHLMC"). The Company, through its investment in subordinated securities and REMIC residuals, which had a carrying value of $97,571 at December 31, 1997, supports senior classes of securities having an outstanding principal balance of $1,905,171.</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At December 31, 1996 the Company was committed to lend up to $5,744 under outstanding unused lines of credit. The Company also had commitments to originate (i) $105,490 of loans secured by multi-family residential buildings</w:t>
      </w:r>
    </w:p>
    <w:p>
      <w:pPr>
        <w:spacing w:after="0" w:line="5" w:lineRule="exact"/>
        <w:rPr>
          <w:sz w:val="20"/>
          <w:szCs w:val="20"/>
          <w:color w:val="auto"/>
        </w:rPr>
      </w:pPr>
    </w:p>
    <w:p>
      <w:pPr>
        <w:jc w:val="both"/>
        <w:ind w:right="3239" w:firstLine="10"/>
        <w:spacing w:after="0" w:line="236" w:lineRule="auto"/>
        <w:tabs>
          <w:tab w:leader="none" w:pos="52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$19,849 of loans secured by office buildings, (iii) $55,949 of loans secured by hotel properties and (iv) $12,840 of loans secured by land. In connection with its acquisition of Berkeley Federal Savings Bank, the Company had a recourse obligation of $3,486 on single family residential loans sold to the Federal Home Loan Mortgage Corporation. The Company, through its investment in subordinated securities which had a carrying value of $76,699 at December 31, 1996, supports senior classes of securities having an outstanding principal balance of $1,453,573.</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is subject to various pending legal proceedings. Management is of the opinion that the resolution of these claims will not have a material effect on the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17" w:right="1440" w:bottom="1440" w:gutter="0" w:footer="0" w:header="0"/>
        </w:sectPr>
      </w:pPr>
    </w:p>
    <w:bookmarkStart w:id="136" w:name="page137"/>
    <w:bookmarkEnd w:id="136"/>
    <w:p>
      <w:pPr>
        <w:jc w:val="center"/>
        <w:ind w:right="32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1996 and 1995</w:t>
      </w:r>
    </w:p>
    <w:p>
      <w:pPr>
        <w:ind w:left="176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NOTE 28</w:t>
            </w:r>
          </w:p>
        </w:tc>
        <w:tc>
          <w:tcPr>
            <w:tcW w:w="41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PARENT COMPANY ONLY FINANCIAL INFORMATION</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CONDENSED STATEMENTS OF FINANCIAL CONDITION:</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$ 62,586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$ 32,348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Securities available for sale, at market value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116,943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13,062</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Investment securities, net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11,115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Investment in bank subsidiary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272,401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221,094</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Investments in non-bank subsidiaries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120,059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29,657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Loan portfolio, net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7,285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12,365</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Discount loan portfolio, net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48,413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Investment in real estate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10,675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Income taxes receivable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13,739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Deferred tax asset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6,636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Other assets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11,063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$680,915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$333,827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LIABILITIES</w:t>
            </w: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7"/>
              </w:rPr>
              <w:t>Notes payable ................................</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$125,000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Securities sold under agreements to repurchase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Deferred tax liability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15,008</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7"/>
              </w:rPr>
              <w:t>Total liabilities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268,083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130,231</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Total stockholders' equity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412,832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203,596</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$680,915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$333,827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CONDENSED STATEMENTS OF OPERATIONS: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w w:val="99"/>
              </w:rPr>
              <w:t>Interest income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$ 10,019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Non-interest income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1,911</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(20,367)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(4,406)</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Non-interest expense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(1,131)</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Loss before income taxes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(14,290)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(3,626)</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Income tax benefit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2,925</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(Loss) income before equity in net income of subsidiaries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(9,207)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Equity in net income of bank subsidiary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88,598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49,186</w:t>
            </w: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24,773</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Equity in net (loss) income of non-bank subsidiaries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$ 78,932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$ 50,142</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$ 25,467</w:t>
            </w:r>
          </w:p>
        </w:tc>
      </w:tr>
      <w:tr>
        <w:trPr>
          <w:trHeight w:val="168"/>
        </w:trPr>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77"/>
              </w:rPr>
              <w:t>68</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7" w:name="page138"/>
    <w:bookmarkEnd w:id="137"/>
    <w:p>
      <w:pPr>
        <w:jc w:val="center"/>
        <w:ind w:right="111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11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1119"/>
        <w:spacing w:after="0" w:line="238" w:lineRule="auto"/>
        <w:rPr>
          <w:sz w:val="20"/>
          <w:szCs w:val="20"/>
          <w:color w:val="auto"/>
        </w:rPr>
      </w:pPr>
      <w:r>
        <w:rPr>
          <w:rFonts w:ascii="Courier New" w:cs="Courier New" w:eastAsia="Courier New" w:hAnsi="Courier New"/>
          <w:sz w:val="15"/>
          <w:szCs w:val="15"/>
          <w:color w:val="auto"/>
        </w:rPr>
        <w:t>DECEMBER 31, 1997, 1996 and 1995</w:t>
      </w:r>
    </w:p>
    <w:tbl>
      <w:tblPr>
        <w:tblLayout w:type="fixed"/>
        <w:tblInd w:w="0" w:type="dxa"/>
        <w:tblCellMar>
          <w:top w:w="0" w:type="dxa"/>
          <w:left w:w="0" w:type="dxa"/>
          <w:bottom w:w="0" w:type="dxa"/>
          <w:right w:w="0" w:type="dxa"/>
        </w:tblCellMar>
      </w:tblPr>
      <w:tr>
        <w:trPr>
          <w:trHeight w:val="168"/>
        </w:trPr>
        <w:tc>
          <w:tcPr>
            <w:tcW w:w="688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5740" w:type="dxa"/>
            <w:vAlign w:val="bottom"/>
          </w:tcPr>
          <w:p>
            <w:pPr>
              <w:spacing w:after="0"/>
              <w:rPr>
                <w:sz w:val="14"/>
                <w:szCs w:val="14"/>
                <w:color w:val="auto"/>
              </w:rPr>
            </w:pPr>
          </w:p>
        </w:tc>
        <w:tc>
          <w:tcPr>
            <w:tcW w:w="32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25,467</w:t>
            </w:r>
          </w:p>
        </w:tc>
      </w:tr>
      <w:tr>
        <w:trPr>
          <w:trHeight w:val="336"/>
        </w:trPr>
        <w:tc>
          <w:tcPr>
            <w:tcW w:w="5740" w:type="dxa"/>
            <w:vAlign w:val="bottom"/>
          </w:tcPr>
          <w:p>
            <w:pPr>
              <w:ind w:left="28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by operating activities: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in income of bank subsidiary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(88,598)</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(49,186)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(24,773)</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in (income) loss of non-bank subsidiaries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Premium amortization,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11,467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deferred tax assets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(6,830)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decrease in other assets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(5,662)</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4,067</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income taxes receivable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(10,003)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accrued expenses,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payables and other liabilities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5,209</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(used) by operating activities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(3,998)</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(9,923)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3,966</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securities available for sale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(146,643)</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(13,125)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Maturities of and principal payments received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on securities available for sale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distributions from (investments in) bank subsidiary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37,291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(49,707)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39,216</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(investments in) distributions from non-bank subsidiaries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(86,599)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(10,450)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sales of securities available for sale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15,574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securities held for investment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(11,115)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discount loans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(48,413)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sales of loans held for investment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real estate held for investment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(9,680)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loans held for investment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(11,845)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(used) by investing activities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(235,241)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(78,884)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28,246</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issuance of notes and debentures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120,738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7,615</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Payment of debt issuance costs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 of notes payable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(8,628)</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Increase in securities sold under agreements to repurchase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Repayments (originations) of loans to executive officers, net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3,832</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 of common stock options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12,993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Issuance of shares of common stock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142,003</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Repurchase of common stock options and common stock .........</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(3,208)</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(42,129)</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(used) by financing activities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269,477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120,127</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(33,094)</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increase (decrease) in cash and cash equivalents ...........</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30,238</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31,320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(882)</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32,348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1,910</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32,348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574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38" w:name="page139"/>
    <w:bookmarkEnd w:id="138"/>
    <w:p>
      <w:pPr>
        <w:jc w:val="center"/>
        <w:ind w:right="-10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10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100"/>
        <w:spacing w:after="0" w:line="238" w:lineRule="auto"/>
        <w:rPr>
          <w:sz w:val="20"/>
          <w:szCs w:val="20"/>
          <w:color w:val="auto"/>
        </w:rPr>
      </w:pPr>
      <w:r>
        <w:rPr>
          <w:rFonts w:ascii="Courier New" w:cs="Courier New" w:eastAsia="Courier New" w:hAnsi="Courier New"/>
          <w:sz w:val="15"/>
          <w:szCs w:val="15"/>
          <w:color w:val="auto"/>
        </w:rPr>
        <w:t>DECEMBER 31, 1997, 1996 and 1995</w:t>
      </w:r>
    </w:p>
    <w:tbl>
      <w:tblPr>
        <w:tblLayout w:type="fixed"/>
        <w:tblInd w:w="0" w:type="dxa"/>
        <w:tblCellMar>
          <w:top w:w="0" w:type="dxa"/>
          <w:left w:w="0" w:type="dxa"/>
          <w:bottom w:w="0" w:type="dxa"/>
          <w:right w:w="0" w:type="dxa"/>
        </w:tblCellMar>
      </w:tblPr>
      <w:tr>
        <w:trPr>
          <w:trHeight w:val="168"/>
        </w:trPr>
        <w:tc>
          <w:tcPr>
            <w:tcW w:w="7660" w:type="dxa"/>
            <w:vAlign w:val="bottom"/>
            <w:gridSpan w:val="5"/>
          </w:tcPr>
          <w:p>
            <w:pPr>
              <w:jc w:val="right"/>
              <w:ind w:right="66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NOTE 29   QUARTERLY RESULTS OF OPERATIONS (UNAUDITED)</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Quarters Ended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5340" w:type="dxa"/>
            <w:vAlign w:val="bottom"/>
            <w:gridSpan w:val="8"/>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1997</w:t>
            </w:r>
          </w:p>
        </w:tc>
        <w:tc>
          <w:tcPr>
            <w:tcW w:w="4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820" w:type="dxa"/>
            <w:vAlign w:val="bottom"/>
          </w:tcPr>
          <w:p>
            <w:pPr>
              <w:spacing w:after="0"/>
              <w:rPr>
                <w:sz w:val="14"/>
                <w:szCs w:val="14"/>
                <w:color w:val="auto"/>
              </w:rPr>
            </w:pP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income ...................................</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$ 73,736</w:t>
            </w:r>
          </w:p>
        </w:tc>
        <w:tc>
          <w:tcPr>
            <w:tcW w:w="1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$ 77,326</w:t>
            </w: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$ 66,942</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$ 54,527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(40,313)</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(39,944)</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(38,868)</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(37,164)</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(10,479)</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(4,088)</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(7,909)</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(9,742)</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loan losses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22,944</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33,294</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20,165</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7,621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43,798</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25,431</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33,289</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21,351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(41,798)</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(31,219)</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(31,080)</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(22,697)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on Company-obligated</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mandatorily redeemable securities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subsidiary trust holding solely junior</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subordinated debentures of the Company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(3,399)</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investment in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joint venture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7,468</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1,301</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14,372</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29,013</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26,202</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23,675</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20,647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(expense) benefit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(6,398)</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(6,179)</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(5,126)</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net loss of</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consolidated subsidiary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$ 22,934</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$ 20,165</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$ 18,792</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$ 17,041</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0.35</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r>
        <w:trPr>
          <w:trHeight w:val="336"/>
        </w:trPr>
        <w:tc>
          <w:tcPr>
            <w:tcW w:w="4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Quarters Ended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20" w:type="dxa"/>
            <w:vAlign w:val="bottom"/>
          </w:tcPr>
          <w:p>
            <w:pPr>
              <w:spacing w:after="0"/>
              <w:rPr>
                <w:sz w:val="14"/>
                <w:szCs w:val="14"/>
                <w:color w:val="auto"/>
              </w:rPr>
            </w:pPr>
          </w:p>
        </w:tc>
        <w:tc>
          <w:tcPr>
            <w:tcW w:w="5340" w:type="dxa"/>
            <w:vAlign w:val="bottom"/>
            <w:gridSpan w:val="8"/>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48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820" w:type="dxa"/>
            <w:vAlign w:val="bottom"/>
          </w:tcPr>
          <w:p>
            <w:pPr>
              <w:spacing w:after="0"/>
              <w:rPr>
                <w:sz w:val="14"/>
                <w:szCs w:val="14"/>
                <w:color w:val="auto"/>
              </w:rPr>
            </w:pP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Interest income ...................................</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$ 50,292</w:t>
            </w:r>
          </w:p>
        </w:tc>
        <w:tc>
          <w:tcPr>
            <w:tcW w:w="1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$ 44,145</w:t>
            </w: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$ 51,501</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$ 47,956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(33,907)</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(27,217)</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(26,904)</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(28,132)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(3,611)</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(4,469)</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(4,963)</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(9,407)</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 provision for</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losses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12,774</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12,459</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19,634</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10,417</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10,795</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15,146</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8,069</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(22,520)</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(21,531)</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(13,871)</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(11,683)</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investment in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joint venture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33,103</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4,139</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1,078</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w:t>
            </w:r>
          </w:p>
        </w:tc>
        <w:tc>
          <w:tcPr>
            <w:tcW w:w="4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34,152</w:t>
            </w:r>
          </w:p>
        </w:tc>
        <w:tc>
          <w:tcPr>
            <w:tcW w:w="4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10,213</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14,910</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(expense) benefit ....................</w:t>
            </w:r>
          </w:p>
        </w:tc>
        <w:tc>
          <w:tcPr>
            <w:tcW w:w="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(9,092)</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(2,913)</w:t>
            </w:r>
          </w:p>
        </w:tc>
        <w:tc>
          <w:tcPr>
            <w:tcW w:w="4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1,003</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$ 25,060</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$ 10,056</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$ 11,997</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3,029</w:t>
            </w:r>
          </w:p>
        </w:tc>
      </w:tr>
      <w:tr>
        <w:trPr>
          <w:trHeight w:val="168"/>
        </w:trPr>
        <w:tc>
          <w:tcPr>
            <w:tcW w:w="482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0.25</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673"/>
        </w:trPr>
        <w:tc>
          <w:tcPr>
            <w:tcW w:w="48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70</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SHAREHOLDER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Company's 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common stock was traded on The NASDAQ Stock Market's National Market ("NASDAQ") from September 25, 1996 until July 31, 1997 under the symbol "OCWN" and has been traded on the New York Stock Exchange ("NYSE") since August 1, 1997 under the symbol "OCN." There was no established market for the common stock prior to September 25, 1996. The following table sets forth for the indicated periods the high and low bid prices (for the period through July 31, 1997) and high and low sales prices (for the period beginning August 1, 1997) for the common stock, as traded on such market and exchange. The share price information below has been retroactively adjusted to reflect the 2-for-1 stock split effective November 20, 1997 to stockholders of record on November 12, 1997.</w:t>
      </w:r>
    </w:p>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High</w:t>
            </w:r>
          </w:p>
        </w:tc>
        <w:tc>
          <w:tcPr>
            <w:tcW w:w="920" w:type="dxa"/>
            <w:vAlign w:val="bottom"/>
          </w:tcPr>
          <w:p>
            <w:pPr>
              <w:spacing w:after="0"/>
              <w:rPr>
                <w:sz w:val="14"/>
                <w:szCs w:val="14"/>
                <w:color w:val="auto"/>
              </w:rPr>
            </w:pP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42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Third quarter (from September 25)...........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9.5000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Fourth 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15.2500</w:t>
            </w:r>
          </w:p>
        </w:tc>
        <w:tc>
          <w:tcPr>
            <w:tcW w:w="92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10.1250</w:t>
            </w:r>
          </w:p>
        </w:tc>
      </w:tr>
      <w:tr>
        <w:trPr>
          <w:trHeight w:val="336"/>
        </w:trPr>
        <w:tc>
          <w:tcPr>
            <w:tcW w:w="420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First 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$ 17.3750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12.6250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Second 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16.4375</w:t>
            </w:r>
          </w:p>
        </w:tc>
        <w:tc>
          <w:tcPr>
            <w:tcW w:w="92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12.7500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Third 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22.6250</w:t>
            </w:r>
          </w:p>
        </w:tc>
        <w:tc>
          <w:tcPr>
            <w:tcW w:w="92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15.7500</w:t>
            </w:r>
          </w:p>
        </w:tc>
      </w:tr>
      <w:tr>
        <w:trPr>
          <w:trHeight w:val="168"/>
        </w:trPr>
        <w:tc>
          <w:tcPr>
            <w:tcW w:w="4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Fourth 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28.8125</w:t>
            </w:r>
          </w:p>
        </w:tc>
        <w:tc>
          <w:tcPr>
            <w:tcW w:w="920" w:type="dxa"/>
            <w:vAlign w:val="bottom"/>
          </w:tcPr>
          <w:p>
            <w:pPr>
              <w:spacing w:after="0"/>
              <w:rPr>
                <w:sz w:val="14"/>
                <w:szCs w:val="14"/>
                <w:color w:val="auto"/>
              </w:rPr>
            </w:pP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21.0000</w:t>
            </w:r>
          </w:p>
        </w:tc>
      </w:tr>
      <w:tr>
        <w:trPr>
          <w:trHeight w:val="673"/>
        </w:trPr>
        <w:tc>
          <w:tcPr>
            <w:tcW w:w="4200" w:type="dxa"/>
            <w:vAlign w:val="bottom"/>
          </w:tcPr>
          <w:p>
            <w:pPr>
              <w:spacing w:after="0"/>
              <w:rPr>
                <w:sz w:val="20"/>
                <w:szCs w:val="20"/>
                <w:color w:val="auto"/>
              </w:rPr>
            </w:pPr>
            <w:r>
              <w:rPr>
                <w:rFonts w:ascii="Courier New" w:cs="Courier New" w:eastAsia="Courier New" w:hAnsi="Courier New"/>
                <w:sz w:val="15"/>
                <w:szCs w:val="15"/>
                <w:color w:val="auto"/>
              </w:rPr>
              <w:t>At the close of business on February 27, 1998,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the Company's</w:t>
            </w:r>
          </w:p>
        </w:tc>
        <w:tc>
          <w:tcPr>
            <w:tcW w:w="200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4"/>
              </w:rPr>
              <w:t>common stock</w:t>
            </w:r>
          </w:p>
        </w:tc>
      </w:tr>
    </w:tbl>
    <w:p>
      <w:pPr>
        <w:spacing w:after="0" w:line="237" w:lineRule="auto"/>
        <w:rPr>
          <w:sz w:val="20"/>
          <w:szCs w:val="20"/>
          <w:color w:val="auto"/>
        </w:rPr>
      </w:pPr>
      <w:r>
        <w:rPr>
          <w:rFonts w:ascii="Courier New" w:cs="Courier New" w:eastAsia="Courier New" w:hAnsi="Courier New"/>
          <w:sz w:val="15"/>
          <w:szCs w:val="15"/>
          <w:color w:val="auto"/>
        </w:rPr>
        <w:t>price was $30.00.</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does not currently pay cash dividends on the common stock and has no current plans to do so in the future. In the future, the timing and amount of dividends, if any, will be determined by the Board of Directors of the Company and will depend, among other factors, upon the Company's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the Company.</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a holding company, the payment of any dividends by the Company will be significantly dependent on dividends and other payments received by the Company from its subsidiaries, including the Bank. For a description of limitations on the ability of the Company to pay dividends on the common stock and on the ability of the Bank to pay dividends on its capital stock to the Company, see Notes 17, 18 and 24 to the Consolidated Financial Statements. The Company has not paid any cash dividends on its common stock in recent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 February 27, 1998, 60,708,520 shares of Company common stock were outstanding and held by approximately 1,431 holders of record. Such number of stockholders does not reflect the number of individuals or institutional investors holding stock in nominee name through banks, brokerage firms and others.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785"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CORPORATE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Ocwen Financial Corporation</w:t>
      </w:r>
    </w:p>
    <w:p>
      <w:pPr>
        <w:spacing w:after="0" w:line="237" w:lineRule="auto"/>
        <w:rPr>
          <w:sz w:val="20"/>
          <w:szCs w:val="20"/>
          <w:color w:val="auto"/>
        </w:rPr>
      </w:pPr>
      <w:r>
        <w:rPr>
          <w:rFonts w:ascii="Courier New" w:cs="Courier New" w:eastAsia="Courier New" w:hAnsi="Courier New"/>
          <w:sz w:val="15"/>
          <w:szCs w:val="15"/>
          <w:color w:val="auto"/>
        </w:rPr>
        <w:t>The Forum, Suite 1000</w:t>
      </w:r>
    </w:p>
    <w:p>
      <w:pPr>
        <w:spacing w:after="0" w:line="238" w:lineRule="auto"/>
        <w:rPr>
          <w:sz w:val="20"/>
          <w:szCs w:val="20"/>
          <w:color w:val="auto"/>
        </w:rPr>
      </w:pPr>
      <w:r>
        <w:rPr>
          <w:rFonts w:ascii="Courier New" w:cs="Courier New" w:eastAsia="Courier New" w:hAnsi="Courier New"/>
          <w:sz w:val="15"/>
          <w:szCs w:val="15"/>
          <w:color w:val="auto"/>
        </w:rPr>
        <w:t>1675 Palm Beach Lakes Blvd.</w:t>
      </w:r>
    </w:p>
    <w:p>
      <w:pPr>
        <w:spacing w:after="0" w:line="237" w:lineRule="auto"/>
        <w:rPr>
          <w:sz w:val="20"/>
          <w:szCs w:val="20"/>
          <w:color w:val="auto"/>
        </w:rPr>
      </w:pPr>
      <w:r>
        <w:rPr>
          <w:rFonts w:ascii="Courier New" w:cs="Courier New" w:eastAsia="Courier New" w:hAnsi="Courier New"/>
          <w:sz w:val="15"/>
          <w:szCs w:val="15"/>
          <w:color w:val="auto"/>
        </w:rPr>
        <w:t>West Palm Beach, Florida 33401</w:t>
      </w:r>
    </w:p>
    <w:p>
      <w:pPr>
        <w:spacing w:after="0" w:line="238" w:lineRule="auto"/>
        <w:rPr>
          <w:sz w:val="20"/>
          <w:szCs w:val="20"/>
          <w:color w:val="auto"/>
        </w:rPr>
      </w:pPr>
      <w:r>
        <w:rPr>
          <w:rFonts w:ascii="Courier New" w:cs="Courier New" w:eastAsia="Courier New" w:hAnsi="Courier New"/>
          <w:sz w:val="15"/>
          <w:szCs w:val="15"/>
          <w:color w:val="auto"/>
        </w:rPr>
        <w:t>(561) 681-8000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Annual Meeting of Ocwen Shareholders will be held on May 13,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1675 Palm Beach Lakes Blvd.</w:t>
      </w:r>
    </w:p>
    <w:p>
      <w:pPr>
        <w:spacing w:after="0" w:line="237" w:lineRule="auto"/>
        <w:rPr>
          <w:sz w:val="20"/>
          <w:szCs w:val="20"/>
          <w:color w:val="auto"/>
        </w:rPr>
      </w:pPr>
      <w:r>
        <w:rPr>
          <w:rFonts w:ascii="Courier New" w:cs="Courier New" w:eastAsia="Courier New" w:hAnsi="Courier New"/>
          <w:sz w:val="15"/>
          <w:szCs w:val="15"/>
          <w:color w:val="auto"/>
        </w:rPr>
        <w:t>West Palm Beach, Florida 33401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investor inquiries may be directed to or copies of Ocwen Form 10-K may be obtained from: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w:t>
      </w:r>
    </w:p>
    <w:p>
      <w:pPr>
        <w:spacing w:after="0" w:line="237" w:lineRule="auto"/>
        <w:rPr>
          <w:sz w:val="20"/>
          <w:szCs w:val="20"/>
          <w:color w:val="auto"/>
        </w:rPr>
      </w:pPr>
      <w:r>
        <w:rPr>
          <w:rFonts w:ascii="Courier New" w:cs="Courier New" w:eastAsia="Courier New" w:hAnsi="Courier New"/>
          <w:sz w:val="15"/>
          <w:szCs w:val="15"/>
          <w:color w:val="auto"/>
        </w:rPr>
        <w:t>Ocwen Financial Corporation</w:t>
      </w:r>
    </w:p>
    <w:p>
      <w:pPr>
        <w:spacing w:after="0" w:line="238" w:lineRule="auto"/>
        <w:rPr>
          <w:sz w:val="20"/>
          <w:szCs w:val="20"/>
          <w:color w:val="auto"/>
        </w:rPr>
      </w:pPr>
      <w:r>
        <w:rPr>
          <w:rFonts w:ascii="Courier New" w:cs="Courier New" w:eastAsia="Courier New" w:hAnsi="Courier New"/>
          <w:sz w:val="15"/>
          <w:szCs w:val="15"/>
          <w:color w:val="auto"/>
        </w:rPr>
        <w:t>The Forum, Suite 1003</w:t>
      </w:r>
    </w:p>
    <w:p>
      <w:pPr>
        <w:spacing w:after="0" w:line="237" w:lineRule="auto"/>
        <w:rPr>
          <w:sz w:val="20"/>
          <w:szCs w:val="20"/>
          <w:color w:val="auto"/>
        </w:rPr>
      </w:pPr>
      <w:r>
        <w:rPr>
          <w:rFonts w:ascii="Courier New" w:cs="Courier New" w:eastAsia="Courier New" w:hAnsi="Courier New"/>
          <w:sz w:val="15"/>
          <w:szCs w:val="15"/>
          <w:color w:val="auto"/>
        </w:rPr>
        <w:t>1675 Palm Beach Lakes Blvd.</w:t>
      </w:r>
    </w:p>
    <w:p>
      <w:pPr>
        <w:spacing w:after="0" w:line="238" w:lineRule="auto"/>
        <w:rPr>
          <w:sz w:val="20"/>
          <w:szCs w:val="20"/>
          <w:color w:val="auto"/>
        </w:rPr>
      </w:pPr>
      <w:r>
        <w:rPr>
          <w:rFonts w:ascii="Courier New" w:cs="Courier New" w:eastAsia="Courier New" w:hAnsi="Courier New"/>
          <w:sz w:val="15"/>
          <w:szCs w:val="15"/>
          <w:color w:val="auto"/>
        </w:rPr>
        <w:t>West Palm Beach, Florida 33401</w:t>
      </w:r>
    </w:p>
    <w:p>
      <w:pPr>
        <w:spacing w:after="0" w:line="237" w:lineRule="auto"/>
        <w:rPr>
          <w:sz w:val="20"/>
          <w:szCs w:val="20"/>
          <w:color w:val="auto"/>
        </w:rPr>
      </w:pPr>
      <w:r>
        <w:rPr>
          <w:rFonts w:ascii="Courier New" w:cs="Courier New" w:eastAsia="Courier New" w:hAnsi="Courier New"/>
          <w:sz w:val="15"/>
          <w:szCs w:val="15"/>
          <w:color w:val="auto"/>
        </w:rPr>
        <w:t>(561) 681-8400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common stock of Ocwen Financial Corporation is listed on the NYSE. Its symbol is "OCN".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Registrar and Transfer Agent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for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37" w:lineRule="auto"/>
        <w:rPr>
          <w:sz w:val="20"/>
          <w:szCs w:val="20"/>
          <w:color w:val="auto"/>
        </w:rPr>
      </w:pPr>
      <w:r>
        <w:rPr>
          <w:rFonts w:ascii="Courier New" w:cs="Courier New" w:eastAsia="Courier New" w:hAnsi="Courier New"/>
          <w:sz w:val="15"/>
          <w:szCs w:val="15"/>
          <w:color w:val="auto"/>
        </w:rPr>
        <w:t>Shareholder Relations Department 11E</w:t>
      </w:r>
    </w:p>
    <w:p>
      <w:pPr>
        <w:spacing w:after="0" w:line="238" w:lineRule="auto"/>
        <w:rPr>
          <w:sz w:val="20"/>
          <w:szCs w:val="20"/>
          <w:color w:val="auto"/>
        </w:rPr>
      </w:pPr>
      <w:r>
        <w:rPr>
          <w:rFonts w:ascii="Courier New" w:cs="Courier New" w:eastAsia="Courier New" w:hAnsi="Courier New"/>
          <w:sz w:val="15"/>
          <w:szCs w:val="15"/>
          <w:color w:val="auto"/>
        </w:rPr>
        <w:t>P.O. Box 11258</w:t>
      </w:r>
    </w:p>
    <w:p>
      <w:pPr>
        <w:spacing w:after="0" w:line="237" w:lineRule="auto"/>
        <w:rPr>
          <w:sz w:val="20"/>
          <w:szCs w:val="20"/>
          <w:color w:val="auto"/>
        </w:rPr>
      </w:pPr>
      <w:r>
        <w:rPr>
          <w:rFonts w:ascii="Courier New" w:cs="Courier New" w:eastAsia="Courier New" w:hAnsi="Courier New"/>
          <w:sz w:val="15"/>
          <w:szCs w:val="15"/>
          <w:color w:val="auto"/>
        </w:rPr>
        <w:t>Church Street Station</w:t>
      </w:r>
    </w:p>
    <w:p>
      <w:pPr>
        <w:spacing w:after="0" w:line="238" w:lineRule="auto"/>
        <w:rPr>
          <w:sz w:val="20"/>
          <w:szCs w:val="20"/>
          <w:color w:val="auto"/>
        </w:rPr>
      </w:pPr>
      <w:r>
        <w:rPr>
          <w:rFonts w:ascii="Courier New" w:cs="Courier New" w:eastAsia="Courier New" w:hAnsi="Courier New"/>
          <w:sz w:val="15"/>
          <w:szCs w:val="15"/>
          <w:color w:val="auto"/>
        </w:rPr>
        <w:t>New York, NY 10286</w:t>
      </w:r>
    </w:p>
    <w:p>
      <w:pPr>
        <w:spacing w:after="0" w:line="237" w:lineRule="auto"/>
        <w:rPr>
          <w:sz w:val="20"/>
          <w:szCs w:val="20"/>
          <w:color w:val="auto"/>
        </w:rPr>
      </w:pPr>
      <w:r>
        <w:rPr>
          <w:rFonts w:ascii="Courier New" w:cs="Courier New" w:eastAsia="Courier New" w:hAnsi="Courier New"/>
          <w:sz w:val="15"/>
          <w:szCs w:val="15"/>
          <w:color w:val="auto"/>
        </w:rPr>
        <w:t>(800) 524-4458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Send certificates for transfer and address change notices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37" w:lineRule="auto"/>
        <w:rPr>
          <w:sz w:val="20"/>
          <w:szCs w:val="20"/>
          <w:color w:val="auto"/>
        </w:rPr>
      </w:pPr>
      <w:r>
        <w:rPr>
          <w:rFonts w:ascii="Courier New" w:cs="Courier New" w:eastAsia="Courier New" w:hAnsi="Courier New"/>
          <w:sz w:val="15"/>
          <w:szCs w:val="15"/>
          <w:color w:val="auto"/>
        </w:rPr>
        <w:t>Receive and Deliver Department 11W</w:t>
      </w:r>
    </w:p>
    <w:p>
      <w:pPr>
        <w:spacing w:after="0" w:line="238" w:lineRule="auto"/>
        <w:rPr>
          <w:sz w:val="20"/>
          <w:szCs w:val="20"/>
          <w:color w:val="auto"/>
        </w:rPr>
      </w:pPr>
      <w:r>
        <w:rPr>
          <w:rFonts w:ascii="Courier New" w:cs="Courier New" w:eastAsia="Courier New" w:hAnsi="Courier New"/>
          <w:sz w:val="15"/>
          <w:szCs w:val="15"/>
          <w:color w:val="auto"/>
        </w:rPr>
        <w:t>P.O. Box 11002</w:t>
      </w:r>
    </w:p>
    <w:p>
      <w:pPr>
        <w:spacing w:after="0" w:line="237" w:lineRule="auto"/>
        <w:rPr>
          <w:sz w:val="20"/>
          <w:szCs w:val="20"/>
          <w:color w:val="auto"/>
        </w:rPr>
      </w:pPr>
      <w:r>
        <w:rPr>
          <w:rFonts w:ascii="Courier New" w:cs="Courier New" w:eastAsia="Courier New" w:hAnsi="Courier New"/>
          <w:sz w:val="15"/>
          <w:szCs w:val="15"/>
          <w:color w:val="auto"/>
        </w:rPr>
        <w:t>Church Street Station</w:t>
      </w:r>
    </w:p>
    <w:p>
      <w:pPr>
        <w:spacing w:after="0" w:line="238" w:lineRule="auto"/>
        <w:rPr>
          <w:sz w:val="20"/>
          <w:szCs w:val="20"/>
          <w:color w:val="auto"/>
        </w:rPr>
      </w:pPr>
      <w:r>
        <w:rPr>
          <w:rFonts w:ascii="Courier New" w:cs="Courier New" w:eastAsia="Courier New" w:hAnsi="Courier New"/>
          <w:sz w:val="15"/>
          <w:szCs w:val="15"/>
          <w:color w:val="auto"/>
        </w:rPr>
        <w:t>New York, NY 10286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785"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NOTES:</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1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NOTES:</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NOTES:</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NOTES:</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1440" w:gutter="0" w:footer="0" w:header="0"/>
        </w:sectPr>
      </w:pPr>
    </w:p>
    <w:bookmarkStart w:id="145" w:name="page146"/>
    <w:bookmarkEnd w:id="145"/>
    <w:p>
      <w:pPr>
        <w:jc w:val="center"/>
        <w:ind w:right="3139"/>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333-44999) of Ocwen Financial Corporation of our report dated January 27, 1998 relating to the consolidated balance sheets of Ocwen Financial Corporation and subsidiaries as of December 31, 1997 and 1996 and the related consolidated statements of earnings, cash flows and shareholders' equity and financial data schedule for each of the years in the three year period ended December 31, 1997, which report is included as Exhibit 13.1 and Exhibits 27.1 through 27.2 (financial data schedules) of Ocwen Financial Corporation's Annual Report on Form 10-K. We further consent to the incorporation by reference in the Registration Statement on Form S-8 (Registration No. 333-44999) of our report dated January 27, 1998 relating to the statement of financial condition of BCBF, L.L.C. as of December 31, 1997 and 1996 and the statements of operations, changes in owners' equity and cash flow for each of the periods March 13, 1996 through December 31, 1996 and January 1, 1997 through December 31, 1997, which report is included as Exhibit 99.0 of Ocwen Financial Corporation's Annual Report on form 10-K.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ind w:left="180" w:hanging="170"/>
        <w:spacing w:after="0" w:line="237" w:lineRule="auto"/>
        <w:tabs>
          <w:tab w:leader="none" w:pos="1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77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PRICE WATERHOUSE LLP Fort Lauderdale, Florida January 27, 1998</w:t>
      </w:r>
    </w:p>
    <w:p>
      <w:pPr>
        <w:sectPr>
          <w:pgSz w:w="11900" w:h="16838" w:orient="portrait"/>
          <w:cols w:equalWidth="0" w:num="1">
            <w:col w:w="10239"/>
          </w:cols>
          <w:pgMar w:left="220" w:top="471" w:right="1440" w:bottom="1440" w:gutter="0" w:footer="0" w:header="0"/>
        </w:sectPr>
      </w:pPr>
    </w:p>
    <w:bookmarkStart w:id="146" w:name="page147"/>
    <w:bookmarkEnd w:id="146"/>
    <w:p>
      <w:pPr>
        <w:jc w:val="right"/>
        <w:ind w:right="3239"/>
        <w:spacing w:after="0"/>
        <w:rPr>
          <w:sz w:val="20"/>
          <w:szCs w:val="20"/>
          <w:color w:val="auto"/>
        </w:rPr>
      </w:pPr>
      <w:r>
        <w:rPr>
          <w:rFonts w:ascii="Courier New" w:cs="Courier New" w:eastAsia="Courier New" w:hAnsi="Courier New"/>
          <w:sz w:val="15"/>
          <w:szCs w:val="15"/>
          <w:color w:val="auto"/>
        </w:rPr>
        <w:t>EXHIBIT 99.0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BCBF, L.L.C.</w:t>
      </w:r>
    </w:p>
    <w:p>
      <w:pPr>
        <w:jc w:val="center"/>
        <w:ind w:right="3239"/>
        <w:spacing w:after="0" w:line="237" w:lineRule="auto"/>
        <w:rPr>
          <w:sz w:val="20"/>
          <w:szCs w:val="20"/>
          <w:color w:val="auto"/>
        </w:rPr>
      </w:pPr>
      <w:r>
        <w:rPr>
          <w:rFonts w:ascii="Courier New" w:cs="Courier New" w:eastAsia="Courier New" w:hAnsi="Courier New"/>
          <w:sz w:val="15"/>
          <w:szCs w:val="15"/>
          <w:color w:val="auto"/>
        </w:rPr>
        <w:t>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 of BCBF, L.L.C.</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our opinion, the accompanying statements of financial condition and the related statements of operations, of changes in owners' equity and of cash flows present fairly, in all material respects, the financial position of BCBF, L.L.C. (the "Company") at December 31, 1997 and 1996, and the results of its operations and its cash flows for the year ended December 31, 1997 and for the period from March 13, 1996 through December 31, 1996, in conformity with generally accepted accounting principles. These financial statements are the responsibility of the Company's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ind w:left="180" w:hanging="170"/>
        <w:spacing w:after="0" w:line="237" w:lineRule="auto"/>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Waterhouse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Lauderdale, Florida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1998</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303" w:right="1440" w:bottom="1440" w:gutter="0" w:footer="0" w:header="0"/>
        </w:sectPr>
      </w:pPr>
    </w:p>
    <w:bookmarkStart w:id="147" w:name="page148"/>
    <w:bookmarkEnd w:id="147"/>
    <w:p>
      <w:pPr>
        <w:jc w:val="center"/>
        <w:ind w:right="3219"/>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STATEMENTS OF FINANCIAL CONDITION</w:t>
      </w:r>
    </w:p>
    <w:tbl>
      <w:tblPr>
        <w:tblLayout w:type="fixed"/>
        <w:tblInd w:w="0" w:type="dxa"/>
        <w:tblCellMar>
          <w:top w:w="0" w:type="dxa"/>
          <w:left w:w="0" w:type="dxa"/>
          <w:bottom w:w="0" w:type="dxa"/>
          <w:right w:w="0" w:type="dxa"/>
        </w:tblCellMar>
      </w:tblPr>
      <w:tr>
        <w:trPr>
          <w:trHeight w:val="169"/>
        </w:trPr>
        <w:tc>
          <w:tcPr>
            <w:tcW w:w="478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780" w:type="dxa"/>
            <w:vAlign w:val="bottom"/>
          </w:tcPr>
          <w:p>
            <w:pPr>
              <w:spacing w:after="0"/>
              <w:rPr>
                <w:sz w:val="14"/>
                <w:szCs w:val="14"/>
                <w:color w:val="auto"/>
              </w:rPr>
            </w:pPr>
          </w:p>
        </w:tc>
        <w:tc>
          <w:tcPr>
            <w:tcW w:w="1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held for sale, at lower of cost or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market value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110,702</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Real estate owned, net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10,526</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$146,833</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Owners' Equity:</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expenses, payables and other liabilities...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Owner's Equity:</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Ocwen Federal Bank FSB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BlackRock Capital Finance L.P.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owners' equity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146,046</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$146,833</w:t>
            </w:r>
          </w:p>
        </w:tc>
      </w:tr>
      <w:tr>
        <w:trPr>
          <w:trHeight w:val="168"/>
        </w:trPr>
        <w:tc>
          <w:tcPr>
            <w:tcW w:w="47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148" w:name="page149"/>
    <w:bookmarkEnd w:id="148"/>
    <w:p>
      <w:pPr>
        <w:jc w:val="center"/>
        <w:ind w:right="3219"/>
        <w:spacing w:after="0"/>
        <w:rPr>
          <w:sz w:val="20"/>
          <w:szCs w:val="20"/>
          <w:color w:val="auto"/>
        </w:rPr>
      </w:pPr>
      <w:r>
        <w:rPr>
          <w:rFonts w:ascii="Courier New" w:cs="Courier New" w:eastAsia="Courier New" w:hAnsi="Courier New"/>
          <w:sz w:val="15"/>
          <w:szCs w:val="15"/>
          <w:color w:val="auto"/>
        </w:rPr>
        <w:t>BCBF, L.L.C.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7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For the Period</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 the Period</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January 1, 1997</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March 13, 1996</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center"/>
              <w:ind w:right="58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620" w:type="dxa"/>
            <w:vAlign w:val="bottom"/>
          </w:tcPr>
          <w:p>
            <w:pPr>
              <w:spacing w:after="0"/>
              <w:rPr>
                <w:sz w:val="14"/>
                <w:szCs w:val="14"/>
                <w:color w:val="auto"/>
              </w:rPr>
            </w:pPr>
          </w:p>
        </w:tc>
        <w:tc>
          <w:tcPr>
            <w:tcW w:w="10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5"/>
              </w:rPr>
              <w:t>Through</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December 31, 1997</w:t>
            </w:r>
          </w:p>
        </w:tc>
        <w:tc>
          <w:tcPr>
            <w:tcW w:w="170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December 31, 1996</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gridSpan w:val="2"/>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w w:val="95"/>
              </w:rPr>
              <w:t>Interest income...................................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8,928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38,647</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(18,503)</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8,928</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20,144</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47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Gain on sale of loans held for sale............</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27,994</w:t>
            </w:r>
          </w:p>
        </w:tc>
        <w:tc>
          <w:tcPr>
            <w:tcW w:w="620" w:type="dxa"/>
            <w:vAlign w:val="bottom"/>
          </w:tcPr>
          <w:p>
            <w:pPr>
              <w:spacing w:after="0"/>
              <w:rPr>
                <w:sz w:val="24"/>
                <w:szCs w:val="2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71,156</w:t>
            </w: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Gain on sale of loan servicing rights..........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Loss on real estate owned, net.................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 fees......................................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27,924</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72,124</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Non-interest expense:</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Loan servicing fees............................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1,850</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5,743</w:t>
            </w:r>
          </w:p>
        </w:tc>
      </w:tr>
      <w:tr>
        <w:trPr>
          <w:trHeight w:val="168"/>
        </w:trPr>
        <w:tc>
          <w:tcPr>
            <w:tcW w:w="47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Other loan expenses............................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1,863</w:t>
            </w:r>
          </w:p>
        </w:tc>
        <w:tc>
          <w:tcPr>
            <w:tcW w:w="6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6,016</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w w:val="94"/>
              </w:rPr>
              <w:t>Net income...................................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34,989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86,252</w:t>
            </w:r>
          </w:p>
        </w:tc>
      </w:tr>
      <w:tr>
        <w:trPr>
          <w:trHeight w:val="168"/>
        </w:trPr>
        <w:tc>
          <w:tcPr>
            <w:tcW w:w="4300" w:type="dxa"/>
            <w:vAlign w:val="bottom"/>
          </w:tcPr>
          <w:p>
            <w:pPr>
              <w:spacing w:after="0"/>
              <w:rPr>
                <w:sz w:val="14"/>
                <w:szCs w:val="14"/>
                <w:color w:val="auto"/>
              </w:rPr>
            </w:pPr>
          </w:p>
        </w:tc>
        <w:tc>
          <w:tcPr>
            <w:tcW w:w="17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149" w:name="page150"/>
    <w:bookmarkEnd w:id="149"/>
    <w:p>
      <w:pPr>
        <w:jc w:val="center"/>
        <w:ind w:right="3220"/>
        <w:spacing w:after="0"/>
        <w:rPr>
          <w:sz w:val="20"/>
          <w:szCs w:val="20"/>
          <w:color w:val="auto"/>
        </w:rPr>
      </w:pPr>
      <w:r>
        <w:rPr>
          <w:rFonts w:ascii="Courier New" w:cs="Courier New" w:eastAsia="Courier New" w:hAnsi="Courier New"/>
          <w:sz w:val="15"/>
          <w:szCs w:val="15"/>
          <w:color w:val="auto"/>
        </w:rPr>
        <w:t>BCBF, L.L.C.</w:t>
      </w:r>
    </w:p>
    <w:p>
      <w:pPr>
        <w:jc w:val="center"/>
        <w:ind w:right="3140"/>
        <w:spacing w:after="0" w:line="237" w:lineRule="auto"/>
        <w:rPr>
          <w:sz w:val="20"/>
          <w:szCs w:val="20"/>
          <w:color w:val="auto"/>
        </w:rPr>
      </w:pPr>
      <w:r>
        <w:rPr>
          <w:rFonts w:ascii="Courier New" w:cs="Courier New" w:eastAsia="Courier New" w:hAnsi="Courier New"/>
          <w:sz w:val="15"/>
          <w:szCs w:val="15"/>
          <w:color w:val="auto"/>
        </w:rPr>
        <w:t>STATEMENTS OF CHANGES IN OWNERS' EQUITY</w:t>
      </w:r>
    </w:p>
    <w:tbl>
      <w:tblPr>
        <w:tblLayout w:type="fixed"/>
        <w:tblInd w:w="0" w:type="dxa"/>
        <w:tblCellMar>
          <w:top w:w="0" w:type="dxa"/>
          <w:left w:w="0" w:type="dxa"/>
          <w:bottom w:w="0" w:type="dxa"/>
          <w:right w:w="0" w:type="dxa"/>
        </w:tblCellMar>
      </w:tblPr>
      <w:tr>
        <w:trPr>
          <w:trHeight w:val="169"/>
        </w:trPr>
        <w:tc>
          <w:tcPr>
            <w:tcW w:w="63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FOR THE PERIOD JANUARY 1, 1997 THROUGH DECEMBER 31, 1997</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AND THE PERIOD MARCH 13, 1996 THROUGH DECEMBER 31, 1996</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Ocwen</w:t>
            </w:r>
          </w:p>
        </w:tc>
        <w:tc>
          <w:tcPr>
            <w:tcW w:w="14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BlackRock</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Federal</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Bank FSB</w:t>
            </w:r>
          </w:p>
        </w:tc>
        <w:tc>
          <w:tcPr>
            <w:tcW w:w="14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Finance L.P.</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Contributions of capital.............................................</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66,204</w:t>
            </w:r>
          </w:p>
        </w:tc>
        <w:tc>
          <w:tcPr>
            <w:tcW w:w="4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66,204</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$ 132,408</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43,126</w:t>
            </w:r>
          </w:p>
        </w:tc>
        <w:tc>
          <w:tcPr>
            <w:tcW w:w="42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43,126</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86,252</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Distributions of cash................................................</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(16,534)</w:t>
            </w:r>
          </w:p>
        </w:tc>
        <w:tc>
          <w:tcPr>
            <w:tcW w:w="4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(16,534)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(33,068)</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Distributions of securities..........................................</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(19,773)</w:t>
            </w:r>
          </w:p>
        </w:tc>
        <w:tc>
          <w:tcPr>
            <w:tcW w:w="4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(19,773)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(39,546)</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3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73,023</w:t>
            </w:r>
          </w:p>
        </w:tc>
        <w:tc>
          <w:tcPr>
            <w:tcW w:w="42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73,023</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146,046</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17,494</w:t>
            </w:r>
          </w:p>
        </w:tc>
        <w:tc>
          <w:tcPr>
            <w:tcW w:w="42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17,495</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34,989</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 of securities...........................................</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(1,989)</w:t>
            </w:r>
          </w:p>
        </w:tc>
        <w:tc>
          <w:tcPr>
            <w:tcW w:w="4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(1,989)</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(3,978)</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Distributions of cash................................................</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(77,576)</w:t>
            </w:r>
          </w:p>
        </w:tc>
        <w:tc>
          <w:tcPr>
            <w:tcW w:w="4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(77,577)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(155,153)</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Liquidating distribution.............................................</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(10,952)</w:t>
            </w:r>
          </w:p>
        </w:tc>
        <w:tc>
          <w:tcPr>
            <w:tcW w:w="42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(10,952)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(21,904)</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40"/>
          </w:cols>
          <w:pgMar w:left="220" w:top="785" w:right="1439" w:bottom="1440" w:gutter="0" w:footer="0" w:header="0"/>
        </w:sectPr>
      </w:pPr>
    </w:p>
    <w:bookmarkStart w:id="150" w:name="page151"/>
    <w:bookmarkEnd w:id="150"/>
    <w:p>
      <w:pPr>
        <w:jc w:val="center"/>
        <w:ind w:right="3219"/>
        <w:spacing w:after="0"/>
        <w:rPr>
          <w:sz w:val="20"/>
          <w:szCs w:val="20"/>
          <w:color w:val="auto"/>
        </w:rPr>
      </w:pPr>
      <w:r>
        <w:rPr>
          <w:rFonts w:ascii="Courier New" w:cs="Courier New" w:eastAsia="Courier New" w:hAnsi="Courier New"/>
          <w:sz w:val="15"/>
          <w:szCs w:val="15"/>
          <w:color w:val="auto"/>
        </w:rPr>
        <w:t>BCBF, L.L.C.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the Period</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the Period</w:t>
            </w:r>
          </w:p>
        </w:tc>
      </w:tr>
      <w:tr>
        <w:trPr>
          <w:trHeight w:val="168"/>
        </w:trPr>
        <w:tc>
          <w:tcPr>
            <w:tcW w:w="5180" w:type="dxa"/>
            <w:vAlign w:val="bottom"/>
          </w:tcPr>
          <w:p>
            <w:pPr>
              <w:spacing w:after="0"/>
              <w:rPr>
                <w:sz w:val="14"/>
                <w:szCs w:val="14"/>
                <w:color w:val="auto"/>
              </w:rPr>
            </w:pPr>
          </w:p>
        </w:tc>
        <w:tc>
          <w:tcPr>
            <w:tcW w:w="1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January 1, 1997</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13, 1996</w:t>
            </w:r>
          </w:p>
        </w:tc>
      </w:tr>
      <w:tr>
        <w:trPr>
          <w:trHeight w:val="168"/>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Through</w:t>
            </w:r>
          </w:p>
        </w:tc>
      </w:tr>
      <w:tr>
        <w:trPr>
          <w:trHeight w:val="168"/>
        </w:trPr>
        <w:tc>
          <w:tcPr>
            <w:tcW w:w="5180" w:type="dxa"/>
            <w:vAlign w:val="bottom"/>
          </w:tcPr>
          <w:p>
            <w:pPr>
              <w:spacing w:after="0"/>
              <w:rPr>
                <w:sz w:val="14"/>
                <w:szCs w:val="14"/>
                <w:color w:val="auto"/>
              </w:rPr>
            </w:pP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December 31, 1997 December 31, 1996</w:t>
            </w:r>
          </w:p>
        </w:tc>
      </w:tr>
      <w:tr>
        <w:trPr>
          <w:trHeight w:val="168"/>
        </w:trPr>
        <w:tc>
          <w:tcPr>
            <w:tcW w:w="5180" w:type="dxa"/>
            <w:vAlign w:val="bottom"/>
          </w:tcPr>
          <w:p>
            <w:pPr>
              <w:spacing w:after="0"/>
              <w:rPr>
                <w:sz w:val="14"/>
                <w:szCs w:val="14"/>
                <w:color w:val="auto"/>
              </w:rPr>
            </w:pP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Net income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34,989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86,252</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by (used) in operating activities: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losses on real estate owned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1,110</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on sale of loans held for sale ..................</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(27,994)</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(71,156)</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on sale of real estate owned ....................</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(6,619)</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on sale of loan servicing rights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 of loans held for sale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(626,400)</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 of loans held for sale, net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89,044</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466,806</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Principal repayments on loans held for sale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3,478</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42,210</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 of real estate owned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57,359</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4,364</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 of loan servicing rights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 (increase) in other assets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4,563</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(2,054)</w:t>
            </w:r>
          </w:p>
        </w:tc>
      </w:tr>
      <w:tr>
        <w:trPr>
          <w:trHeight w:val="168"/>
        </w:trPr>
        <w:tc>
          <w:tcPr>
            <w:tcW w:w="5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(Decrease) increase in accrued expenses, payables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other liabilities ...............................</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(787)</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cash provided (used) in operating activities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155,143</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(99,330)</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note payable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473,042</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 of note payable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(473,042)</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capital contributions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132,408</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Distributions of capital ..............................</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(155,153)</w:t>
            </w:r>
          </w:p>
        </w:tc>
        <w:tc>
          <w:tcPr>
            <w:tcW w:w="4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(33,068)</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cash (used) provided by financing activities ..........</w:t>
            </w:r>
          </w:p>
        </w:tc>
        <w:tc>
          <w:tcPr>
            <w:tcW w:w="34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(155,153)</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99,340</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w w:val="97"/>
              </w:rPr>
              <w:t>Net (decrease) increase in cash and cash equivalents ......</w:t>
            </w:r>
          </w:p>
        </w:tc>
        <w:tc>
          <w:tcPr>
            <w:tcW w:w="34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and cash equivalents at beginning of period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and cash equivalents at end of period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180" w:type="dxa"/>
            <w:vAlign w:val="bottom"/>
          </w:tcPr>
          <w:p>
            <w:pPr>
              <w:jc w:val="right"/>
              <w:ind w:right="2127"/>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(18,503)</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Exchange of loans for mortgage-backed securities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60,593</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$ 394,234</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Real estate owned acquired through foreclosure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37,059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29,820</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Distribution of securities to Partners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(3,978)</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(39,546)</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Liquidating distribution of non-cash assets to Partners</w:t>
            </w:r>
          </w:p>
        </w:tc>
        <w:tc>
          <w:tcPr>
            <w:tcW w:w="15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(21,904)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151" w:name="page152"/>
    <w:bookmarkEnd w:id="151"/>
    <w:p>
      <w:pPr>
        <w:ind w:left="298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BCBF, L.L.C. (the "LLC") is a limited liability company formed on March 13, 1996 between Ocwen Federal Bank FSB ("Ocwen") and BlackRock Capital Finance L.P. ("BlackRock"), or collectively, the "Partners". The Partners each have a 50% interest in the LLC and share equally in net income or loss.</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On March 22, 1996, the LLC was notified by the Department of Housing and Urban Development ("HUD") that it was the successful bidder to purchase 16,196 single-family residential loans offered by HUD at an auction (the "HUD Loans"). On April 10, 1996 the LLC consummated the acquisition of the HUD Loans, which had an aggregate unpaid principal balance of $741,176 for a purchase price of $626,400. The purchase was financed by $117,647 in equity contributions, $35,711 of proceeds from the LLC's concurrent sale of 1,631 HUD Loans and the proceeds from a $473,042 note payable from an unaffiliated party. No significant activity occurred prior to April 10, 1996.</w:t>
      </w:r>
    </w:p>
    <w:p>
      <w:pPr>
        <w:spacing w:after="0" w:line="178"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On December 12, 1997, the LLC distributed all of its assets to Ocwen and BlackRock. No significant activity occurred subsequent to this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For purposes of reporting cash flows, cash and cash equivalents include cash on hand, interest and non-interest bearing deposits and all highly liquid debt instruments purchased with an original maturity of three months or less.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HUD LOANS HELD FOR SALE</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The HUD Loans purchased by the LLC were designated as held for sale because it was the LLC's intent to securitize and sell the majority of these loans. Loans held for sale are carried at the lower of aggregate cost or market value. Market value is determined based upon current market yields at which recent pools of similar mortgages have been traded. There was no allowance for market value losses on loans held for sale at December 31, 1996.</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All of the HUD Loans were secured by first mortgage liens on single-family residences. The HUD Loans were acquired by HUD pursuant to various assignment programs of the Federal Housing Authority ("FHA"). Under programs of the FHA, a lending institution may assign an FHA-insured loan to HUD because of an economic hardship on the part of the borrower which precludes the borrower from making the scheduled principal and interest payments on the loan. FHA-insured loans are also automatically assigned to HUD upon the 20th anniversary of the mortgage loan. In most cases, loans assigned to HUD after this 20 year period are performing under the original terms of the loan. Once a loan is assigned to HUD, the FHA insurance has been paid and the loan is no longer insured. As a result, none of the HUD Loans were insured by the FHA.</w:t>
      </w:r>
    </w:p>
    <w:p>
      <w:pPr>
        <w:spacing w:after="0" w:line="180"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HUD Loans were purchased by the LLC at a substantial discount to the unpaid principal balance of the loans as many of the HUD Loans were not performing in accordance with the original terms of the loans or an applicable forbearance agreement. The cost of acquiring the pool of loans was allocated to each individual loan within the pool based on the LLC's pricing methodology. Loans are considered performing if they are less than 90 days past due based on the original terms of the mortgage loan. Interest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52" w:name="page153"/>
    <w:bookmarkEnd w:id="152"/>
    <w:p>
      <w:pPr>
        <w:ind w:left="290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income on performing loans is recognized on the accrual method. Interest income on all other loans is recognized on a cash basis due to the uncertainty of collection. Gains and losses on the repayment and the discharging of loans are also reported as part of interest income. In situations where the collateral is foreclosed upon, the loans are transferred to real estate owned upon receipt of title to the property.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Properties acquired through foreclosure or deed-in-lieu of foreclosure were valued at the lower of the adjusted basis of the loan or fair value less estimated costs of disposal of the property at the date of foreclosure. Properties held are periodically re-evaluated to determine that they are being carried at the lower of cost or fair value less estimated costs to dispose. All of the LLC's real estate owned was held for sale. Gains and losses on the sale of REO are recognized with the passage of title and all risks of ownership to the buyer. Rental income related to properties is reported as income as earned. Holding and maintenance costs related to properties are reported as period costs as incurred. No depreciation expense related to foreclosed real estate held for sale is recorded. Decreases in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 Additional valuation allowances are also established for the inherent risks in the real estate owned portfolio which have yet to be specifically identified.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Because the LLC is a pass-through entity for federal income tax purposes, provisions for income taxes are established by each of the Partners and not the LLC.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the reported amount of revenues and expenses during the reporting period. Actual results could differ from those estimates.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ADOPTION OF RECENTLY ISSUED ACCOUNTING STANDARDS</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On January 1, 1997, the Company adopted Statement of Financial Accounting Standards ("SFAS") No. 125, "Accounting for Transfers and Servicing of Financial Assets and Extinguishments of Liabilities." SFAS No. 125 (i) sets forth the criteria for (a) determining when to recognize financial and servicing assets and liabilities; and (b) accounting for transfers of financial assets as sales or borrowings; and (ii) requires (a) liabilities and derivatives related to a transfer of financial assets to be recorded at fair value; (b) servicing assets and retained interests in transferred assets carrying amounts be determined by allocating carrying amounts based on fair value; (c) amortization of servicing assets and liabilities be in proportion to net servicing income;</w:t>
      </w:r>
    </w:p>
    <w:p>
      <w:pPr>
        <w:spacing w:after="0" w:line="3" w:lineRule="exact"/>
        <w:rPr>
          <w:sz w:val="20"/>
          <w:szCs w:val="20"/>
          <w:color w:val="auto"/>
        </w:rPr>
      </w:pPr>
    </w:p>
    <w:p>
      <w:pPr>
        <w:jc w:val="both"/>
        <w:ind w:right="3239" w:firstLine="10"/>
        <w:spacing w:after="0" w:line="255" w:lineRule="auto"/>
        <w:tabs>
          <w:tab w:leader="none" w:pos="35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measurement based on fair value; and (e) pledged financial assets to be classified as collateral. SFAS No. 125 provides implementation guidance for assessing isolation of transferred assets and for accounting for transfers of partial interests, servicing of financial assets, securitizations, transfers of sales-type and direct financing lease receivables, securities lending transactions, repurchase agreements including "dollar rolls", "wash sales", loan syndications and participations, risk participations in banker's acceptances, factoring arrangements, transfers of receivables with recourse and extinguishments of liabilities. In December 1996, the FASB issued SFAS No. 127, "Deferral of the Effective Date of FASB Statement No. 125", which delayed implementation of certain provisions of SFAS No. 125.</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53" w:name="page154"/>
    <w:bookmarkEnd w:id="153"/>
    <w:p>
      <w:pPr>
        <w:ind w:left="290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Substantially all of the LLC's assets at December 31, 1996 were considered financial instruments. The LLC had no assets or liabilities at December 31, 1997. For loans held for sale, fair values are not readily available since there are no available trading markets as characterized by current exchanges between willing parties. Accordingly, fair values can only be derived or estimated using various valuation techniques, such as computing the present value of the estimated cash flows using discount rates commensurate with the risks involved. However, the determination of estimated future cash flows is inherently subjective and imprecise.</w:t>
      </w:r>
    </w:p>
    <w:p>
      <w:pPr>
        <w:spacing w:after="0" w:line="178"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1996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LLC's future business activities. In other words, they do not represent the LLC's value as a going concern. Furthermore, the differences between the carrying amounts and the fair values presented may not be realized.</w:t>
      </w:r>
    </w:p>
    <w:p>
      <w:pPr>
        <w:spacing w:after="0" w:line="178"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values. Therefore, while disclosure of estimated fair values of financial instruments is required, readers are cautioned in using this data for purposes of evaluating the financial condition of the LLC.</w:t>
      </w:r>
    </w:p>
    <w:p>
      <w:pPr>
        <w:spacing w:after="0" w:line="166" w:lineRule="exact"/>
        <w:rPr>
          <w:sz w:val="20"/>
          <w:szCs w:val="20"/>
          <w:color w:val="auto"/>
        </w:rPr>
      </w:pPr>
    </w:p>
    <w:p>
      <w:pPr>
        <w:jc w:val="both"/>
        <w:ind w:right="3239" w:firstLine="787"/>
        <w:spacing w:after="0" w:line="261"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HELD FOR SALE</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HUD Loans, which were designated held for sale, have been valued at their carrying amount which approximates fair value given that the assumptions used to value such loans at their date of purchase have remained relatively constant.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Real estate owned, although not a financial instrument, is an integral part of the LLC's loan business. The fair value of real estate owned was estimated based upon appraisals, broker price opinions and other standard industry valuation methods, less anticipated selling costs.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154" w:name="page155"/>
    <w:bookmarkEnd w:id="154"/>
    <w:p>
      <w:pPr>
        <w:ind w:left="290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42"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As mentioned above, on December 12, 1997, the LLC distributed all of its assets to Ocwen and BlackRock. The carrying amounts and the estimated fair values of the LLC's financial instruments and real estate owned at December 31, 1996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CARRYING AMOUNT</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FAIR VALUE</w:t>
            </w:r>
          </w:p>
        </w:tc>
      </w:tr>
      <w:tr>
        <w:trPr>
          <w:trHeight w:val="168"/>
        </w:trPr>
        <w:tc>
          <w:tcPr>
            <w:tcW w:w="39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ASSETS: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held for sale....................</w:t>
            </w:r>
          </w:p>
        </w:tc>
        <w:tc>
          <w:tcPr>
            <w:tcW w:w="7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110,702</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110,702</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 estate owned, net.................</w:t>
            </w:r>
          </w:p>
        </w:tc>
        <w:tc>
          <w:tcPr>
            <w:tcW w:w="7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25,595</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31,738</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HUD LOAN PORTFOLIO</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The LLC acquired the HUD Loans through an auction at a discount with the intent of securitizing and selling the majority of the loans. Because many of the mortgage loan borrowers were either not current as to principal and interest payments or there was doubt as to their ability to pay in full the contractual principal and interest, the LLC estimated the amounts expected to be realized through foreclosure, collection efforts or other resolution of each HUD loan and the length of time required to complete the collection process in determining the amount it bid to acquire the HUD Loans.</w:t>
      </w:r>
    </w:p>
    <w:p>
      <w:pPr>
        <w:spacing w:after="0" w:line="177"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At December 31, 1997, the LLC had no loans outstanding, having previously distributed all assets to its Partners. At December 31, 1996 the LLC's HUD Loan portfolio, which was designated held for sale,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w w:val="95"/>
              </w:rPr>
              <w:t>Unpaid principal balance...................................</w:t>
            </w:r>
          </w:p>
        </w:tc>
        <w:tc>
          <w:tcPr>
            <w:tcW w:w="700" w:type="dxa"/>
            <w:vAlign w:val="bottom"/>
          </w:tcPr>
          <w:p>
            <w:pPr>
              <w:spacing w:after="0"/>
              <w:rPr>
                <w:sz w:val="14"/>
                <w:szCs w:val="14"/>
                <w:color w:val="auto"/>
              </w:rPr>
            </w:pP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159,405</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Discount...................................................</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(48,703)</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110,702</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The  following  table sets forth  information</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relating</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to the payment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status of the HUD Loans at December 31, 1996:</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 of HUD</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without Forbearance Agreements: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6,709</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31 to 90 days...........................</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3,011</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84,509</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53.02</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94,229</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59.12</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with Forbearance Agreements: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4,867</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31 to 90 days...........................</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5,168</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55,141</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34.59</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65,176</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40.88</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159,405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49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3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55" w:name="page156"/>
    <w:bookmarkEnd w:id="155"/>
    <w:p>
      <w:pPr>
        <w:ind w:left="298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3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42"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Forbearance agreements are agreements entered into by HUD or the LLC with the borrower for the repayment of delinquent payments over a period and for forbearance from foreclosure during the term for such agreement. HUD forbearance agreements are generally twelve months in duration and the borrower may be granted up to a maximum of three consecutive twelve month plans. Under the terms of the contract governing the sale of the HUD Loans, the LLC and Ocwen, as the servicer of the loans, are obligated to comply with the terms of the HUD forbearance agreements, which may be written or oral in nature, until the term of the forbearance agreement expires or there is a default under the forbearance agreement.</w:t>
      </w:r>
    </w:p>
    <w:p>
      <w:pPr>
        <w:spacing w:after="0" w:line="179"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HUD loans at December 31, 1996 were geographically located throughout the United States and Puerto Rico. The following table sets forth the five states in which the largest amount of properties securing the LLC's discounted loans were located at December 31, 1996:</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Texas.................................................</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30,382</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California............................................</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26,596</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Connecticut...........................................</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11,729</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Maryland..............................................</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9,487</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Colorado..............................................</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9,018</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Other ................................................</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72,193</w:t>
            </w:r>
          </w:p>
        </w:tc>
      </w:tr>
      <w:tr>
        <w:trPr>
          <w:trHeight w:val="168"/>
        </w:trPr>
        <w:tc>
          <w:tcPr>
            <w:tcW w:w="50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Total................................................</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159,405</w:t>
            </w:r>
          </w:p>
        </w:tc>
      </w:tr>
      <w:tr>
        <w:trPr>
          <w:trHeight w:val="168"/>
        </w:trPr>
        <w:tc>
          <w:tcPr>
            <w:tcW w:w="50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MORTGAGE LOAN SALES AND SECURITIZATION OF MORTGAGE LOANS</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In March 1997, as part of a larger transaction involving Ocwen and an affiliate of BlackRock, the LLC securitized 1,196 loans with an unpaid principal balance of $51,714, past due interest of $14,209 and a net book value of $40,454. Net proceeds from the sale of the related securities amounted to</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$58,866. In December 1997, as part of a larger transaction involving Ocwen and BlackRock, the LLC securitized 534 loans with an unpaid principal balance of $26,644, past due interest of $8,303 and a net book value of $20,139. Net proceeds from the sale of the related securities amounted to $30,178.</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April 1996, the LLC sold 1,631 loans with an unpaid principal balance of $61,885 and a net book value of $34,388 for $35,711 resulting in a gain on sale of loans of $1,323.</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In October 1996, the LLC securitized 9,825 loans with an unpaid principal balance of $419,382 and a net book value of $394,234. Certain of the mortgage related securities created from the securitization were sold in October 1996 for $431,095, resulting in a gain of $69,833 which includes a gain of $12,863 on the sale of $79,411 of securities directly to Ocwen. Certain other mortgage related securities created from the securitization were distributed to the Partners at their allocated book values which amounted to $39,546.</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REAL ESTATE OWNED</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Real estate owned, net of valuation allowances, is held for sale. At December 31, 1997, the LLC held no real estate owned, having previously distributed all assets to its Partners. At December 31, 1996, the LLC's real estate owned portfolio, acquired through foreclosure or deed-in-lieu of foreclosure,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Single-family residential</w:t>
            </w:r>
          </w:p>
        </w:tc>
        <w:tc>
          <w:tcPr>
            <w:tcW w:w="35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26,106</w:t>
            </w:r>
          </w:p>
        </w:tc>
      </w:tr>
      <w:tr>
        <w:trPr>
          <w:trHeight w:val="168"/>
        </w:trPr>
        <w:tc>
          <w:tcPr>
            <w:tcW w:w="5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2200" w:type="dxa"/>
            <w:vAlign w:val="bottom"/>
          </w:tcPr>
          <w:p>
            <w:pPr>
              <w:spacing w:after="0"/>
              <w:rPr>
                <w:sz w:val="14"/>
                <w:szCs w:val="14"/>
                <w:color w:val="auto"/>
              </w:rPr>
            </w:pPr>
          </w:p>
        </w:tc>
        <w:tc>
          <w:tcPr>
            <w:tcW w:w="4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Real estate owned, net</w:t>
            </w:r>
          </w:p>
        </w:tc>
        <w:tc>
          <w:tcPr>
            <w:tcW w:w="3540" w:type="dxa"/>
            <w:vAlign w:val="bottom"/>
          </w:tcPr>
          <w:p>
            <w:pPr>
              <w:jc w:val="right"/>
              <w:ind w:right="243"/>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2200" w:type="dxa"/>
            <w:vAlign w:val="bottom"/>
          </w:tcPr>
          <w:p>
            <w:pPr>
              <w:spacing w:after="0"/>
              <w:rPr>
                <w:sz w:val="14"/>
                <w:szCs w:val="14"/>
                <w:color w:val="auto"/>
              </w:rPr>
            </w:pPr>
          </w:p>
        </w:tc>
        <w:tc>
          <w:tcPr>
            <w:tcW w:w="4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0" w:type="dxa"/>
            <w:vAlign w:val="bottom"/>
          </w:tcPr>
          <w:p>
            <w:pPr>
              <w:spacing w:after="0"/>
              <w:rPr>
                <w:sz w:val="24"/>
                <w:szCs w:val="24"/>
                <w:color w:val="auto"/>
              </w:rPr>
            </w:pPr>
          </w:p>
        </w:tc>
        <w:tc>
          <w:tcPr>
            <w:tcW w:w="3540" w:type="dxa"/>
            <w:vAlign w:val="bottom"/>
          </w:tcPr>
          <w:p>
            <w:pPr>
              <w:jc w:val="right"/>
              <w:ind w:right="2083"/>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6" w:name="page157"/>
    <w:bookmarkEnd w:id="156"/>
    <w:p>
      <w:pPr>
        <w:ind w:left="2980"/>
        <w:spacing w:after="0"/>
        <w:rPr>
          <w:sz w:val="20"/>
          <w:szCs w:val="20"/>
          <w:color w:val="auto"/>
        </w:rPr>
      </w:pPr>
      <w:r>
        <w:rPr>
          <w:rFonts w:ascii="Courier New" w:cs="Courier New" w:eastAsia="Courier New" w:hAnsi="Courier New"/>
          <w:sz w:val="15"/>
          <w:szCs w:val="15"/>
          <w:color w:val="auto"/>
        </w:rPr>
        <w:t>BCBF, L.L.C.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321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42"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The following schedule presents the activity in the valuation allowance on real estate owned for the indicated periods: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92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For the Period</w:t>
            </w:r>
          </w:p>
        </w:tc>
        <w:tc>
          <w:tcPr>
            <w:tcW w:w="1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For the Period</w:t>
            </w:r>
          </w:p>
        </w:tc>
      </w:tr>
      <w:tr>
        <w:trPr>
          <w:trHeight w:val="168"/>
        </w:trPr>
        <w:tc>
          <w:tcPr>
            <w:tcW w:w="5340" w:type="dxa"/>
            <w:vAlign w:val="bottom"/>
          </w:tcPr>
          <w:p>
            <w:pPr>
              <w:spacing w:after="0"/>
              <w:rPr>
                <w:sz w:val="14"/>
                <w:szCs w:val="14"/>
                <w:color w:val="auto"/>
              </w:rPr>
            </w:pPr>
          </w:p>
        </w:tc>
        <w:tc>
          <w:tcPr>
            <w:tcW w:w="19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January 1, 1997</w:t>
            </w:r>
          </w:p>
        </w:tc>
        <w:tc>
          <w:tcPr>
            <w:tcW w:w="17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March 13, 1996</w:t>
            </w:r>
          </w:p>
        </w:tc>
      </w:tr>
      <w:tr>
        <w:trPr>
          <w:trHeight w:val="168"/>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620" w:type="dxa"/>
            <w:vAlign w:val="bottom"/>
          </w:tcPr>
          <w:p>
            <w:pPr>
              <w:spacing w:after="0"/>
              <w:rPr>
                <w:sz w:val="14"/>
                <w:szCs w:val="14"/>
                <w:color w:val="auto"/>
              </w:rPr>
            </w:pPr>
          </w:p>
        </w:tc>
        <w:tc>
          <w:tcPr>
            <w:tcW w:w="11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through</w:t>
            </w:r>
          </w:p>
        </w:tc>
      </w:tr>
      <w:tr>
        <w:trPr>
          <w:trHeight w:val="168"/>
        </w:trPr>
        <w:tc>
          <w:tcPr>
            <w:tcW w:w="5340" w:type="dxa"/>
            <w:vAlign w:val="bottom"/>
          </w:tcPr>
          <w:p>
            <w:pPr>
              <w:spacing w:after="0"/>
              <w:rPr>
                <w:sz w:val="14"/>
                <w:szCs w:val="14"/>
                <w:color w:val="auto"/>
              </w:rPr>
            </w:pPr>
          </w:p>
        </w:tc>
        <w:tc>
          <w:tcPr>
            <w:tcW w:w="19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December 31, 1997</w:t>
            </w:r>
          </w:p>
        </w:tc>
        <w:tc>
          <w:tcPr>
            <w:tcW w:w="1760" w:type="dxa"/>
            <w:vAlign w:val="bottom"/>
            <w:gridSpan w:val="2"/>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December 31, 1996</w:t>
            </w:r>
          </w:p>
        </w:tc>
      </w:tr>
      <w:tr>
        <w:trPr>
          <w:trHeight w:val="168"/>
        </w:trPr>
        <w:tc>
          <w:tcPr>
            <w:tcW w:w="5340" w:type="dxa"/>
            <w:vAlign w:val="bottom"/>
          </w:tcPr>
          <w:p>
            <w:pPr>
              <w:spacing w:after="0"/>
              <w:rPr>
                <w:sz w:val="14"/>
                <w:szCs w:val="14"/>
                <w:color w:val="auto"/>
              </w:rPr>
            </w:pPr>
          </w:p>
        </w:tc>
        <w:tc>
          <w:tcPr>
            <w:tcW w:w="19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53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Balance, beginning of period...............................</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511</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Provision for losses.......................................</w:t>
            </w:r>
          </w:p>
        </w:tc>
        <w:tc>
          <w:tcPr>
            <w:tcW w:w="6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1,110</w:t>
            </w:r>
          </w:p>
        </w:tc>
        <w:tc>
          <w:tcPr>
            <w:tcW w:w="6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Charge-offs and sales......................................</w:t>
            </w:r>
          </w:p>
        </w:tc>
        <w:tc>
          <w:tcPr>
            <w:tcW w:w="6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(1,621)</w:t>
            </w:r>
          </w:p>
        </w:tc>
        <w:tc>
          <w:tcPr>
            <w:tcW w:w="6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3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Balance, end of period....................................</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5340" w:type="dxa"/>
            <w:vAlign w:val="bottom"/>
          </w:tcPr>
          <w:p>
            <w:pPr>
              <w:spacing w:after="0"/>
              <w:rPr>
                <w:sz w:val="14"/>
                <w:szCs w:val="14"/>
                <w:color w:val="auto"/>
              </w:rPr>
            </w:pPr>
          </w:p>
        </w:tc>
        <w:tc>
          <w:tcPr>
            <w:tcW w:w="19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Real estate owned is geographically located throughout the United States and Puerto Rico. The following table sets forth the five states with the largest amount of properties owned by the LLC at December 31, 1996: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7,782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spacing w:after="0"/>
              <w:rPr>
                <w:sz w:val="20"/>
                <w:szCs w:val="20"/>
                <w:color w:val="auto"/>
              </w:rPr>
            </w:pPr>
            <w:r>
              <w:rPr>
                <w:rFonts w:ascii="Courier New" w:cs="Courier New" w:eastAsia="Courier New" w:hAnsi="Courier New"/>
                <w:sz w:val="8"/>
                <w:szCs w:val="8"/>
                <w:color w:val="auto"/>
                <w:w w:val="73"/>
              </w:rPr>
              <w:t>California.................................................</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6,992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spacing w:after="0"/>
              <w:rPr>
                <w:sz w:val="20"/>
                <w:szCs w:val="20"/>
                <w:color w:val="auto"/>
              </w:rPr>
            </w:pPr>
            <w:r>
              <w:rPr>
                <w:rFonts w:ascii="Courier New" w:cs="Courier New" w:eastAsia="Courier New" w:hAnsi="Courier New"/>
                <w:sz w:val="8"/>
                <w:szCs w:val="8"/>
                <w:color w:val="auto"/>
                <w:w w:val="73"/>
              </w:rPr>
              <w:t>Maryland...................................................</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2,692</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spacing w:after="0"/>
              <w:rPr>
                <w:sz w:val="20"/>
                <w:szCs w:val="20"/>
                <w:color w:val="auto"/>
              </w:rPr>
            </w:pPr>
            <w:r>
              <w:rPr>
                <w:rFonts w:ascii="Courier New" w:cs="Courier New" w:eastAsia="Courier New" w:hAnsi="Courier New"/>
                <w:sz w:val="8"/>
                <w:szCs w:val="8"/>
                <w:color w:val="auto"/>
                <w:w w:val="73"/>
              </w:rPr>
              <w:t>Virginia...................................................</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1,318</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spacing w:after="0"/>
              <w:rPr>
                <w:sz w:val="20"/>
                <w:szCs w:val="20"/>
                <w:color w:val="auto"/>
              </w:rPr>
            </w:pPr>
            <w:r>
              <w:rPr>
                <w:rFonts w:ascii="Courier New" w:cs="Courier New" w:eastAsia="Courier New" w:hAnsi="Courier New"/>
                <w:sz w:val="8"/>
                <w:szCs w:val="8"/>
                <w:color w:val="auto"/>
                <w:w w:val="73"/>
              </w:rPr>
              <w:t>Georgia....................................................</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1,274</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spacing w:after="0"/>
              <w:rPr>
                <w:sz w:val="20"/>
                <w:szCs w:val="20"/>
                <w:color w:val="auto"/>
              </w:rPr>
            </w:pPr>
            <w:r>
              <w:rPr>
                <w:rFonts w:ascii="Courier New" w:cs="Courier New" w:eastAsia="Courier New" w:hAnsi="Courier New"/>
                <w:sz w:val="8"/>
                <w:szCs w:val="8"/>
                <w:color w:val="auto"/>
                <w:w w:val="73"/>
              </w:rPr>
              <w:t>Other .....................................................</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5,537</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00" w:type="dxa"/>
            <w:vAlign w:val="bottom"/>
            <w:gridSpan w:val="2"/>
          </w:tcPr>
          <w:p>
            <w:pPr>
              <w:ind w:left="180"/>
              <w:spacing w:after="0"/>
              <w:rPr>
                <w:sz w:val="20"/>
                <w:szCs w:val="20"/>
                <w:color w:val="auto"/>
              </w:rPr>
            </w:pPr>
            <w:r>
              <w:rPr>
                <w:rFonts w:ascii="Courier New" w:cs="Courier New" w:eastAsia="Courier New" w:hAnsi="Courier New"/>
                <w:sz w:val="7"/>
                <w:szCs w:val="7"/>
                <w:color w:val="auto"/>
                <w:w w:val="79"/>
              </w:rPr>
              <w:t>Total....................................................</w:t>
            </w: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25,595</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21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The following</w:t>
            </w:r>
          </w:p>
        </w:tc>
        <w:tc>
          <w:tcPr>
            <w:tcW w:w="376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w w:val="97"/>
              </w:rPr>
              <w:t>table sets forth the results of the LLC's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investment in</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1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real estate owned during the following periods:</w:t>
            </w: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Period</w:t>
            </w: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the Period</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January 1, 1997</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13, 1996</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Through</w:t>
            </w:r>
          </w:p>
        </w:tc>
        <w:tc>
          <w:tcPr>
            <w:tcW w:w="580" w:type="dxa"/>
            <w:vAlign w:val="bottom"/>
          </w:tcPr>
          <w:p>
            <w:pPr>
              <w:spacing w:after="0"/>
              <w:rPr>
                <w:sz w:val="14"/>
                <w:szCs w:val="14"/>
                <w:color w:val="auto"/>
              </w:rPr>
            </w:pPr>
          </w:p>
        </w:tc>
        <w:tc>
          <w:tcPr>
            <w:tcW w:w="10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5"/>
              </w:rPr>
              <w:t>through</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60" w:type="dxa"/>
            <w:vAlign w:val="bottom"/>
            <w:gridSpan w:val="3"/>
          </w:tcPr>
          <w:p>
            <w:pPr>
              <w:ind w:left="1220"/>
              <w:spacing w:after="0" w:line="168" w:lineRule="exact"/>
              <w:rPr>
                <w:sz w:val="20"/>
                <w:szCs w:val="20"/>
                <w:color w:val="auto"/>
              </w:rPr>
            </w:pPr>
            <w:r>
              <w:rPr>
                <w:rFonts w:ascii="Courier New" w:cs="Courier New" w:eastAsia="Courier New" w:hAnsi="Courier New"/>
                <w:sz w:val="15"/>
                <w:szCs w:val="15"/>
                <w:color w:val="auto"/>
              </w:rPr>
              <w:t>December 31, 1997</w:t>
            </w:r>
          </w:p>
        </w:tc>
        <w:tc>
          <w:tcPr>
            <w:tcW w:w="16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December 31, 1996</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2"/>
          </w:tcPr>
          <w:p>
            <w:pPr>
              <w:ind w:left="1220"/>
              <w:spacing w:after="0"/>
              <w:rPr>
                <w:sz w:val="20"/>
                <w:szCs w:val="20"/>
                <w:color w:val="auto"/>
              </w:rPr>
            </w:pPr>
            <w:r>
              <w:rPr>
                <w:rFonts w:ascii="Courier New" w:cs="Courier New" w:eastAsia="Courier New" w:hAnsi="Courier New"/>
                <w:sz w:val="6"/>
                <w:szCs w:val="6"/>
                <w:color w:val="auto"/>
                <w:w w:val="81"/>
              </w:rPr>
              <w:t>-----------------</w:t>
            </w:r>
          </w:p>
        </w:tc>
        <w:tc>
          <w:tcPr>
            <w:tcW w:w="1320" w:type="dxa"/>
            <w:vAlign w:val="bottom"/>
          </w:tcPr>
          <w:p>
            <w:pPr>
              <w:spacing w:after="0"/>
              <w:rPr>
                <w:sz w:val="14"/>
                <w:szCs w:val="14"/>
                <w:color w:val="auto"/>
              </w:rPr>
            </w:pPr>
          </w:p>
        </w:tc>
        <w:tc>
          <w:tcPr>
            <w:tcW w:w="16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380" w:type="dxa"/>
            <w:vAlign w:val="bottom"/>
            <w:gridSpan w:val="3"/>
          </w:tcPr>
          <w:p>
            <w:pPr>
              <w:spacing w:after="0"/>
              <w:rPr>
                <w:sz w:val="20"/>
                <w:szCs w:val="20"/>
                <w:color w:val="auto"/>
              </w:rPr>
            </w:pPr>
            <w:r>
              <w:rPr>
                <w:rFonts w:ascii="Courier New" w:cs="Courier New" w:eastAsia="Courier New" w:hAnsi="Courier New"/>
                <w:sz w:val="10"/>
                <w:szCs w:val="10"/>
                <w:color w:val="auto"/>
                <w:w w:val="72"/>
              </w:rPr>
              <w:t>Gains on sales........................................</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6,619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2380" w:type="dxa"/>
            <w:vAlign w:val="bottom"/>
            <w:gridSpan w:val="3"/>
          </w:tcPr>
          <w:p>
            <w:pPr>
              <w:spacing w:after="0"/>
              <w:rPr>
                <w:sz w:val="20"/>
                <w:szCs w:val="20"/>
                <w:color w:val="auto"/>
              </w:rPr>
            </w:pPr>
            <w:r>
              <w:rPr>
                <w:rFonts w:ascii="Courier New" w:cs="Courier New" w:eastAsia="Courier New" w:hAnsi="Courier New"/>
                <w:sz w:val="10"/>
                <w:szCs w:val="10"/>
                <w:color w:val="auto"/>
                <w:w w:val="72"/>
              </w:rPr>
              <w:t>Provision for losses..................................</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(1,110)</w:t>
            </w:r>
          </w:p>
        </w:tc>
        <w:tc>
          <w:tcPr>
            <w:tcW w:w="5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Carrying costs, net of rental income..................</w:t>
            </w:r>
          </w:p>
        </w:tc>
        <w:tc>
          <w:tcPr>
            <w:tcW w:w="42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(5,602)</w:t>
            </w:r>
          </w:p>
        </w:tc>
        <w:tc>
          <w:tcPr>
            <w:tcW w:w="5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Loss on real estate owned, net.......................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gridSpan w:val="4"/>
          </w:tcPr>
          <w:p>
            <w:pPr>
              <w:spacing w:after="0"/>
              <w:rPr>
                <w:sz w:val="20"/>
                <w:szCs w:val="20"/>
                <w:color w:val="auto"/>
              </w:rPr>
            </w:pPr>
            <w:r>
              <w:rPr>
                <w:rFonts w:ascii="Courier New" w:cs="Courier New" w:eastAsia="Courier New" w:hAnsi="Courier New"/>
                <w:sz w:val="15"/>
                <w:szCs w:val="15"/>
                <w:color w:val="auto"/>
              </w:rPr>
              <w:t>NOTE 7   NOTE PAYABLE ACQUISITION DEBT</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210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In April 1996,</w:t>
            </w: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LLC financed the</w:t>
            </w:r>
          </w:p>
        </w:tc>
        <w:tc>
          <w:tcPr>
            <w:tcW w:w="30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acquisition of the HUD Loans with</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proceeds</w:t>
            </w:r>
          </w:p>
        </w:tc>
        <w:tc>
          <w:tcPr>
            <w:tcW w:w="4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from a $473,042 note payable from an unaffiliated</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party.  Interest</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on the note</w:t>
            </w:r>
          </w:p>
        </w:tc>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payable  was</w:t>
            </w:r>
          </w:p>
        </w:tc>
        <w:tc>
          <w:tcPr>
            <w:tcW w:w="4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payable  monthly and accrued at a rate equal to LIBOR</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718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plus 2.25%. The note payable, which was scheduled to mature in January 1997, was</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secured by a first position lien on the HUD Loans  purchased.</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The cash proceeds</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3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from the sale of securities</w:t>
            </w:r>
          </w:p>
        </w:tc>
        <w:tc>
          <w:tcPr>
            <w:tcW w:w="1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resulting from the</w:t>
            </w:r>
          </w:p>
        </w:tc>
        <w:tc>
          <w:tcPr>
            <w:tcW w:w="30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securitization of the 9,825 HUD</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Loans in October, 1996 and additional capital contributions by the Partners were used to fully repay the note payable in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57" w:name="page158"/>
    <w:bookmarkEnd w:id="157"/>
    <w:p>
      <w:pPr>
        <w:ind w:left="2980"/>
        <w:spacing w:after="0"/>
        <w:rPr>
          <w:sz w:val="20"/>
          <w:szCs w:val="20"/>
          <w:color w:val="auto"/>
        </w:rPr>
      </w:pPr>
      <w:r>
        <w:rPr>
          <w:rFonts w:ascii="Courier New" w:cs="Courier New" w:eastAsia="Courier New" w:hAnsi="Courier New"/>
          <w:sz w:val="15"/>
          <w:szCs w:val="15"/>
          <w:color w:val="auto"/>
        </w:rPr>
        <w:t>BCBF, L.L.C.</w:t>
      </w:r>
    </w:p>
    <w:p>
      <w:pPr>
        <w:jc w:val="center"/>
        <w:ind w:right="160"/>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240"/>
        <w:spacing w:after="0" w:line="238" w:lineRule="auto"/>
        <w:rPr>
          <w:sz w:val="20"/>
          <w:szCs w:val="20"/>
          <w:color w:val="auto"/>
        </w:rPr>
      </w:pPr>
      <w:r>
        <w:rPr>
          <w:rFonts w:ascii="Courier New" w:cs="Courier New" w:eastAsia="Courier New" w:hAnsi="Courier New"/>
          <w:sz w:val="15"/>
          <w:szCs w:val="15"/>
          <w:color w:val="auto"/>
        </w:rPr>
        <w:t>DECEMBER 31, 1997 AND 1996</w:t>
      </w:r>
    </w:p>
    <w:p>
      <w:pPr>
        <w:jc w:val="center"/>
        <w:ind w:right="24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jc w:val="both"/>
        <w:ind w:right="260" w:firstLine="787"/>
        <w:spacing w:after="0" w:line="236" w:lineRule="auto"/>
        <w:rPr>
          <w:sz w:val="20"/>
          <w:szCs w:val="20"/>
          <w:color w:val="auto"/>
        </w:rPr>
      </w:pPr>
      <w:r>
        <w:rPr>
          <w:rFonts w:ascii="Courier New" w:cs="Courier New" w:eastAsia="Courier New" w:hAnsi="Courier New"/>
          <w:sz w:val="15"/>
          <w:szCs w:val="15"/>
          <w:color w:val="auto"/>
        </w:rPr>
        <w:t>In connection with the LLC's acquisition of the HUD Loans, Ocwen entered into an agreement with the LLC to service the HUD Loans in accordance with its loan servicing and loan default resolution procedures. In return for such servicing, Ocwen received specified fees which were payable on a monthly basis. For the year ended December 31, 1997 and for the period from March 13, 1996 to December 31, 1996, Ocwen earned $1,850 and $5,743 in such servicing fees, respectively.</w:t>
      </w:r>
    </w:p>
    <w:p>
      <w:pPr>
        <w:spacing w:after="0" w:line="176" w:lineRule="exact"/>
        <w:rPr>
          <w:sz w:val="20"/>
          <w:szCs w:val="20"/>
          <w:color w:val="auto"/>
        </w:rPr>
      </w:pPr>
    </w:p>
    <w:p>
      <w:pPr>
        <w:jc w:val="both"/>
        <w:ind w:right="260" w:firstLine="787"/>
        <w:spacing w:after="0" w:line="236" w:lineRule="auto"/>
        <w:rPr>
          <w:sz w:val="20"/>
          <w:szCs w:val="20"/>
          <w:color w:val="auto"/>
        </w:rPr>
      </w:pPr>
      <w:r>
        <w:rPr>
          <w:rFonts w:ascii="Courier New" w:cs="Courier New" w:eastAsia="Courier New" w:hAnsi="Courier New"/>
          <w:sz w:val="15"/>
          <w:szCs w:val="15"/>
          <w:color w:val="auto"/>
        </w:rPr>
        <w:t>As the servicer for the HUD Loans, Ocwen was responsible for the collection of the payments due from borrowers and the payment of certain costs incurred in connection with the operation and maintenance of real estate owned properties. A cash settlement was made monthly between Ocwen and the LLC for the net of such collections and payments. At December 31, 1996, $5,447 was due from Ocwen and is included in other assets. Such amount was paid by Ocwen to the LLC in January, 1997.</w:t>
      </w:r>
    </w:p>
    <w:p>
      <w:pPr>
        <w:spacing w:after="0" w:line="176" w:lineRule="exact"/>
        <w:rPr>
          <w:sz w:val="20"/>
          <w:szCs w:val="20"/>
          <w:color w:val="auto"/>
        </w:rPr>
      </w:pPr>
    </w:p>
    <w:p>
      <w:pPr>
        <w:jc w:val="both"/>
        <w:ind w:right="260" w:firstLine="787"/>
        <w:spacing w:after="0" w:line="235" w:lineRule="auto"/>
        <w:rPr>
          <w:sz w:val="20"/>
          <w:szCs w:val="20"/>
          <w:color w:val="auto"/>
        </w:rPr>
      </w:pPr>
      <w:r>
        <w:rPr>
          <w:rFonts w:ascii="Courier New" w:cs="Courier New" w:eastAsia="Courier New" w:hAnsi="Courier New"/>
          <w:sz w:val="15"/>
          <w:szCs w:val="15"/>
          <w:color w:val="auto"/>
        </w:rPr>
        <w:t>In connection with the 1996 securitization transactions (see Note 5), the LLC sold $79,411 of securities to Ocwen for a gain of $12,863. Additionally, also in 1996, the LLC sold certain rights to service the securitized loans to Ocwen for $1,048.</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DISTRIBUTION OF ASSETS</w:t>
      </w:r>
    </w:p>
    <w:p>
      <w:pPr>
        <w:spacing w:after="0" w:line="173" w:lineRule="exact"/>
        <w:rPr>
          <w:sz w:val="20"/>
          <w:szCs w:val="20"/>
          <w:color w:val="auto"/>
        </w:rPr>
      </w:pPr>
    </w:p>
    <w:p>
      <w:pPr>
        <w:jc w:val="both"/>
        <w:ind w:right="260" w:firstLine="787"/>
        <w:spacing w:after="0" w:line="234" w:lineRule="auto"/>
        <w:rPr>
          <w:sz w:val="20"/>
          <w:szCs w:val="20"/>
          <w:color w:val="auto"/>
        </w:rPr>
      </w:pPr>
      <w:r>
        <w:rPr>
          <w:rFonts w:ascii="Courier New" w:cs="Courier New" w:eastAsia="Courier New" w:hAnsi="Courier New"/>
          <w:sz w:val="15"/>
          <w:szCs w:val="15"/>
          <w:color w:val="auto"/>
        </w:rPr>
        <w:t>On December 12, 1997, in accordance with the decision of the Partners, the assets of the LLC were distributed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Ocwen</w:t>
            </w:r>
          </w:p>
        </w:tc>
        <w:tc>
          <w:tcPr>
            <w:tcW w:w="4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BlackRock</w:t>
            </w:r>
          </w:p>
        </w:tc>
      </w:tr>
      <w:tr>
        <w:trPr>
          <w:trHeight w:val="168"/>
        </w:trPr>
        <w:tc>
          <w:tcPr>
            <w:tcW w:w="3420" w:type="dxa"/>
            <w:vAlign w:val="bottom"/>
          </w:tcPr>
          <w:p>
            <w:pPr>
              <w:spacing w:after="0"/>
              <w:rPr>
                <w:sz w:val="14"/>
                <w:szCs w:val="14"/>
                <w:color w:val="auto"/>
              </w:rPr>
            </w:pPr>
          </w:p>
        </w:tc>
        <w:tc>
          <w:tcPr>
            <w:tcW w:w="2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Cash.........................................</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held for sale at book value............</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4,501</w:t>
            </w:r>
          </w:p>
        </w:tc>
        <w:tc>
          <w:tcPr>
            <w:tcW w:w="4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4,501</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Real estate owned at book value..............</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5,402</w:t>
            </w:r>
          </w:p>
        </w:tc>
        <w:tc>
          <w:tcPr>
            <w:tcW w:w="4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5,402</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 due from loan servicer................</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Escrow advances..............................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537</w:t>
            </w:r>
          </w:p>
        </w:tc>
        <w:tc>
          <w:tcPr>
            <w:tcW w:w="4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4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advances...............................</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212</w:t>
            </w:r>
          </w:p>
        </w:tc>
        <w:tc>
          <w:tcPr>
            <w:tcW w:w="44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3420" w:type="dxa"/>
            <w:vAlign w:val="bottom"/>
          </w:tcPr>
          <w:p>
            <w:pPr>
              <w:spacing w:after="0"/>
              <w:rPr>
                <w:sz w:val="14"/>
                <w:szCs w:val="14"/>
                <w:color w:val="auto"/>
              </w:rPr>
            </w:pPr>
          </w:p>
        </w:tc>
        <w:tc>
          <w:tcPr>
            <w:tcW w:w="2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10,952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10,952</w:t>
            </w:r>
          </w:p>
        </w:tc>
      </w:tr>
      <w:tr>
        <w:trPr>
          <w:trHeight w:val="168"/>
        </w:trPr>
        <w:tc>
          <w:tcPr>
            <w:tcW w:w="3420" w:type="dxa"/>
            <w:vAlign w:val="bottom"/>
          </w:tcPr>
          <w:p>
            <w:pPr>
              <w:spacing w:after="0"/>
              <w:rPr>
                <w:sz w:val="14"/>
                <w:szCs w:val="14"/>
                <w:color w:val="auto"/>
              </w:rPr>
            </w:pPr>
          </w:p>
        </w:tc>
        <w:tc>
          <w:tcPr>
            <w:tcW w:w="2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420" w:type="dxa"/>
            <w:vAlign w:val="bottom"/>
          </w:tcPr>
          <w:p>
            <w:pPr>
              <w:spacing w:after="0"/>
              <w:rPr>
                <w:sz w:val="24"/>
                <w:szCs w:val="24"/>
                <w:color w:val="auto"/>
              </w:rPr>
            </w:pPr>
          </w:p>
        </w:tc>
        <w:tc>
          <w:tcPr>
            <w:tcW w:w="1480" w:type="dxa"/>
            <w:vAlign w:val="bottom"/>
          </w:tcPr>
          <w:p>
            <w:pPr>
              <w:jc w:val="right"/>
              <w:ind w:right="1227"/>
              <w:spacing w:after="0"/>
              <w:rPr>
                <w:sz w:val="20"/>
                <w:szCs w:val="20"/>
                <w:color w:val="auto"/>
              </w:rPr>
            </w:pPr>
            <w:r>
              <w:rPr>
                <w:rFonts w:ascii="Courier New" w:cs="Courier New" w:eastAsia="Courier New" w:hAnsi="Courier New"/>
                <w:sz w:val="15"/>
                <w:szCs w:val="15"/>
                <w:color w:val="auto"/>
                <w:w w:val="88"/>
              </w:rPr>
              <w:t>12</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880" w:hanging="879"/>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w:t>
      </w:r>
    </w:p>
    <w:p>
      <w:pPr>
        <w:jc w:val="right"/>
        <w:ind w:right="1299"/>
        <w:spacing w:after="0" w:line="237" w:lineRule="auto"/>
        <w:rPr>
          <w:sz w:val="20"/>
          <w:szCs w:val="20"/>
          <w:color w:val="auto"/>
        </w:rPr>
      </w:pPr>
      <w:r>
        <w:rPr>
          <w:rFonts w:ascii="Courier New" w:cs="Courier New" w:eastAsia="Courier New" w:hAnsi="Courier New"/>
          <w:sz w:val="15"/>
          <w:szCs w:val="15"/>
          <w:color w:val="auto"/>
        </w:rPr>
        <w:t>9,002</w:t>
      </w:r>
    </w:p>
    <w:p>
      <w:pPr>
        <w:jc w:val="right"/>
        <w:ind w:right="1299"/>
        <w:spacing w:after="0" w:line="238" w:lineRule="auto"/>
        <w:rPr>
          <w:sz w:val="20"/>
          <w:szCs w:val="20"/>
          <w:color w:val="auto"/>
        </w:rPr>
      </w:pPr>
      <w:r>
        <w:rPr>
          <w:rFonts w:ascii="Courier New" w:cs="Courier New" w:eastAsia="Courier New" w:hAnsi="Courier New"/>
          <w:sz w:val="15"/>
          <w:szCs w:val="15"/>
          <w:color w:val="auto"/>
        </w:rPr>
        <w:t>10,804</w:t>
      </w:r>
    </w:p>
    <w:p>
      <w:pPr>
        <w:jc w:val="right"/>
        <w:ind w:right="1299"/>
        <w:spacing w:after="0" w:line="237" w:lineRule="auto"/>
        <w:rPr>
          <w:sz w:val="20"/>
          <w:szCs w:val="20"/>
          <w:color w:val="auto"/>
        </w:rPr>
      </w:pPr>
      <w:r>
        <w:rPr>
          <w:rFonts w:ascii="Courier New" w:cs="Courier New" w:eastAsia="Courier New" w:hAnsi="Courier New"/>
          <w:sz w:val="15"/>
          <w:szCs w:val="15"/>
          <w:color w:val="auto"/>
        </w:rPr>
        <w:t>590</w:t>
      </w:r>
    </w:p>
    <w:p>
      <w:pPr>
        <w:jc w:val="right"/>
        <w:ind w:right="1299"/>
        <w:spacing w:after="0" w:line="238" w:lineRule="auto"/>
        <w:rPr>
          <w:sz w:val="20"/>
          <w:szCs w:val="20"/>
          <w:color w:val="auto"/>
        </w:rPr>
      </w:pPr>
      <w:r>
        <w:rPr>
          <w:rFonts w:ascii="Courier New" w:cs="Courier New" w:eastAsia="Courier New" w:hAnsi="Courier New"/>
          <w:sz w:val="15"/>
          <w:szCs w:val="15"/>
          <w:color w:val="auto"/>
        </w:rPr>
        <w:t>1,074</w:t>
      </w:r>
    </w:p>
    <w:p>
      <w:pPr>
        <w:jc w:val="right"/>
        <w:ind w:right="1299"/>
        <w:spacing w:after="0" w:line="237" w:lineRule="auto"/>
        <w:rPr>
          <w:sz w:val="20"/>
          <w:szCs w:val="20"/>
          <w:color w:val="auto"/>
        </w:rPr>
      </w:pPr>
      <w:r>
        <w:rPr>
          <w:rFonts w:ascii="Courier New" w:cs="Courier New" w:eastAsia="Courier New" w:hAnsi="Courier New"/>
          <w:sz w:val="15"/>
          <w:szCs w:val="15"/>
          <w:color w:val="auto"/>
        </w:rPr>
        <w:t>424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hanging="519"/>
        <w:spacing w:after="0"/>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21,904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2">
            <w:col w:w="7260" w:space="620"/>
            <w:col w:w="2359"/>
          </w:cols>
          <w:pgMar w:left="220" w:top="785" w:right="1440" w:bottom="1440" w:gutter="0" w:footer="0" w:header="0"/>
        </w:sectPr>
      </w:pPr>
    </w:p>
    <w:bookmarkStart w:id="158" w:name="page159"/>
    <w:bookmarkEnd w:id="158"/>
    <w:p>
      <w:pPr>
        <w:ind w:left="382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16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0000873860</w:t>
      </w:r>
    </w:p>
    <w:p>
      <w:pPr>
        <w:ind w:left="3300"/>
        <w:spacing w:after="0" w:line="237" w:lineRule="auto"/>
        <w:rPr>
          <w:sz w:val="20"/>
          <w:szCs w:val="20"/>
          <w:color w:val="auto"/>
        </w:rPr>
      </w:pPr>
      <w:r>
        <w:rPr>
          <w:rFonts w:ascii="Courier New" w:cs="Courier New" w:eastAsia="Courier New" w:hAnsi="Courier New"/>
          <w:sz w:val="15"/>
          <w:szCs w:val="15"/>
          <w:color w:val="auto"/>
        </w:rPr>
        <w:t>Ocwen Financial Corp.</w:t>
      </w:r>
    </w:p>
    <w:p>
      <w:pPr>
        <w:ind w:left="3120"/>
        <w:spacing w:after="0" w:line="238" w:lineRule="auto"/>
        <w:rPr>
          <w:sz w:val="20"/>
          <w:szCs w:val="20"/>
          <w:color w:val="auto"/>
        </w:rPr>
      </w:pPr>
      <w:r>
        <w:rPr>
          <w:rFonts w:ascii="Courier New" w:cs="Courier New" w:eastAsia="Courier New" w:hAnsi="Courier New"/>
          <w:sz w:val="15"/>
          <w:szCs w:val="15"/>
          <w:color w:val="auto"/>
        </w:rPr>
        <w:t>1,000</w:t>
      </w:r>
    </w:p>
    <w:p>
      <w:pPr>
        <w:ind w:left="3460"/>
        <w:spacing w:after="0" w:line="237"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YEAR</w:t>
      </w:r>
    </w:p>
    <w:p>
      <w:pPr>
        <w:ind w:left="2340"/>
        <w:spacing w:after="0" w:line="237" w:lineRule="auto"/>
        <w:rPr>
          <w:sz w:val="20"/>
          <w:szCs w:val="20"/>
          <w:color w:val="auto"/>
        </w:rPr>
      </w:pPr>
      <w:r>
        <w:rPr>
          <w:rFonts w:ascii="Courier New" w:cs="Courier New" w:eastAsia="Courier New" w:hAnsi="Courier New"/>
          <w:sz w:val="15"/>
          <w:szCs w:val="15"/>
          <w:color w:val="auto"/>
        </w:rPr>
        <w:t>DEC-31-1997</w:t>
      </w:r>
    </w:p>
    <w:p>
      <w:pPr>
        <w:ind w:left="2600"/>
        <w:spacing w:after="0" w:line="238" w:lineRule="auto"/>
        <w:rPr>
          <w:sz w:val="20"/>
          <w:szCs w:val="20"/>
          <w:color w:val="auto"/>
        </w:rPr>
      </w:pPr>
      <w:r>
        <w:rPr>
          <w:rFonts w:ascii="Courier New" w:cs="Courier New" w:eastAsia="Courier New" w:hAnsi="Courier New"/>
          <w:sz w:val="15"/>
          <w:szCs w:val="15"/>
          <w:color w:val="auto"/>
        </w:rPr>
        <w:t>JAN-01-1997</w:t>
      </w:r>
    </w:p>
    <w:p>
      <w:pPr>
        <w:jc w:val="center"/>
        <w:ind w:right="3699"/>
        <w:spacing w:after="0" w:line="237" w:lineRule="auto"/>
        <w:rPr>
          <w:sz w:val="20"/>
          <w:szCs w:val="20"/>
          <w:color w:val="auto"/>
        </w:rPr>
      </w:pPr>
      <w:r>
        <w:rPr>
          <w:rFonts w:ascii="Courier New" w:cs="Courier New" w:eastAsia="Courier New" w:hAnsi="Courier New"/>
          <w:sz w:val="15"/>
          <w:szCs w:val="15"/>
          <w:color w:val="auto"/>
        </w:rPr>
        <w:t>DEC-01-1997</w:t>
      </w:r>
    </w:p>
    <w:p>
      <w:pPr>
        <w:jc w:val="center"/>
        <w:ind w:right="3699"/>
        <w:spacing w:after="0" w:line="238" w:lineRule="auto"/>
        <w:rPr>
          <w:sz w:val="20"/>
          <w:szCs w:val="20"/>
          <w:color w:val="auto"/>
        </w:rPr>
      </w:pPr>
      <w:r>
        <w:rPr>
          <w:rFonts w:ascii="Courier New" w:cs="Courier New" w:eastAsia="Courier New" w:hAnsi="Courier New"/>
          <w:sz w:val="15"/>
          <w:szCs w:val="15"/>
          <w:color w:val="auto"/>
        </w:rPr>
        <w:t>1</w:t>
      </w:r>
    </w:p>
    <w:p>
      <w:pPr>
        <w:ind w:left="3560"/>
        <w:spacing w:after="0" w:line="237" w:lineRule="auto"/>
        <w:rPr>
          <w:sz w:val="20"/>
          <w:szCs w:val="20"/>
          <w:color w:val="auto"/>
        </w:rPr>
      </w:pPr>
      <w:r>
        <w:rPr>
          <w:rFonts w:ascii="Courier New" w:cs="Courier New" w:eastAsia="Courier New" w:hAnsi="Courier New"/>
          <w:sz w:val="15"/>
          <w:szCs w:val="15"/>
          <w:color w:val="auto"/>
        </w:rPr>
        <w:t>12,243</w:t>
      </w:r>
    </w:p>
    <w:p>
      <w:pPr>
        <w:ind w:left="2060"/>
        <w:spacing w:after="0" w:line="238" w:lineRule="auto"/>
        <w:rPr>
          <w:sz w:val="20"/>
          <w:szCs w:val="20"/>
          <w:color w:val="auto"/>
        </w:rPr>
      </w:pPr>
      <w:r>
        <w:rPr>
          <w:rFonts w:ascii="Courier New" w:cs="Courier New" w:eastAsia="Courier New" w:hAnsi="Courier New"/>
          <w:sz w:val="15"/>
          <w:szCs w:val="15"/>
          <w:color w:val="auto"/>
        </w:rPr>
        <w:t>140,001</w:t>
      </w:r>
    </w:p>
    <w:p>
      <w:pPr>
        <w:ind w:left="312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0</w:t>
      </w:r>
    </w:p>
    <w:p>
      <w:pPr>
        <w:ind w:left="1640"/>
        <w:spacing w:after="0" w:line="238" w:lineRule="auto"/>
        <w:rPr>
          <w:sz w:val="20"/>
          <w:szCs w:val="20"/>
          <w:color w:val="auto"/>
        </w:rPr>
      </w:pPr>
      <w:r>
        <w:rPr>
          <w:rFonts w:ascii="Courier New" w:cs="Courier New" w:eastAsia="Courier New" w:hAnsi="Courier New"/>
          <w:sz w:val="15"/>
          <w:szCs w:val="15"/>
          <w:color w:val="auto"/>
        </w:rPr>
        <w:t>430,524</w:t>
      </w:r>
    </w:p>
    <w:p>
      <w:pPr>
        <w:ind w:left="2160"/>
        <w:spacing w:after="0" w:line="237" w:lineRule="auto"/>
        <w:rPr>
          <w:sz w:val="20"/>
          <w:szCs w:val="20"/>
          <w:color w:val="auto"/>
        </w:rPr>
      </w:pPr>
      <w:r>
        <w:rPr>
          <w:rFonts w:ascii="Courier New" w:cs="Courier New" w:eastAsia="Courier New" w:hAnsi="Courier New"/>
          <w:sz w:val="15"/>
          <w:szCs w:val="15"/>
          <w:color w:val="auto"/>
        </w:rPr>
        <w:t>59,567</w:t>
      </w:r>
    </w:p>
    <w:p>
      <w:pPr>
        <w:ind w:left="2340"/>
        <w:spacing w:after="0" w:line="238" w:lineRule="auto"/>
        <w:rPr>
          <w:sz w:val="20"/>
          <w:szCs w:val="20"/>
          <w:color w:val="auto"/>
        </w:rPr>
      </w:pPr>
      <w:r>
        <w:rPr>
          <w:rFonts w:ascii="Courier New" w:cs="Courier New" w:eastAsia="Courier New" w:hAnsi="Courier New"/>
          <w:sz w:val="15"/>
          <w:szCs w:val="15"/>
          <w:color w:val="auto"/>
        </w:rPr>
        <w:t>59,567</w:t>
      </w:r>
    </w:p>
    <w:p>
      <w:pPr>
        <w:ind w:left="3300"/>
        <w:spacing w:after="0" w:line="237" w:lineRule="auto"/>
        <w:rPr>
          <w:sz w:val="20"/>
          <w:szCs w:val="20"/>
          <w:color w:val="auto"/>
        </w:rPr>
      </w:pPr>
      <w:r>
        <w:rPr>
          <w:rFonts w:ascii="Courier New" w:cs="Courier New" w:eastAsia="Courier New" w:hAnsi="Courier New"/>
          <w:sz w:val="15"/>
          <w:szCs w:val="15"/>
          <w:color w:val="auto"/>
        </w:rPr>
        <w:t>1,877,516</w:t>
      </w:r>
    </w:p>
    <w:p>
      <w:pPr>
        <w:ind w:left="3200"/>
        <w:spacing w:after="0" w:line="238" w:lineRule="auto"/>
        <w:rPr>
          <w:sz w:val="20"/>
          <w:szCs w:val="20"/>
          <w:color w:val="auto"/>
        </w:rPr>
      </w:pPr>
      <w:r>
        <w:rPr>
          <w:rFonts w:ascii="Courier New" w:cs="Courier New" w:eastAsia="Courier New" w:hAnsi="Courier New"/>
          <w:sz w:val="15"/>
          <w:szCs w:val="15"/>
          <w:color w:val="auto"/>
        </w:rPr>
        <w:t>27,188</w:t>
      </w:r>
    </w:p>
    <w:p>
      <w:pPr>
        <w:ind w:left="2600"/>
        <w:spacing w:after="0" w:line="237" w:lineRule="auto"/>
        <w:rPr>
          <w:sz w:val="20"/>
          <w:szCs w:val="20"/>
          <w:color w:val="auto"/>
        </w:rPr>
      </w:pPr>
      <w:r>
        <w:rPr>
          <w:rFonts w:ascii="Courier New" w:cs="Courier New" w:eastAsia="Courier New" w:hAnsi="Courier New"/>
          <w:sz w:val="15"/>
          <w:szCs w:val="15"/>
          <w:color w:val="auto"/>
        </w:rPr>
        <w:t>3,069,165</w:t>
      </w:r>
    </w:p>
    <w:p>
      <w:pPr>
        <w:ind w:left="2940"/>
        <w:spacing w:after="0" w:line="238" w:lineRule="auto"/>
        <w:rPr>
          <w:sz w:val="20"/>
          <w:szCs w:val="20"/>
          <w:color w:val="auto"/>
        </w:rPr>
      </w:pPr>
      <w:r>
        <w:rPr>
          <w:rFonts w:ascii="Courier New" w:cs="Courier New" w:eastAsia="Courier New" w:hAnsi="Courier New"/>
          <w:sz w:val="15"/>
          <w:szCs w:val="15"/>
          <w:color w:val="auto"/>
        </w:rPr>
        <w:t>1,982,822</w:t>
      </w:r>
    </w:p>
    <w:p>
      <w:pPr>
        <w:ind w:left="2940"/>
        <w:spacing w:after="0" w:line="238" w:lineRule="auto"/>
        <w:rPr>
          <w:sz w:val="20"/>
          <w:szCs w:val="20"/>
          <w:color w:val="auto"/>
        </w:rPr>
      </w:pPr>
      <w:r>
        <w:rPr>
          <w:rFonts w:ascii="Courier New" w:cs="Courier New" w:eastAsia="Courier New" w:hAnsi="Courier New"/>
          <w:sz w:val="15"/>
          <w:szCs w:val="15"/>
          <w:color w:val="auto"/>
        </w:rPr>
        <w:t>226,554</w:t>
      </w:r>
    </w:p>
    <w:p>
      <w:pPr>
        <w:ind w:left="2420"/>
        <w:spacing w:after="0" w:line="237" w:lineRule="auto"/>
        <w:rPr>
          <w:sz w:val="20"/>
          <w:szCs w:val="20"/>
          <w:color w:val="auto"/>
        </w:rPr>
      </w:pPr>
      <w:r>
        <w:rPr>
          <w:rFonts w:ascii="Courier New" w:cs="Courier New" w:eastAsia="Courier New" w:hAnsi="Courier New"/>
          <w:sz w:val="15"/>
          <w:szCs w:val="15"/>
          <w:color w:val="auto"/>
        </w:rPr>
        <w:t>87,709</w:t>
      </w:r>
    </w:p>
    <w:p>
      <w:pPr>
        <w:ind w:left="3040"/>
        <w:spacing w:after="0" w:line="238" w:lineRule="auto"/>
        <w:rPr>
          <w:sz w:val="20"/>
          <w:szCs w:val="20"/>
          <w:color w:val="auto"/>
        </w:rPr>
      </w:pPr>
      <w:r>
        <w:rPr>
          <w:rFonts w:ascii="Courier New" w:cs="Courier New" w:eastAsia="Courier New" w:hAnsi="Courier New"/>
          <w:sz w:val="15"/>
          <w:szCs w:val="15"/>
          <w:color w:val="auto"/>
        </w:rPr>
        <w:t>226,975</w:t>
      </w:r>
    </w:p>
    <w:p>
      <w:pPr>
        <w:ind w:left="2680"/>
        <w:spacing w:after="0" w:line="237" w:lineRule="auto"/>
        <w:rPr>
          <w:sz w:val="20"/>
          <w:szCs w:val="20"/>
          <w:color w:val="auto"/>
        </w:rPr>
      </w:pPr>
      <w:r>
        <w:rPr>
          <w:rFonts w:ascii="Courier New" w:cs="Courier New" w:eastAsia="Courier New" w:hAnsi="Courier New"/>
          <w:sz w:val="15"/>
          <w:szCs w:val="15"/>
          <w:color w:val="auto"/>
        </w:rPr>
        <w:t>0</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606</w:t>
      </w:r>
    </w:p>
    <w:p>
      <w:pPr>
        <w:ind w:left="3120"/>
        <w:spacing w:after="0" w:line="238" w:lineRule="auto"/>
        <w:rPr>
          <w:sz w:val="20"/>
          <w:szCs w:val="20"/>
          <w:color w:val="auto"/>
        </w:rPr>
      </w:pPr>
      <w:r>
        <w:rPr>
          <w:rFonts w:ascii="Courier New" w:cs="Courier New" w:eastAsia="Courier New" w:hAnsi="Courier New"/>
          <w:sz w:val="15"/>
          <w:szCs w:val="15"/>
          <w:color w:val="auto"/>
        </w:rPr>
        <w:t>419,086</w:t>
      </w:r>
    </w:p>
    <w:p>
      <w:pPr>
        <w:ind w:left="1200"/>
        <w:spacing w:after="0" w:line="238" w:lineRule="auto"/>
        <w:rPr>
          <w:sz w:val="20"/>
          <w:szCs w:val="20"/>
          <w:color w:val="auto"/>
        </w:rPr>
      </w:pPr>
      <w:r>
        <w:rPr>
          <w:rFonts w:ascii="Courier New" w:cs="Courier New" w:eastAsia="Courier New" w:hAnsi="Courier New"/>
          <w:sz w:val="15"/>
          <w:szCs w:val="15"/>
          <w:color w:val="auto"/>
        </w:rPr>
        <w:t>3,069,165</w:t>
      </w:r>
    </w:p>
    <w:p>
      <w:pPr>
        <w:ind w:left="2680"/>
        <w:spacing w:after="0" w:line="237" w:lineRule="auto"/>
        <w:rPr>
          <w:sz w:val="20"/>
          <w:szCs w:val="20"/>
          <w:color w:val="auto"/>
        </w:rPr>
      </w:pPr>
      <w:r>
        <w:rPr>
          <w:rFonts w:ascii="Courier New" w:cs="Courier New" w:eastAsia="Courier New" w:hAnsi="Courier New"/>
          <w:sz w:val="15"/>
          <w:szCs w:val="15"/>
          <w:color w:val="auto"/>
        </w:rPr>
        <w:t>230,718</w:t>
      </w:r>
    </w:p>
    <w:p>
      <w:pPr>
        <w:ind w:left="2600"/>
        <w:spacing w:after="0" w:line="238" w:lineRule="auto"/>
        <w:rPr>
          <w:sz w:val="20"/>
          <w:szCs w:val="20"/>
          <w:color w:val="auto"/>
        </w:rPr>
      </w:pPr>
      <w:r>
        <w:rPr>
          <w:rFonts w:ascii="Courier New" w:cs="Courier New" w:eastAsia="Courier New" w:hAnsi="Courier New"/>
          <w:sz w:val="15"/>
          <w:szCs w:val="15"/>
          <w:color w:val="auto"/>
        </w:rPr>
        <w:t>32,854</w:t>
      </w:r>
    </w:p>
    <w:p>
      <w:pPr>
        <w:ind w:left="2760"/>
        <w:spacing w:after="0" w:line="237" w:lineRule="auto"/>
        <w:rPr>
          <w:sz w:val="20"/>
          <w:szCs w:val="20"/>
          <w:color w:val="auto"/>
        </w:rPr>
      </w:pPr>
      <w:r>
        <w:rPr>
          <w:rFonts w:ascii="Courier New" w:cs="Courier New" w:eastAsia="Courier New" w:hAnsi="Courier New"/>
          <w:sz w:val="15"/>
          <w:szCs w:val="15"/>
          <w:color w:val="auto"/>
        </w:rPr>
        <w:t>8,959</w:t>
      </w:r>
    </w:p>
    <w:p>
      <w:pPr>
        <w:ind w:left="2600"/>
        <w:spacing w:after="0" w:line="238" w:lineRule="auto"/>
        <w:rPr>
          <w:sz w:val="20"/>
          <w:szCs w:val="20"/>
          <w:color w:val="auto"/>
        </w:rPr>
      </w:pPr>
      <w:r>
        <w:rPr>
          <w:rFonts w:ascii="Courier New" w:cs="Courier New" w:eastAsia="Courier New" w:hAnsi="Courier New"/>
          <w:sz w:val="15"/>
          <w:szCs w:val="15"/>
          <w:color w:val="auto"/>
        </w:rPr>
        <w:t>272,531</w:t>
      </w:r>
    </w:p>
    <w:p>
      <w:pPr>
        <w:ind w:left="2420"/>
        <w:spacing w:after="0" w:line="237" w:lineRule="auto"/>
        <w:rPr>
          <w:sz w:val="20"/>
          <w:szCs w:val="20"/>
          <w:color w:val="auto"/>
        </w:rPr>
      </w:pPr>
      <w:r>
        <w:rPr>
          <w:rFonts w:ascii="Courier New" w:cs="Courier New" w:eastAsia="Courier New" w:hAnsi="Courier New"/>
          <w:sz w:val="15"/>
          <w:szCs w:val="15"/>
          <w:color w:val="auto"/>
        </w:rPr>
        <w:t>122,070</w:t>
      </w:r>
    </w:p>
    <w:p>
      <w:pPr>
        <w:ind w:left="2420"/>
        <w:spacing w:after="0" w:line="238" w:lineRule="auto"/>
        <w:rPr>
          <w:sz w:val="20"/>
          <w:szCs w:val="20"/>
          <w:color w:val="auto"/>
        </w:rPr>
      </w:pPr>
      <w:r>
        <w:rPr>
          <w:rFonts w:ascii="Courier New" w:cs="Courier New" w:eastAsia="Courier New" w:hAnsi="Courier New"/>
          <w:sz w:val="15"/>
          <w:szCs w:val="15"/>
          <w:color w:val="auto"/>
        </w:rPr>
        <w:t>156,289</w:t>
      </w:r>
    </w:p>
    <w:p>
      <w:pPr>
        <w:ind w:left="2160"/>
        <w:spacing w:after="0" w:line="238" w:lineRule="auto"/>
        <w:rPr>
          <w:sz w:val="20"/>
          <w:szCs w:val="20"/>
          <w:color w:val="auto"/>
        </w:rPr>
      </w:pPr>
      <w:r>
        <w:rPr>
          <w:rFonts w:ascii="Courier New" w:cs="Courier New" w:eastAsia="Courier New" w:hAnsi="Courier New"/>
          <w:sz w:val="15"/>
          <w:szCs w:val="15"/>
          <w:color w:val="auto"/>
        </w:rPr>
        <w:t>116,242</w:t>
      </w:r>
    </w:p>
    <w:p>
      <w:pPr>
        <w:ind w:left="2940"/>
        <w:spacing w:after="0" w:line="237" w:lineRule="auto"/>
        <w:rPr>
          <w:sz w:val="20"/>
          <w:szCs w:val="20"/>
          <w:color w:val="auto"/>
        </w:rPr>
      </w:pPr>
      <w:r>
        <w:rPr>
          <w:rFonts w:ascii="Courier New" w:cs="Courier New" w:eastAsia="Courier New" w:hAnsi="Courier New"/>
          <w:sz w:val="15"/>
          <w:szCs w:val="15"/>
          <w:color w:val="auto"/>
        </w:rPr>
        <w:t>32,218</w:t>
      </w:r>
    </w:p>
    <w:p>
      <w:pPr>
        <w:ind w:left="2500"/>
        <w:spacing w:after="0" w:line="238" w:lineRule="auto"/>
        <w:rPr>
          <w:sz w:val="20"/>
          <w:szCs w:val="20"/>
          <w:color w:val="auto"/>
        </w:rPr>
      </w:pPr>
      <w:r>
        <w:rPr>
          <w:rFonts w:ascii="Courier New" w:cs="Courier New" w:eastAsia="Courier New" w:hAnsi="Courier New"/>
          <w:sz w:val="15"/>
          <w:szCs w:val="15"/>
          <w:color w:val="auto"/>
        </w:rPr>
        <w:t>77,979</w:t>
      </w:r>
    </w:p>
    <w:p>
      <w:pPr>
        <w:ind w:left="2760"/>
        <w:spacing w:after="0" w:line="237" w:lineRule="auto"/>
        <w:rPr>
          <w:sz w:val="20"/>
          <w:szCs w:val="20"/>
          <w:color w:val="auto"/>
        </w:rPr>
      </w:pPr>
      <w:r>
        <w:rPr>
          <w:rFonts w:ascii="Courier New" w:cs="Courier New" w:eastAsia="Courier New" w:hAnsi="Courier New"/>
          <w:sz w:val="15"/>
          <w:szCs w:val="15"/>
          <w:color w:val="auto"/>
        </w:rPr>
        <w:t>132,042</w:t>
      </w:r>
    </w:p>
    <w:p>
      <w:pPr>
        <w:ind w:left="2760"/>
        <w:spacing w:after="0" w:line="238" w:lineRule="auto"/>
        <w:rPr>
          <w:sz w:val="20"/>
          <w:szCs w:val="20"/>
          <w:color w:val="auto"/>
        </w:rPr>
      </w:pPr>
      <w:r>
        <w:rPr>
          <w:rFonts w:ascii="Courier New" w:cs="Courier New" w:eastAsia="Courier New" w:hAnsi="Courier New"/>
          <w:sz w:val="15"/>
          <w:szCs w:val="15"/>
          <w:color w:val="auto"/>
        </w:rPr>
        <w:t>99,538</w:t>
      </w:r>
    </w:p>
    <w:p>
      <w:pPr>
        <w:ind w:left="1800"/>
        <w:spacing w:after="0" w:line="237" w:lineRule="auto"/>
        <w:rPr>
          <w:sz w:val="20"/>
          <w:szCs w:val="20"/>
          <w:color w:val="auto"/>
        </w:rPr>
      </w:pPr>
      <w:r>
        <w:rPr>
          <w:rFonts w:ascii="Courier New" w:cs="Courier New" w:eastAsia="Courier New" w:hAnsi="Courier New"/>
          <w:sz w:val="15"/>
          <w:szCs w:val="15"/>
          <w:color w:val="auto"/>
        </w:rPr>
        <w:t>99,538</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74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78,932</w:t>
      </w:r>
    </w:p>
    <w:p>
      <w:pPr>
        <w:ind w:left="3120"/>
        <w:spacing w:after="0" w:line="238" w:lineRule="auto"/>
        <w:rPr>
          <w:sz w:val="20"/>
          <w:szCs w:val="20"/>
          <w:color w:val="auto"/>
        </w:rPr>
      </w:pPr>
      <w:r>
        <w:rPr>
          <w:rFonts w:ascii="Courier New" w:cs="Courier New" w:eastAsia="Courier New" w:hAnsi="Courier New"/>
          <w:sz w:val="15"/>
          <w:szCs w:val="15"/>
          <w:color w:val="auto"/>
        </w:rPr>
        <w:t>1.40</w:t>
      </w:r>
    </w:p>
    <w:p>
      <w:pPr>
        <w:ind w:left="3120"/>
        <w:spacing w:after="0" w:line="237" w:lineRule="auto"/>
        <w:rPr>
          <w:sz w:val="20"/>
          <w:szCs w:val="20"/>
          <w:color w:val="auto"/>
        </w:rPr>
      </w:pPr>
      <w:r>
        <w:rPr>
          <w:rFonts w:ascii="Courier New" w:cs="Courier New" w:eastAsia="Courier New" w:hAnsi="Courier New"/>
          <w:sz w:val="15"/>
          <w:szCs w:val="15"/>
          <w:color w:val="auto"/>
        </w:rPr>
        <w:t>1.39</w:t>
      </w:r>
    </w:p>
    <w:p>
      <w:pPr>
        <w:ind w:left="2940"/>
        <w:spacing w:after="0" w:line="238" w:lineRule="auto"/>
        <w:rPr>
          <w:sz w:val="20"/>
          <w:szCs w:val="20"/>
          <w:color w:val="auto"/>
        </w:rPr>
      </w:pPr>
      <w:r>
        <w:rPr>
          <w:rFonts w:ascii="Courier New" w:cs="Courier New" w:eastAsia="Courier New" w:hAnsi="Courier New"/>
          <w:sz w:val="15"/>
          <w:szCs w:val="15"/>
          <w:color w:val="auto"/>
        </w:rPr>
        <w:t>11.50</w:t>
      </w:r>
    </w:p>
    <w:p>
      <w:pPr>
        <w:ind w:left="3040"/>
        <w:spacing w:after="0" w:line="237" w:lineRule="auto"/>
        <w:rPr>
          <w:sz w:val="20"/>
          <w:szCs w:val="20"/>
          <w:color w:val="auto"/>
        </w:rPr>
      </w:pPr>
      <w:r>
        <w:rPr>
          <w:rFonts w:ascii="Courier New" w:cs="Courier New" w:eastAsia="Courier New" w:hAnsi="Courier New"/>
          <w:sz w:val="15"/>
          <w:szCs w:val="15"/>
          <w:color w:val="auto"/>
        </w:rPr>
        <w:t>880,357</w:t>
      </w:r>
    </w:p>
    <w:p>
      <w:pPr>
        <w:ind w:left="346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680"/>
        <w:spacing w:after="0" w:line="238" w:lineRule="auto"/>
        <w:rPr>
          <w:sz w:val="20"/>
          <w:szCs w:val="20"/>
          <w:color w:val="auto"/>
        </w:rPr>
      </w:pPr>
      <w:r>
        <w:rPr>
          <w:rFonts w:ascii="Courier New" w:cs="Courier New" w:eastAsia="Courier New" w:hAnsi="Courier New"/>
          <w:sz w:val="15"/>
          <w:szCs w:val="15"/>
          <w:color w:val="auto"/>
        </w:rPr>
        <w:t>15,061</w:t>
      </w:r>
    </w:p>
    <w:p>
      <w:pPr>
        <w:ind w:left="2940"/>
        <w:spacing w:after="0" w:line="237" w:lineRule="auto"/>
        <w:rPr>
          <w:sz w:val="20"/>
          <w:szCs w:val="20"/>
          <w:color w:val="auto"/>
        </w:rPr>
      </w:pPr>
      <w:r>
        <w:rPr>
          <w:rFonts w:ascii="Courier New" w:cs="Courier New" w:eastAsia="Courier New" w:hAnsi="Courier New"/>
          <w:sz w:val="15"/>
          <w:szCs w:val="15"/>
          <w:color w:val="auto"/>
        </w:rPr>
        <w:t>20,501</w:t>
      </w:r>
    </w:p>
    <w:p>
      <w:pPr>
        <w:ind w:left="3300"/>
        <w:spacing w:after="0" w:line="238" w:lineRule="auto"/>
        <w:rPr>
          <w:sz w:val="20"/>
          <w:szCs w:val="20"/>
          <w:color w:val="auto"/>
        </w:rPr>
      </w:pPr>
      <w:r>
        <w:rPr>
          <w:rFonts w:ascii="Courier New" w:cs="Courier New" w:eastAsia="Courier New" w:hAnsi="Courier New"/>
          <w:sz w:val="15"/>
          <w:szCs w:val="15"/>
          <w:color w:val="auto"/>
        </w:rPr>
        <w:t>410</w:t>
      </w:r>
    </w:p>
    <w:p>
      <w:pPr>
        <w:ind w:left="2600"/>
        <w:spacing w:after="0" w:line="237" w:lineRule="auto"/>
        <w:rPr>
          <w:sz w:val="20"/>
          <w:szCs w:val="20"/>
          <w:color w:val="auto"/>
        </w:rPr>
      </w:pPr>
      <w:r>
        <w:rPr>
          <w:rFonts w:ascii="Courier New" w:cs="Courier New" w:eastAsia="Courier New" w:hAnsi="Courier New"/>
          <w:sz w:val="15"/>
          <w:szCs w:val="15"/>
          <w:color w:val="auto"/>
        </w:rPr>
        <w:t>27,188</w:t>
      </w:r>
    </w:p>
    <w:p>
      <w:pPr>
        <w:ind w:left="2340"/>
        <w:spacing w:after="0" w:line="238" w:lineRule="auto"/>
        <w:rPr>
          <w:sz w:val="20"/>
          <w:szCs w:val="20"/>
          <w:color w:val="auto"/>
        </w:rPr>
      </w:pPr>
      <w:r>
        <w:rPr>
          <w:rFonts w:ascii="Courier New" w:cs="Courier New" w:eastAsia="Courier New" w:hAnsi="Courier New"/>
          <w:sz w:val="15"/>
          <w:szCs w:val="15"/>
          <w:color w:val="auto"/>
        </w:rPr>
        <w:t>27,188</w:t>
      </w:r>
    </w:p>
    <w:p>
      <w:pPr>
        <w:ind w:left="2860"/>
        <w:spacing w:after="0" w:line="238" w:lineRule="auto"/>
        <w:rPr>
          <w:sz w:val="20"/>
          <w:szCs w:val="20"/>
          <w:color w:val="auto"/>
        </w:rPr>
      </w:pPr>
      <w:r>
        <w:rPr>
          <w:rFonts w:ascii="Courier New" w:cs="Courier New" w:eastAsia="Courier New" w:hAnsi="Courier New"/>
          <w:sz w:val="15"/>
          <w:szCs w:val="15"/>
          <w:color w:val="auto"/>
        </w:rPr>
        <w:t>0</w:t>
      </w:r>
    </w:p>
    <w:p>
      <w:pPr>
        <w:ind w:left="2500"/>
        <w:spacing w:after="0" w:line="237" w:lineRule="auto"/>
        <w:rPr>
          <w:sz w:val="20"/>
          <w:szCs w:val="20"/>
          <w:color w:val="auto"/>
        </w:rPr>
      </w:pPr>
      <w:r>
        <w:rPr>
          <w:rFonts w:ascii="Courier New" w:cs="Courier New" w:eastAsia="Courier New" w:hAnsi="Courier New"/>
          <w:sz w:val="15"/>
          <w:szCs w:val="15"/>
          <w:color w:val="auto"/>
        </w:rPr>
        <w:t>0</w:t>
      </w:r>
    </w:p>
    <w:p>
      <w:pPr>
        <w:spacing w:after="0" w:line="342"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18 includes</w:t>
      </w:r>
      <w:r>
        <w:rPr>
          <w:sz w:val="20"/>
          <w:szCs w:val="20"/>
          <w:color w:val="auto"/>
        </w:rPr>
        <w:t xml:space="preserve"> </w:t>
      </w:r>
      <w:r>
        <w:rPr>
          <w:rFonts w:ascii="Courier New" w:cs="Courier New" w:eastAsia="Courier New" w:hAnsi="Courier New"/>
          <w:sz w:val="15"/>
          <w:szCs w:val="15"/>
          <w:color w:val="auto"/>
        </w:rPr>
        <w:t>Loans Available for Sale of $177,041 Loan Portfolio of $266,299 and Discount Loan Portfolio of $1,434,176.</w:t>
      </w:r>
    </w:p>
    <w:p>
      <w:pPr>
        <w:spacing w:after="0" w:line="5"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19 includes</w:t>
      </w:r>
      <w:r>
        <w:rPr>
          <w:sz w:val="20"/>
          <w:szCs w:val="20"/>
          <w:color w:val="auto"/>
        </w:rPr>
        <w:t xml:space="preserve"> </w:t>
      </w:r>
      <w:r>
        <w:rPr>
          <w:rFonts w:ascii="Courier New" w:cs="Courier New" w:eastAsia="Courier New" w:hAnsi="Courier New"/>
          <w:sz w:val="15"/>
          <w:szCs w:val="15"/>
          <w:color w:val="auto"/>
        </w:rPr>
        <w:t>allowance for loan losses on loan portfolio of $3,695 and on discount loan portfolio of $23,493.</w:t>
      </w:r>
    </w:p>
    <w:p>
      <w:pPr>
        <w:ind w:left="140"/>
        <w:spacing w:after="0"/>
        <w:tabs>
          <w:tab w:leader="none" w:pos="1620" w:val="left"/>
          <w:tab w:leader="none" w:pos="2480" w:val="left"/>
          <w:tab w:leader="none" w:pos="3980" w:val="left"/>
        </w:tabs>
        <w:rPr>
          <w:sz w:val="20"/>
          <w:szCs w:val="20"/>
          <w:color w:val="auto"/>
        </w:rPr>
      </w:pPr>
      <w:r>
        <w:rPr>
          <w:rFonts w:ascii="Courier New" w:cs="Courier New" w:eastAsia="Courier New" w:hAnsi="Courier New"/>
          <w:sz w:val="15"/>
          <w:szCs w:val="15"/>
          <w:color w:val="auto"/>
        </w:rPr>
        <w:t>Tag 30 includes</w:t>
        <w:tab/>
        <w:t>Interest</w:t>
        <w:tab/>
        <w:t>Income on Loans</w:t>
      </w:r>
      <w:r>
        <w:rPr>
          <w:sz w:val="20"/>
          <w:szCs w:val="20"/>
          <w:color w:val="auto"/>
        </w:rPr>
        <w:tab/>
      </w:r>
      <w:r>
        <w:rPr>
          <w:rFonts w:ascii="Courier New" w:cs="Courier New" w:eastAsia="Courier New" w:hAnsi="Courier New"/>
          <w:sz w:val="14"/>
          <w:szCs w:val="14"/>
          <w:color w:val="auto"/>
        </w:rPr>
        <w:t>Available for Sale of $18,368.</w:t>
      </w:r>
    </w:p>
    <w:p>
      <w:pPr>
        <w:ind w:left="500"/>
        <w:spacing w:after="0" w:line="238" w:lineRule="auto"/>
        <w:rPr>
          <w:sz w:val="20"/>
          <w:szCs w:val="20"/>
          <w:color w:val="auto"/>
        </w:rPr>
      </w:pPr>
      <w:r>
        <w:rPr>
          <w:rFonts w:ascii="Courier New" w:cs="Courier New" w:eastAsia="Courier New" w:hAnsi="Courier New"/>
          <w:sz w:val="15"/>
          <w:szCs w:val="15"/>
          <w:color w:val="auto"/>
        </w:rPr>
        <w:t>Loans of $54,701 and Discount Loans of $157,649.</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39 includes</w:t>
      </w:r>
      <w:r>
        <w:rPr>
          <w:sz w:val="20"/>
          <w:szCs w:val="20"/>
          <w:color w:val="auto"/>
        </w:rPr>
        <w:t xml:space="preserve"> </w:t>
      </w:r>
      <w:r>
        <w:rPr>
          <w:rFonts w:ascii="Courier New" w:cs="Courier New" w:eastAsia="Courier New" w:hAnsi="Courier New"/>
          <w:sz w:val="15"/>
          <w:szCs w:val="15"/>
          <w:color w:val="auto"/>
        </w:rPr>
        <w:t>Non-interest expense of $126,793 and Distributions on Company-Obligated, Mandatorily Reedemable Securities of Subsidiary Trust Holding Solely Junior Subordinated Debentures of the Company of $5,249.</w:t>
      </w:r>
    </w:p>
    <w:p>
      <w:pPr>
        <w:sectPr>
          <w:pgSz w:w="11900" w:h="16838" w:orient="portrait"/>
          <w:cols w:equalWidth="0" w:num="1">
            <w:col w:w="10199"/>
          </w:cols>
          <w:pgMar w:left="260" w:top="471" w:right="1440" w:bottom="1440" w:gutter="0" w:footer="0" w:header="0"/>
        </w:sectPr>
      </w:pPr>
    </w:p>
    <w:bookmarkStart w:id="159" w:name="page160"/>
    <w:bookmarkEnd w:id="159"/>
    <w:p>
      <w:pPr>
        <w:ind w:left="382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0000873860</w:t>
      </w:r>
    </w:p>
    <w:p>
      <w:pPr>
        <w:ind w:left="3740"/>
        <w:spacing w:after="0" w:line="237" w:lineRule="auto"/>
        <w:rPr>
          <w:sz w:val="20"/>
          <w:szCs w:val="20"/>
          <w:color w:val="auto"/>
        </w:rPr>
      </w:pPr>
      <w:r>
        <w:rPr>
          <w:rFonts w:ascii="Courier New" w:cs="Courier New" w:eastAsia="Courier New" w:hAnsi="Courier New"/>
          <w:sz w:val="15"/>
          <w:szCs w:val="15"/>
          <w:color w:val="auto"/>
        </w:rPr>
        <w:t>Ocwen Financial Corp.</w:t>
      </w:r>
    </w:p>
    <w:p>
      <w:pPr>
        <w:ind w:left="3560"/>
        <w:spacing w:after="0" w:line="238" w:lineRule="auto"/>
        <w:rPr>
          <w:sz w:val="20"/>
          <w:szCs w:val="20"/>
          <w:color w:val="auto"/>
        </w:rPr>
      </w:pPr>
      <w:r>
        <w:rPr>
          <w:rFonts w:ascii="Courier New" w:cs="Courier New" w:eastAsia="Courier New" w:hAnsi="Courier New"/>
          <w:sz w:val="15"/>
          <w:szCs w:val="15"/>
          <w:color w:val="auto"/>
        </w:rPr>
        <w:t>1,000</w:t>
      </w:r>
    </w:p>
    <w:p>
      <w:pPr>
        <w:ind w:left="3900"/>
        <w:spacing w:after="0" w:line="237"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YEAR</w:t>
      </w:r>
    </w:p>
    <w:p>
      <w:pPr>
        <w:ind w:left="2760"/>
        <w:spacing w:after="0" w:line="237" w:lineRule="auto"/>
        <w:rPr>
          <w:sz w:val="20"/>
          <w:szCs w:val="20"/>
          <w:color w:val="auto"/>
        </w:rPr>
      </w:pPr>
      <w:r>
        <w:rPr>
          <w:rFonts w:ascii="Courier New" w:cs="Courier New" w:eastAsia="Courier New" w:hAnsi="Courier New"/>
          <w:sz w:val="15"/>
          <w:szCs w:val="15"/>
          <w:color w:val="auto"/>
        </w:rPr>
        <w:t>DEC-31-1996</w:t>
      </w:r>
    </w:p>
    <w:p>
      <w:pPr>
        <w:ind w:left="3040"/>
        <w:spacing w:after="0" w:line="238" w:lineRule="auto"/>
        <w:rPr>
          <w:sz w:val="20"/>
          <w:szCs w:val="20"/>
          <w:color w:val="auto"/>
        </w:rPr>
      </w:pPr>
      <w:r>
        <w:rPr>
          <w:rFonts w:ascii="Courier New" w:cs="Courier New" w:eastAsia="Courier New" w:hAnsi="Courier New"/>
          <w:sz w:val="15"/>
          <w:szCs w:val="15"/>
          <w:color w:val="auto"/>
        </w:rPr>
        <w:t>JAN-01-1996</w:t>
      </w:r>
    </w:p>
    <w:p>
      <w:pPr>
        <w:jc w:val="center"/>
        <w:ind w:right="2839"/>
        <w:spacing w:after="0" w:line="237" w:lineRule="auto"/>
        <w:rPr>
          <w:sz w:val="20"/>
          <w:szCs w:val="20"/>
          <w:color w:val="auto"/>
        </w:rPr>
      </w:pPr>
      <w:r>
        <w:rPr>
          <w:rFonts w:ascii="Courier New" w:cs="Courier New" w:eastAsia="Courier New" w:hAnsi="Courier New"/>
          <w:sz w:val="15"/>
          <w:szCs w:val="15"/>
          <w:color w:val="auto"/>
        </w:rPr>
        <w:t>DEC-31-1996</w:t>
      </w:r>
    </w:p>
    <w:p>
      <w:pPr>
        <w:jc w:val="center"/>
        <w:ind w:right="2839"/>
        <w:spacing w:after="0" w:line="238" w:lineRule="auto"/>
        <w:rPr>
          <w:sz w:val="20"/>
          <w:szCs w:val="20"/>
          <w:color w:val="auto"/>
        </w:rPr>
      </w:pPr>
      <w:r>
        <w:rPr>
          <w:rFonts w:ascii="Courier New" w:cs="Courier New" w:eastAsia="Courier New" w:hAnsi="Courier New"/>
          <w:sz w:val="15"/>
          <w:szCs w:val="15"/>
          <w:color w:val="auto"/>
        </w:rPr>
        <w:t>1</w:t>
      </w:r>
    </w:p>
    <w:p>
      <w:pPr>
        <w:ind w:left="4080"/>
        <w:spacing w:after="0" w:line="237" w:lineRule="auto"/>
        <w:rPr>
          <w:sz w:val="20"/>
          <w:szCs w:val="20"/>
          <w:color w:val="auto"/>
        </w:rPr>
      </w:pPr>
      <w:r>
        <w:rPr>
          <w:rFonts w:ascii="Courier New" w:cs="Courier New" w:eastAsia="Courier New" w:hAnsi="Courier New"/>
          <w:sz w:val="15"/>
          <w:szCs w:val="15"/>
          <w:color w:val="auto"/>
        </w:rPr>
        <w:t>6,878</w:t>
      </w:r>
    </w:p>
    <w:p>
      <w:pPr>
        <w:ind w:left="2600"/>
        <w:spacing w:after="0" w:line="238" w:lineRule="auto"/>
        <w:rPr>
          <w:sz w:val="20"/>
          <w:szCs w:val="20"/>
          <w:color w:val="auto"/>
        </w:rPr>
      </w:pPr>
      <w:r>
        <w:rPr>
          <w:rFonts w:ascii="Courier New" w:cs="Courier New" w:eastAsia="Courier New" w:hAnsi="Courier New"/>
          <w:sz w:val="15"/>
          <w:szCs w:val="15"/>
          <w:color w:val="auto"/>
        </w:rPr>
        <w:t>13,341</w:t>
      </w:r>
    </w:p>
    <w:p>
      <w:pPr>
        <w:ind w:left="3120"/>
        <w:spacing w:after="0" w:line="237" w:lineRule="auto"/>
        <w:rPr>
          <w:sz w:val="20"/>
          <w:szCs w:val="20"/>
          <w:color w:val="auto"/>
        </w:rPr>
      </w:pPr>
      <w:r>
        <w:rPr>
          <w:rFonts w:ascii="Courier New" w:cs="Courier New" w:eastAsia="Courier New" w:hAnsi="Courier New"/>
          <w:sz w:val="15"/>
          <w:szCs w:val="15"/>
          <w:color w:val="auto"/>
        </w:rPr>
        <w:t>32,000</w:t>
      </w:r>
    </w:p>
    <w:p>
      <w:pPr>
        <w:ind w:left="3120"/>
        <w:spacing w:after="0" w:line="238" w:lineRule="auto"/>
        <w:rPr>
          <w:sz w:val="20"/>
          <w:szCs w:val="20"/>
          <w:color w:val="auto"/>
        </w:rPr>
      </w:pPr>
      <w:r>
        <w:rPr>
          <w:rFonts w:ascii="Courier New" w:cs="Courier New" w:eastAsia="Courier New" w:hAnsi="Courier New"/>
          <w:sz w:val="15"/>
          <w:szCs w:val="15"/>
          <w:color w:val="auto"/>
        </w:rPr>
        <w:t>75,606</w:t>
      </w:r>
    </w:p>
    <w:p>
      <w:pPr>
        <w:ind w:left="2060"/>
        <w:spacing w:after="0" w:line="238" w:lineRule="auto"/>
        <w:rPr>
          <w:sz w:val="20"/>
          <w:szCs w:val="20"/>
          <w:color w:val="auto"/>
        </w:rPr>
      </w:pPr>
      <w:r>
        <w:rPr>
          <w:rFonts w:ascii="Courier New" w:cs="Courier New" w:eastAsia="Courier New" w:hAnsi="Courier New"/>
          <w:sz w:val="15"/>
          <w:szCs w:val="15"/>
          <w:color w:val="auto"/>
        </w:rPr>
        <w:t>354,005</w:t>
      </w:r>
    </w:p>
    <w:p>
      <w:pPr>
        <w:ind w:left="2680"/>
        <w:spacing w:after="0" w:line="237" w:lineRule="auto"/>
        <w:rPr>
          <w:sz w:val="20"/>
          <w:szCs w:val="20"/>
          <w:color w:val="auto"/>
        </w:rPr>
      </w:pPr>
      <w:r>
        <w:rPr>
          <w:rFonts w:ascii="Courier New" w:cs="Courier New" w:eastAsia="Courier New" w:hAnsi="Courier New"/>
          <w:sz w:val="15"/>
          <w:szCs w:val="15"/>
          <w:color w:val="auto"/>
        </w:rPr>
        <w:t>8,901</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1,589,901</w:t>
      </w:r>
    </w:p>
    <w:p>
      <w:pPr>
        <w:ind w:left="3560"/>
        <w:spacing w:after="0" w:line="238" w:lineRule="auto"/>
        <w:rPr>
          <w:sz w:val="20"/>
          <w:szCs w:val="20"/>
          <w:color w:val="auto"/>
        </w:rPr>
      </w:pPr>
      <w:r>
        <w:rPr>
          <w:rFonts w:ascii="Courier New" w:cs="Courier New" w:eastAsia="Courier New" w:hAnsi="Courier New"/>
          <w:sz w:val="15"/>
          <w:szCs w:val="15"/>
          <w:color w:val="auto"/>
        </w:rPr>
        <w:t>15,061</w:t>
      </w:r>
    </w:p>
    <w:p>
      <w:pPr>
        <w:ind w:left="3040"/>
        <w:spacing w:after="0" w:line="237" w:lineRule="auto"/>
        <w:rPr>
          <w:sz w:val="20"/>
          <w:szCs w:val="20"/>
          <w:color w:val="auto"/>
        </w:rPr>
      </w:pPr>
      <w:r>
        <w:rPr>
          <w:rFonts w:ascii="Courier New" w:cs="Courier New" w:eastAsia="Courier New" w:hAnsi="Courier New"/>
          <w:sz w:val="15"/>
          <w:szCs w:val="15"/>
          <w:color w:val="auto"/>
        </w:rPr>
        <w:t>2,483,685</w:t>
      </w:r>
    </w:p>
    <w:p>
      <w:pPr>
        <w:ind w:left="3380"/>
        <w:spacing w:after="0" w:line="238" w:lineRule="auto"/>
        <w:rPr>
          <w:sz w:val="20"/>
          <w:szCs w:val="20"/>
          <w:color w:val="auto"/>
        </w:rPr>
      </w:pPr>
      <w:r>
        <w:rPr>
          <w:rFonts w:ascii="Courier New" w:cs="Courier New" w:eastAsia="Courier New" w:hAnsi="Courier New"/>
          <w:sz w:val="15"/>
          <w:szCs w:val="15"/>
          <w:color w:val="auto"/>
        </w:rPr>
        <w:t>1,919,742</w:t>
      </w:r>
    </w:p>
    <w:p>
      <w:pPr>
        <w:ind w:left="3460"/>
        <w:spacing w:after="0" w:line="238" w:lineRule="auto"/>
        <w:rPr>
          <w:sz w:val="20"/>
          <w:szCs w:val="20"/>
          <w:color w:val="auto"/>
        </w:rPr>
      </w:pPr>
      <w:r>
        <w:rPr>
          <w:rFonts w:ascii="Courier New" w:cs="Courier New" w:eastAsia="Courier New" w:hAnsi="Courier New"/>
          <w:sz w:val="15"/>
          <w:szCs w:val="15"/>
          <w:color w:val="auto"/>
        </w:rPr>
        <w:t>74,945</w:t>
      </w:r>
    </w:p>
    <w:p>
      <w:pPr>
        <w:ind w:left="2860"/>
        <w:spacing w:after="0" w:line="237" w:lineRule="auto"/>
        <w:rPr>
          <w:sz w:val="20"/>
          <w:szCs w:val="20"/>
          <w:color w:val="auto"/>
        </w:rPr>
      </w:pPr>
      <w:r>
        <w:rPr>
          <w:rFonts w:ascii="Courier New" w:cs="Courier New" w:eastAsia="Courier New" w:hAnsi="Courier New"/>
          <w:sz w:val="15"/>
          <w:szCs w:val="15"/>
          <w:color w:val="auto"/>
        </w:rPr>
        <w:t>59,829</w:t>
      </w:r>
    </w:p>
    <w:p>
      <w:pPr>
        <w:ind w:left="3460"/>
        <w:spacing w:after="0" w:line="238" w:lineRule="auto"/>
        <w:rPr>
          <w:sz w:val="20"/>
          <w:szCs w:val="20"/>
          <w:color w:val="auto"/>
        </w:rPr>
      </w:pPr>
      <w:r>
        <w:rPr>
          <w:rFonts w:ascii="Courier New" w:cs="Courier New" w:eastAsia="Courier New" w:hAnsi="Courier New"/>
          <w:sz w:val="15"/>
          <w:szCs w:val="15"/>
          <w:color w:val="auto"/>
        </w:rPr>
        <w:t>225,573</w:t>
      </w:r>
    </w:p>
    <w:p>
      <w:pPr>
        <w:ind w:left="3120"/>
        <w:spacing w:after="0" w:line="237" w:lineRule="auto"/>
        <w:rPr>
          <w:sz w:val="20"/>
          <w:szCs w:val="20"/>
          <w:color w:val="auto"/>
        </w:rPr>
      </w:pPr>
      <w:r>
        <w:rPr>
          <w:rFonts w:ascii="Courier New" w:cs="Courier New" w:eastAsia="Courier New" w:hAnsi="Courier New"/>
          <w:sz w:val="15"/>
          <w:szCs w:val="15"/>
          <w:color w:val="auto"/>
        </w:rPr>
        <w:t>0</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4080"/>
        <w:spacing w:after="0" w:line="237" w:lineRule="auto"/>
        <w:rPr>
          <w:sz w:val="20"/>
          <w:szCs w:val="20"/>
          <w:color w:val="auto"/>
        </w:rPr>
      </w:pPr>
      <w:r>
        <w:rPr>
          <w:rFonts w:ascii="Courier New" w:cs="Courier New" w:eastAsia="Courier New" w:hAnsi="Courier New"/>
          <w:sz w:val="15"/>
          <w:szCs w:val="15"/>
          <w:color w:val="auto"/>
        </w:rPr>
        <w:t>535</w:t>
      </w:r>
    </w:p>
    <w:p>
      <w:pPr>
        <w:ind w:left="3560"/>
        <w:spacing w:after="0" w:line="238" w:lineRule="auto"/>
        <w:rPr>
          <w:sz w:val="20"/>
          <w:szCs w:val="20"/>
          <w:color w:val="auto"/>
        </w:rPr>
      </w:pPr>
      <w:r>
        <w:rPr>
          <w:rFonts w:ascii="Courier New" w:cs="Courier New" w:eastAsia="Courier New" w:hAnsi="Courier New"/>
          <w:sz w:val="15"/>
          <w:szCs w:val="15"/>
          <w:color w:val="auto"/>
        </w:rPr>
        <w:t>203,061</w:t>
      </w:r>
    </w:p>
    <w:p>
      <w:pPr>
        <w:ind w:left="1640"/>
        <w:spacing w:after="0" w:line="238" w:lineRule="auto"/>
        <w:rPr>
          <w:sz w:val="20"/>
          <w:szCs w:val="20"/>
          <w:color w:val="auto"/>
        </w:rPr>
      </w:pPr>
      <w:r>
        <w:rPr>
          <w:rFonts w:ascii="Courier New" w:cs="Courier New" w:eastAsia="Courier New" w:hAnsi="Courier New"/>
          <w:sz w:val="15"/>
          <w:szCs w:val="15"/>
          <w:color w:val="auto"/>
        </w:rPr>
        <w:t>2,483,685</w:t>
      </w:r>
    </w:p>
    <w:p>
      <w:pPr>
        <w:ind w:left="3120"/>
        <w:spacing w:after="0" w:line="237" w:lineRule="auto"/>
        <w:rPr>
          <w:sz w:val="20"/>
          <w:szCs w:val="20"/>
          <w:color w:val="auto"/>
        </w:rPr>
      </w:pPr>
      <w:r>
        <w:rPr>
          <w:rFonts w:ascii="Courier New" w:cs="Courier New" w:eastAsia="Courier New" w:hAnsi="Courier New"/>
          <w:sz w:val="15"/>
          <w:szCs w:val="15"/>
          <w:color w:val="auto"/>
        </w:rPr>
        <w:t>157,075</w:t>
      </w:r>
    </w:p>
    <w:p>
      <w:pPr>
        <w:ind w:left="3040"/>
        <w:spacing w:after="0" w:line="238" w:lineRule="auto"/>
        <w:rPr>
          <w:sz w:val="20"/>
          <w:szCs w:val="20"/>
          <w:color w:val="auto"/>
        </w:rPr>
      </w:pPr>
      <w:r>
        <w:rPr>
          <w:rFonts w:ascii="Courier New" w:cs="Courier New" w:eastAsia="Courier New" w:hAnsi="Courier New"/>
          <w:sz w:val="15"/>
          <w:szCs w:val="15"/>
          <w:color w:val="auto"/>
        </w:rPr>
        <w:t>32,138</w:t>
      </w:r>
    </w:p>
    <w:p>
      <w:pPr>
        <w:ind w:left="3200"/>
        <w:spacing w:after="0" w:line="237" w:lineRule="auto"/>
        <w:rPr>
          <w:sz w:val="20"/>
          <w:szCs w:val="20"/>
          <w:color w:val="auto"/>
        </w:rPr>
      </w:pPr>
      <w:r>
        <w:rPr>
          <w:rFonts w:ascii="Courier New" w:cs="Courier New" w:eastAsia="Courier New" w:hAnsi="Courier New"/>
          <w:sz w:val="15"/>
          <w:szCs w:val="15"/>
          <w:color w:val="auto"/>
        </w:rPr>
        <w:t>4,681</w:t>
      </w:r>
    </w:p>
    <w:p>
      <w:pPr>
        <w:ind w:left="3040"/>
        <w:spacing w:after="0" w:line="238" w:lineRule="auto"/>
        <w:rPr>
          <w:sz w:val="20"/>
          <w:szCs w:val="20"/>
          <w:color w:val="auto"/>
        </w:rPr>
      </w:pPr>
      <w:r>
        <w:rPr>
          <w:rFonts w:ascii="Courier New" w:cs="Courier New" w:eastAsia="Courier New" w:hAnsi="Courier New"/>
          <w:sz w:val="15"/>
          <w:szCs w:val="15"/>
          <w:color w:val="auto"/>
        </w:rPr>
        <w:t>193,894</w:t>
      </w:r>
    </w:p>
    <w:p>
      <w:pPr>
        <w:ind w:left="2940"/>
        <w:spacing w:after="0" w:line="237" w:lineRule="auto"/>
        <w:rPr>
          <w:sz w:val="20"/>
          <w:szCs w:val="20"/>
          <w:color w:val="auto"/>
        </w:rPr>
      </w:pPr>
      <w:r>
        <w:rPr>
          <w:rFonts w:ascii="Courier New" w:cs="Courier New" w:eastAsia="Courier New" w:hAnsi="Courier New"/>
          <w:sz w:val="15"/>
          <w:szCs w:val="15"/>
          <w:color w:val="auto"/>
        </w:rPr>
        <w:t>93,773</w:t>
      </w:r>
    </w:p>
    <w:p>
      <w:pPr>
        <w:ind w:left="2860"/>
        <w:spacing w:after="0" w:line="238" w:lineRule="auto"/>
        <w:rPr>
          <w:sz w:val="20"/>
          <w:szCs w:val="20"/>
          <w:color w:val="auto"/>
        </w:rPr>
      </w:pPr>
      <w:r>
        <w:rPr>
          <w:rFonts w:ascii="Courier New" w:cs="Courier New" w:eastAsia="Courier New" w:hAnsi="Courier New"/>
          <w:sz w:val="15"/>
          <w:szCs w:val="15"/>
          <w:color w:val="auto"/>
        </w:rPr>
        <w:t>116,160</w:t>
      </w:r>
    </w:p>
    <w:p>
      <w:pPr>
        <w:ind w:left="2680"/>
        <w:spacing w:after="0" w:line="238" w:lineRule="auto"/>
        <w:rPr>
          <w:sz w:val="20"/>
          <w:szCs w:val="20"/>
          <w:color w:val="auto"/>
        </w:rPr>
      </w:pPr>
      <w:r>
        <w:rPr>
          <w:rFonts w:ascii="Courier New" w:cs="Courier New" w:eastAsia="Courier New" w:hAnsi="Courier New"/>
          <w:sz w:val="15"/>
          <w:szCs w:val="15"/>
          <w:color w:val="auto"/>
        </w:rPr>
        <w:t>77,734</w:t>
      </w:r>
    </w:p>
    <w:p>
      <w:pPr>
        <w:ind w:left="3380"/>
        <w:spacing w:after="0" w:line="237" w:lineRule="auto"/>
        <w:rPr>
          <w:sz w:val="20"/>
          <w:szCs w:val="20"/>
          <w:color w:val="auto"/>
        </w:rPr>
      </w:pPr>
      <w:r>
        <w:rPr>
          <w:rFonts w:ascii="Courier New" w:cs="Courier New" w:eastAsia="Courier New" w:hAnsi="Courier New"/>
          <w:sz w:val="15"/>
          <w:szCs w:val="15"/>
          <w:color w:val="auto"/>
        </w:rPr>
        <w:t>22,450</w:t>
      </w:r>
    </w:p>
    <w:p>
      <w:pPr>
        <w:ind w:left="2940"/>
        <w:spacing w:after="0" w:line="238" w:lineRule="auto"/>
        <w:rPr>
          <w:sz w:val="20"/>
          <w:szCs w:val="20"/>
          <w:color w:val="auto"/>
        </w:rPr>
      </w:pPr>
      <w:r>
        <w:rPr>
          <w:rFonts w:ascii="Courier New" w:cs="Courier New" w:eastAsia="Courier New" w:hAnsi="Courier New"/>
          <w:sz w:val="15"/>
          <w:szCs w:val="15"/>
          <w:color w:val="auto"/>
        </w:rPr>
        <w:t>15,291</w:t>
      </w:r>
    </w:p>
    <w:p>
      <w:pPr>
        <w:ind w:left="3200"/>
        <w:spacing w:after="0" w:line="237" w:lineRule="auto"/>
        <w:rPr>
          <w:sz w:val="20"/>
          <w:szCs w:val="20"/>
          <w:color w:val="auto"/>
        </w:rPr>
      </w:pPr>
      <w:r>
        <w:rPr>
          <w:rFonts w:ascii="Courier New" w:cs="Courier New" w:eastAsia="Courier New" w:hAnsi="Courier New"/>
          <w:sz w:val="15"/>
          <w:szCs w:val="15"/>
          <w:color w:val="auto"/>
        </w:rPr>
        <w:t>69,578</w:t>
      </w:r>
    </w:p>
    <w:p>
      <w:pPr>
        <w:ind w:left="3200"/>
        <w:spacing w:after="0" w:line="238" w:lineRule="auto"/>
        <w:rPr>
          <w:sz w:val="20"/>
          <w:szCs w:val="20"/>
          <w:color w:val="auto"/>
        </w:rPr>
      </w:pPr>
      <w:r>
        <w:rPr>
          <w:rFonts w:ascii="Courier New" w:cs="Courier New" w:eastAsia="Courier New" w:hAnsi="Courier New"/>
          <w:sz w:val="15"/>
          <w:szCs w:val="15"/>
          <w:color w:val="auto"/>
        </w:rPr>
        <w:t>61,301</w:t>
      </w:r>
    </w:p>
    <w:p>
      <w:pPr>
        <w:ind w:left="2240"/>
        <w:spacing w:after="0" w:line="237" w:lineRule="auto"/>
        <w:rPr>
          <w:sz w:val="20"/>
          <w:szCs w:val="20"/>
          <w:color w:val="auto"/>
        </w:rPr>
      </w:pPr>
      <w:r>
        <w:rPr>
          <w:rFonts w:ascii="Courier New" w:cs="Courier New" w:eastAsia="Courier New" w:hAnsi="Courier New"/>
          <w:sz w:val="15"/>
          <w:szCs w:val="15"/>
          <w:color w:val="auto"/>
        </w:rPr>
        <w:t>61,301</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7" w:lineRule="auto"/>
        <w:rPr>
          <w:sz w:val="20"/>
          <w:szCs w:val="20"/>
          <w:color w:val="auto"/>
        </w:rPr>
      </w:pPr>
      <w:r>
        <w:rPr>
          <w:rFonts w:ascii="Courier New" w:cs="Courier New" w:eastAsia="Courier New" w:hAnsi="Courier New"/>
          <w:sz w:val="15"/>
          <w:szCs w:val="15"/>
          <w:color w:val="auto"/>
        </w:rPr>
        <w:t>50,142</w:t>
      </w:r>
    </w:p>
    <w:p>
      <w:pPr>
        <w:ind w:left="3560"/>
        <w:spacing w:after="0" w:line="238" w:lineRule="auto"/>
        <w:rPr>
          <w:sz w:val="20"/>
          <w:szCs w:val="20"/>
          <w:color w:val="auto"/>
        </w:rPr>
      </w:pPr>
      <w:r>
        <w:rPr>
          <w:rFonts w:ascii="Courier New" w:cs="Courier New" w:eastAsia="Courier New" w:hAnsi="Courier New"/>
          <w:sz w:val="15"/>
          <w:szCs w:val="15"/>
          <w:color w:val="auto"/>
        </w:rPr>
        <w:t>0.99</w:t>
      </w:r>
    </w:p>
    <w:p>
      <w:pPr>
        <w:ind w:left="3560"/>
        <w:spacing w:after="0" w:line="237" w:lineRule="auto"/>
        <w:rPr>
          <w:sz w:val="20"/>
          <w:szCs w:val="20"/>
          <w:color w:val="auto"/>
        </w:rPr>
      </w:pPr>
      <w:r>
        <w:rPr>
          <w:rFonts w:ascii="Courier New" w:cs="Courier New" w:eastAsia="Courier New" w:hAnsi="Courier New"/>
          <w:sz w:val="15"/>
          <w:szCs w:val="15"/>
          <w:color w:val="auto"/>
        </w:rPr>
        <w:t>0.94</w:t>
      </w:r>
    </w:p>
    <w:p>
      <w:pPr>
        <w:ind w:left="3300"/>
        <w:spacing w:after="0" w:line="238" w:lineRule="auto"/>
        <w:rPr>
          <w:sz w:val="20"/>
          <w:szCs w:val="20"/>
          <w:color w:val="auto"/>
        </w:rPr>
      </w:pPr>
      <w:r>
        <w:rPr>
          <w:rFonts w:ascii="Courier New" w:cs="Courier New" w:eastAsia="Courier New" w:hAnsi="Courier New"/>
          <w:sz w:val="15"/>
          <w:szCs w:val="15"/>
          <w:color w:val="auto"/>
        </w:rPr>
        <w:t>12.075</w:t>
      </w:r>
    </w:p>
    <w:p>
      <w:pPr>
        <w:ind w:left="3460"/>
        <w:spacing w:after="0" w:line="237" w:lineRule="auto"/>
        <w:rPr>
          <w:sz w:val="20"/>
          <w:szCs w:val="20"/>
          <w:color w:val="auto"/>
        </w:rPr>
      </w:pPr>
      <w:r>
        <w:rPr>
          <w:rFonts w:ascii="Courier New" w:cs="Courier New" w:eastAsia="Courier New" w:hAnsi="Courier New"/>
          <w:sz w:val="15"/>
          <w:szCs w:val="15"/>
          <w:color w:val="auto"/>
        </w:rPr>
        <w:t>517,774</w:t>
      </w:r>
    </w:p>
    <w:p>
      <w:pPr>
        <w:ind w:left="3460"/>
        <w:spacing w:after="0" w:line="238" w:lineRule="auto"/>
        <w:rPr>
          <w:sz w:val="20"/>
          <w:szCs w:val="20"/>
          <w:color w:val="auto"/>
        </w:rPr>
      </w:pPr>
      <w:r>
        <w:rPr>
          <w:rFonts w:ascii="Courier New" w:cs="Courier New" w:eastAsia="Courier New" w:hAnsi="Courier New"/>
          <w:sz w:val="15"/>
          <w:szCs w:val="15"/>
          <w:color w:val="auto"/>
        </w:rPr>
        <w:t>45,635</w:t>
      </w:r>
    </w:p>
    <w:p>
      <w:pPr>
        <w:ind w:left="3040"/>
        <w:spacing w:after="0" w:line="238" w:lineRule="auto"/>
        <w:rPr>
          <w:sz w:val="20"/>
          <w:szCs w:val="20"/>
          <w:color w:val="auto"/>
        </w:rPr>
      </w:pPr>
      <w:r>
        <w:rPr>
          <w:rFonts w:ascii="Courier New" w:cs="Courier New" w:eastAsia="Courier New" w:hAnsi="Courier New"/>
          <w:sz w:val="15"/>
          <w:szCs w:val="15"/>
          <w:color w:val="auto"/>
        </w:rPr>
        <w:t>100,343</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1,947</w:t>
      </w:r>
    </w:p>
    <w:p>
      <w:pPr>
        <w:ind w:left="3460"/>
        <w:spacing w:after="0" w:line="237" w:lineRule="auto"/>
        <w:rPr>
          <w:sz w:val="20"/>
          <w:szCs w:val="20"/>
          <w:color w:val="auto"/>
        </w:rPr>
      </w:pPr>
      <w:r>
        <w:rPr>
          <w:rFonts w:ascii="Courier New" w:cs="Courier New" w:eastAsia="Courier New" w:hAnsi="Courier New"/>
          <w:sz w:val="15"/>
          <w:szCs w:val="15"/>
          <w:color w:val="auto"/>
        </w:rPr>
        <w:t>9,512</w:t>
      </w:r>
    </w:p>
    <w:p>
      <w:pPr>
        <w:ind w:left="3740"/>
        <w:spacing w:after="0" w:line="238" w:lineRule="auto"/>
        <w:rPr>
          <w:sz w:val="20"/>
          <w:szCs w:val="20"/>
          <w:color w:val="auto"/>
        </w:rPr>
      </w:pPr>
      <w:r>
        <w:rPr>
          <w:rFonts w:ascii="Courier New" w:cs="Courier New" w:eastAsia="Courier New" w:hAnsi="Courier New"/>
          <w:sz w:val="15"/>
          <w:szCs w:val="15"/>
          <w:color w:val="auto"/>
        </w:rPr>
        <w:t>176</w:t>
      </w:r>
    </w:p>
    <w:p>
      <w:pPr>
        <w:ind w:left="3040"/>
        <w:spacing w:after="0" w:line="237" w:lineRule="auto"/>
        <w:rPr>
          <w:sz w:val="20"/>
          <w:szCs w:val="20"/>
          <w:color w:val="auto"/>
        </w:rPr>
      </w:pPr>
      <w:r>
        <w:rPr>
          <w:rFonts w:ascii="Courier New" w:cs="Courier New" w:eastAsia="Courier New" w:hAnsi="Courier New"/>
          <w:sz w:val="15"/>
          <w:szCs w:val="15"/>
          <w:color w:val="auto"/>
        </w:rPr>
        <w:t>15,061</w:t>
      </w:r>
    </w:p>
    <w:p>
      <w:pPr>
        <w:ind w:left="2760"/>
        <w:spacing w:after="0" w:line="238" w:lineRule="auto"/>
        <w:rPr>
          <w:sz w:val="20"/>
          <w:szCs w:val="20"/>
          <w:color w:val="auto"/>
        </w:rPr>
      </w:pPr>
      <w:r>
        <w:rPr>
          <w:rFonts w:ascii="Courier New" w:cs="Courier New" w:eastAsia="Courier New" w:hAnsi="Courier New"/>
          <w:sz w:val="15"/>
          <w:szCs w:val="15"/>
          <w:color w:val="auto"/>
        </w:rPr>
        <w:t>15,061</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spacing w:after="0" w:line="342"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18 includes</w:t>
      </w:r>
      <w:r>
        <w:rPr>
          <w:sz w:val="20"/>
          <w:szCs w:val="20"/>
          <w:color w:val="auto"/>
        </w:rPr>
        <w:t xml:space="preserve"> </w:t>
      </w:r>
      <w:r>
        <w:rPr>
          <w:rFonts w:ascii="Courier New" w:cs="Courier New" w:eastAsia="Courier New" w:hAnsi="Courier New"/>
          <w:sz w:val="15"/>
          <w:szCs w:val="15"/>
          <w:color w:val="auto"/>
        </w:rPr>
        <w:t>loans available for sale of $126,366 loan portfolio of $402,582 and discount loan portfolio of $1,060,953.</w:t>
      </w:r>
    </w:p>
    <w:p>
      <w:pPr>
        <w:spacing w:after="0" w:line="5"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19 includes allowances for loan losses on loan portfolio of $3,523 and on discount loan portfolio of $11,538.</w:t>
      </w:r>
    </w:p>
    <w:p>
      <w:pPr>
        <w:spacing w:after="0" w:line="5"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30 includes</w:t>
      </w:r>
      <w:r>
        <w:rPr>
          <w:sz w:val="20"/>
          <w:szCs w:val="20"/>
          <w:color w:val="auto"/>
        </w:rPr>
        <w:t xml:space="preserve"> </w:t>
      </w:r>
      <w:r>
        <w:rPr>
          <w:rFonts w:ascii="Courier New" w:cs="Courier New" w:eastAsia="Courier New" w:hAnsi="Courier New"/>
          <w:sz w:val="15"/>
          <w:szCs w:val="15"/>
          <w:color w:val="auto"/>
        </w:rPr>
        <w:t>interest income on loans available for sale of $17,092, Loans of $36,818, and discount loans of $103,165.</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45</w:t>
      </w:r>
      <w:r>
        <w:rPr>
          <w:sz w:val="20"/>
          <w:szCs w:val="20"/>
          <w:color w:val="auto"/>
        </w:rPr>
        <w:t xml:space="preserve"> </w:t>
      </w:r>
      <w:r>
        <w:rPr>
          <w:rFonts w:ascii="Courier New" w:cs="Courier New" w:eastAsia="Courier New" w:hAnsi="Courier New"/>
          <w:sz w:val="15"/>
          <w:szCs w:val="15"/>
          <w:color w:val="auto"/>
        </w:rPr>
        <w:t>EPS-Primary has been restated in accordance with SFAS No. 128, "Earnings per Share" and for the 2-for-1 stock split approved by the Company's Board of Directors on October 29, 1997.</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46</w:t>
      </w:r>
      <w:r>
        <w:rPr>
          <w:sz w:val="20"/>
          <w:szCs w:val="20"/>
          <w:color w:val="auto"/>
        </w:rPr>
        <w:t xml:space="preserve"> </w:t>
      </w:r>
      <w:r>
        <w:rPr>
          <w:rFonts w:ascii="Courier New" w:cs="Courier New" w:eastAsia="Courier New" w:hAnsi="Courier New"/>
          <w:sz w:val="15"/>
          <w:szCs w:val="15"/>
          <w:color w:val="auto"/>
        </w:rPr>
        <w:t>EPS-Diluted has been restated in accordance with SFAS No. 128, "Earnings per Share" and for the 2-for-1 stock split approved by the Company's Board of Directors on October 29, 1997.</w:t>
      </w:r>
    </w:p>
    <w:p>
      <w:pPr>
        <w:sectPr>
          <w:pgSz w:w="11900" w:h="16838" w:orient="portrait"/>
          <w:cols w:equalWidth="0" w:num="1">
            <w:col w:w="10199"/>
          </w:cols>
          <w:pgMar w:left="260" w:top="471" w:right="1440" w:bottom="1440" w:gutter="0" w:footer="0" w:header="0"/>
        </w:sectPr>
      </w:pPr>
    </w:p>
    <w:bookmarkStart w:id="160" w:name="page161"/>
    <w:bookmarkEnd w:id="160"/>
    <w:p>
      <w:pPr>
        <w:ind w:left="382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337"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0000873860</w:t>
      </w:r>
    </w:p>
    <w:p>
      <w:pPr>
        <w:ind w:left="1980"/>
        <w:spacing w:after="0" w:line="237" w:lineRule="auto"/>
        <w:rPr>
          <w:sz w:val="20"/>
          <w:szCs w:val="20"/>
          <w:color w:val="auto"/>
        </w:rPr>
      </w:pPr>
      <w:r>
        <w:rPr>
          <w:rFonts w:ascii="Courier New" w:cs="Courier New" w:eastAsia="Courier New" w:hAnsi="Courier New"/>
          <w:sz w:val="15"/>
          <w:szCs w:val="15"/>
          <w:color w:val="auto"/>
        </w:rPr>
        <w:t>Ocwen Financial Corp.</w:t>
      </w:r>
    </w:p>
    <w:p>
      <w:pPr>
        <w:ind w:left="2860"/>
        <w:spacing w:after="0" w:line="238" w:lineRule="auto"/>
        <w:rPr>
          <w:sz w:val="20"/>
          <w:szCs w:val="20"/>
          <w:color w:val="auto"/>
        </w:rPr>
      </w:pPr>
      <w:r>
        <w:rPr>
          <w:rFonts w:ascii="Courier New" w:cs="Courier New" w:eastAsia="Courier New" w:hAnsi="Courier New"/>
          <w:sz w:val="15"/>
          <w:szCs w:val="15"/>
          <w:color w:val="auto"/>
        </w:rPr>
        <w:t>1,000</w:t>
      </w:r>
    </w:p>
    <w:p>
      <w:pPr>
        <w:ind w:left="3200"/>
        <w:spacing w:after="0" w:line="237"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9-MOS</w:t>
      </w:r>
    </w:p>
    <w:p>
      <w:pPr>
        <w:ind w:left="2760"/>
        <w:spacing w:after="0" w:line="237" w:lineRule="auto"/>
        <w:rPr>
          <w:sz w:val="20"/>
          <w:szCs w:val="20"/>
          <w:color w:val="auto"/>
        </w:rPr>
      </w:pPr>
      <w:r>
        <w:rPr>
          <w:rFonts w:ascii="Courier New" w:cs="Courier New" w:eastAsia="Courier New" w:hAnsi="Courier New"/>
          <w:sz w:val="15"/>
          <w:szCs w:val="15"/>
          <w:color w:val="auto"/>
        </w:rPr>
        <w:t>DEC-31-1996</w:t>
      </w:r>
    </w:p>
    <w:p>
      <w:pPr>
        <w:ind w:left="3040"/>
        <w:spacing w:after="0" w:line="238" w:lineRule="auto"/>
        <w:rPr>
          <w:sz w:val="20"/>
          <w:szCs w:val="20"/>
          <w:color w:val="auto"/>
        </w:rPr>
      </w:pPr>
      <w:r>
        <w:rPr>
          <w:rFonts w:ascii="Courier New" w:cs="Courier New" w:eastAsia="Courier New" w:hAnsi="Courier New"/>
          <w:sz w:val="15"/>
          <w:szCs w:val="15"/>
          <w:color w:val="auto"/>
        </w:rPr>
        <w:t>JAN-01-1996</w:t>
      </w:r>
    </w:p>
    <w:p>
      <w:pPr>
        <w:jc w:val="center"/>
        <w:ind w:right="2839"/>
        <w:spacing w:after="0" w:line="237" w:lineRule="auto"/>
        <w:rPr>
          <w:sz w:val="20"/>
          <w:szCs w:val="20"/>
          <w:color w:val="auto"/>
        </w:rPr>
      </w:pPr>
      <w:r>
        <w:rPr>
          <w:rFonts w:ascii="Courier New" w:cs="Courier New" w:eastAsia="Courier New" w:hAnsi="Courier New"/>
          <w:sz w:val="15"/>
          <w:szCs w:val="15"/>
          <w:color w:val="auto"/>
        </w:rPr>
        <w:t>SEP-30-1996</w:t>
      </w:r>
    </w:p>
    <w:p>
      <w:pPr>
        <w:jc w:val="center"/>
        <w:ind w:right="2839"/>
        <w:spacing w:after="0" w:line="238" w:lineRule="auto"/>
        <w:rPr>
          <w:sz w:val="20"/>
          <w:szCs w:val="20"/>
          <w:color w:val="auto"/>
        </w:rPr>
      </w:pPr>
      <w:r>
        <w:rPr>
          <w:rFonts w:ascii="Courier New" w:cs="Courier New" w:eastAsia="Courier New" w:hAnsi="Courier New"/>
          <w:sz w:val="15"/>
          <w:szCs w:val="15"/>
          <w:color w:val="auto"/>
        </w:rPr>
        <w:t>1</w:t>
      </w:r>
    </w:p>
    <w:p>
      <w:pPr>
        <w:ind w:left="4080"/>
        <w:spacing w:after="0" w:line="237" w:lineRule="auto"/>
        <w:rPr>
          <w:sz w:val="20"/>
          <w:szCs w:val="20"/>
          <w:color w:val="auto"/>
        </w:rPr>
      </w:pPr>
      <w:r>
        <w:rPr>
          <w:rFonts w:ascii="Courier New" w:cs="Courier New" w:eastAsia="Courier New" w:hAnsi="Courier New"/>
          <w:sz w:val="15"/>
          <w:szCs w:val="15"/>
          <w:color w:val="auto"/>
        </w:rPr>
        <w:t>7,278</w:t>
      </w:r>
    </w:p>
    <w:p>
      <w:pPr>
        <w:ind w:left="2600"/>
        <w:spacing w:after="0" w:line="238" w:lineRule="auto"/>
        <w:rPr>
          <w:sz w:val="20"/>
          <w:szCs w:val="20"/>
          <w:color w:val="auto"/>
        </w:rPr>
      </w:pPr>
      <w:r>
        <w:rPr>
          <w:rFonts w:ascii="Courier New" w:cs="Courier New" w:eastAsia="Courier New" w:hAnsi="Courier New"/>
          <w:sz w:val="15"/>
          <w:szCs w:val="15"/>
          <w:color w:val="auto"/>
        </w:rPr>
        <w:t>17,173</w:t>
      </w:r>
    </w:p>
    <w:p>
      <w:pPr>
        <w:ind w:left="3040"/>
        <w:spacing w:after="0" w:line="237" w:lineRule="auto"/>
        <w:rPr>
          <w:sz w:val="20"/>
          <w:szCs w:val="20"/>
          <w:color w:val="auto"/>
        </w:rPr>
      </w:pPr>
      <w:r>
        <w:rPr>
          <w:rFonts w:ascii="Courier New" w:cs="Courier New" w:eastAsia="Courier New" w:hAnsi="Courier New"/>
          <w:sz w:val="15"/>
          <w:szCs w:val="15"/>
          <w:color w:val="auto"/>
        </w:rPr>
        <w:t>185,000</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2060"/>
        <w:spacing w:after="0" w:line="238" w:lineRule="auto"/>
        <w:rPr>
          <w:sz w:val="20"/>
          <w:szCs w:val="20"/>
          <w:color w:val="auto"/>
        </w:rPr>
      </w:pPr>
      <w:r>
        <w:rPr>
          <w:rFonts w:ascii="Courier New" w:cs="Courier New" w:eastAsia="Courier New" w:hAnsi="Courier New"/>
          <w:sz w:val="15"/>
          <w:szCs w:val="15"/>
          <w:color w:val="auto"/>
        </w:rPr>
        <w:t>235,305</w:t>
      </w:r>
    </w:p>
    <w:p>
      <w:pPr>
        <w:ind w:left="2680"/>
        <w:spacing w:after="0" w:line="237" w:lineRule="auto"/>
        <w:rPr>
          <w:sz w:val="20"/>
          <w:szCs w:val="20"/>
          <w:color w:val="auto"/>
        </w:rPr>
      </w:pPr>
      <w:r>
        <w:rPr>
          <w:rFonts w:ascii="Courier New" w:cs="Courier New" w:eastAsia="Courier New" w:hAnsi="Courier New"/>
          <w:sz w:val="15"/>
          <w:szCs w:val="15"/>
          <w:color w:val="auto"/>
        </w:rPr>
        <w:t>8,902</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1,347,983</w:t>
      </w:r>
    </w:p>
    <w:p>
      <w:pPr>
        <w:ind w:left="3560"/>
        <w:spacing w:after="0" w:line="238" w:lineRule="auto"/>
        <w:rPr>
          <w:sz w:val="20"/>
          <w:szCs w:val="20"/>
          <w:color w:val="auto"/>
        </w:rPr>
      </w:pPr>
      <w:r>
        <w:rPr>
          <w:rFonts w:ascii="Courier New" w:cs="Courier New" w:eastAsia="Courier New" w:hAnsi="Courier New"/>
          <w:sz w:val="15"/>
          <w:szCs w:val="15"/>
          <w:color w:val="auto"/>
        </w:rPr>
        <w:t>16,200</w:t>
      </w:r>
    </w:p>
    <w:p>
      <w:pPr>
        <w:ind w:left="3040"/>
        <w:spacing w:after="0" w:line="237" w:lineRule="auto"/>
        <w:rPr>
          <w:sz w:val="20"/>
          <w:szCs w:val="20"/>
          <w:color w:val="auto"/>
        </w:rPr>
      </w:pPr>
      <w:r>
        <w:rPr>
          <w:rFonts w:ascii="Courier New" w:cs="Courier New" w:eastAsia="Courier New" w:hAnsi="Courier New"/>
          <w:sz w:val="15"/>
          <w:szCs w:val="15"/>
          <w:color w:val="auto"/>
        </w:rPr>
        <w:t>2,200,772</w:t>
      </w:r>
    </w:p>
    <w:p>
      <w:pPr>
        <w:ind w:left="3380"/>
        <w:spacing w:after="0" w:line="238" w:lineRule="auto"/>
        <w:rPr>
          <w:sz w:val="20"/>
          <w:szCs w:val="20"/>
          <w:color w:val="auto"/>
        </w:rPr>
      </w:pPr>
      <w:r>
        <w:rPr>
          <w:rFonts w:ascii="Courier New" w:cs="Courier New" w:eastAsia="Courier New" w:hAnsi="Courier New"/>
          <w:sz w:val="15"/>
          <w:szCs w:val="15"/>
          <w:color w:val="auto"/>
        </w:rPr>
        <w:t>1,650,323</w:t>
      </w:r>
    </w:p>
    <w:p>
      <w:pPr>
        <w:ind w:left="390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137,113</w:t>
      </w:r>
    </w:p>
    <w:p>
      <w:pPr>
        <w:ind w:left="3460"/>
        <w:spacing w:after="0" w:line="238" w:lineRule="auto"/>
        <w:rPr>
          <w:sz w:val="20"/>
          <w:szCs w:val="20"/>
          <w:color w:val="auto"/>
        </w:rPr>
      </w:pPr>
      <w:r>
        <w:rPr>
          <w:rFonts w:ascii="Courier New" w:cs="Courier New" w:eastAsia="Courier New" w:hAnsi="Courier New"/>
          <w:sz w:val="15"/>
          <w:szCs w:val="15"/>
          <w:color w:val="auto"/>
        </w:rPr>
        <w:t>240,669</w:t>
      </w:r>
    </w:p>
    <w:p>
      <w:pPr>
        <w:ind w:left="3120"/>
        <w:spacing w:after="0" w:line="237" w:lineRule="auto"/>
        <w:rPr>
          <w:sz w:val="20"/>
          <w:szCs w:val="20"/>
          <w:color w:val="auto"/>
        </w:rPr>
      </w:pPr>
      <w:r>
        <w:rPr>
          <w:rFonts w:ascii="Courier New" w:cs="Courier New" w:eastAsia="Courier New" w:hAnsi="Courier New"/>
          <w:sz w:val="15"/>
          <w:szCs w:val="15"/>
          <w:color w:val="auto"/>
        </w:rPr>
        <w:t>0</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4080"/>
        <w:spacing w:after="0" w:line="237" w:lineRule="auto"/>
        <w:rPr>
          <w:sz w:val="20"/>
          <w:szCs w:val="20"/>
          <w:color w:val="auto"/>
        </w:rPr>
      </w:pPr>
      <w:r>
        <w:rPr>
          <w:rFonts w:ascii="Courier New" w:cs="Courier New" w:eastAsia="Courier New" w:hAnsi="Courier New"/>
          <w:sz w:val="15"/>
          <w:szCs w:val="15"/>
          <w:color w:val="auto"/>
        </w:rPr>
        <w:t>534</w:t>
      </w:r>
    </w:p>
    <w:p>
      <w:pPr>
        <w:ind w:left="3560"/>
        <w:spacing w:after="0" w:line="238" w:lineRule="auto"/>
        <w:rPr>
          <w:sz w:val="20"/>
          <w:szCs w:val="20"/>
          <w:color w:val="auto"/>
        </w:rPr>
      </w:pPr>
      <w:r>
        <w:rPr>
          <w:rFonts w:ascii="Courier New" w:cs="Courier New" w:eastAsia="Courier New" w:hAnsi="Courier New"/>
          <w:sz w:val="15"/>
          <w:szCs w:val="15"/>
          <w:color w:val="auto"/>
        </w:rPr>
        <w:t>172,133</w:t>
      </w:r>
    </w:p>
    <w:p>
      <w:pPr>
        <w:ind w:left="1640"/>
        <w:spacing w:after="0" w:line="238" w:lineRule="auto"/>
        <w:rPr>
          <w:sz w:val="20"/>
          <w:szCs w:val="20"/>
          <w:color w:val="auto"/>
        </w:rPr>
      </w:pPr>
      <w:r>
        <w:rPr>
          <w:rFonts w:ascii="Courier New" w:cs="Courier New" w:eastAsia="Courier New" w:hAnsi="Courier New"/>
          <w:sz w:val="15"/>
          <w:szCs w:val="15"/>
          <w:color w:val="auto"/>
        </w:rPr>
        <w:t>2,200,772</w:t>
      </w:r>
    </w:p>
    <w:p>
      <w:pPr>
        <w:ind w:left="3120"/>
        <w:spacing w:after="0" w:line="237" w:lineRule="auto"/>
        <w:rPr>
          <w:sz w:val="20"/>
          <w:szCs w:val="20"/>
          <w:color w:val="auto"/>
        </w:rPr>
      </w:pPr>
      <w:r>
        <w:rPr>
          <w:rFonts w:ascii="Courier New" w:cs="Courier New" w:eastAsia="Courier New" w:hAnsi="Courier New"/>
          <w:sz w:val="15"/>
          <w:szCs w:val="15"/>
          <w:color w:val="auto"/>
        </w:rPr>
        <w:t>116,755</w:t>
      </w:r>
    </w:p>
    <w:p>
      <w:pPr>
        <w:ind w:left="3040"/>
        <w:spacing w:after="0" w:line="238" w:lineRule="auto"/>
        <w:rPr>
          <w:sz w:val="20"/>
          <w:szCs w:val="20"/>
          <w:color w:val="auto"/>
        </w:rPr>
      </w:pPr>
      <w:r>
        <w:rPr>
          <w:rFonts w:ascii="Courier New" w:cs="Courier New" w:eastAsia="Courier New" w:hAnsi="Courier New"/>
          <w:sz w:val="15"/>
          <w:szCs w:val="15"/>
          <w:color w:val="auto"/>
        </w:rPr>
        <w:t>23,007</w:t>
      </w:r>
    </w:p>
    <w:p>
      <w:pPr>
        <w:ind w:left="3200"/>
        <w:spacing w:after="0" w:line="237" w:lineRule="auto"/>
        <w:rPr>
          <w:sz w:val="20"/>
          <w:szCs w:val="20"/>
          <w:color w:val="auto"/>
        </w:rPr>
      </w:pPr>
      <w:r>
        <w:rPr>
          <w:rFonts w:ascii="Courier New" w:cs="Courier New" w:eastAsia="Courier New" w:hAnsi="Courier New"/>
          <w:sz w:val="15"/>
          <w:szCs w:val="15"/>
          <w:color w:val="auto"/>
        </w:rPr>
        <w:t>3,840</w:t>
      </w:r>
    </w:p>
    <w:p>
      <w:pPr>
        <w:ind w:left="3040"/>
        <w:spacing w:after="0" w:line="238" w:lineRule="auto"/>
        <w:rPr>
          <w:sz w:val="20"/>
          <w:szCs w:val="20"/>
          <w:color w:val="auto"/>
        </w:rPr>
      </w:pPr>
      <w:r>
        <w:rPr>
          <w:rFonts w:ascii="Courier New" w:cs="Courier New" w:eastAsia="Courier New" w:hAnsi="Courier New"/>
          <w:sz w:val="15"/>
          <w:szCs w:val="15"/>
          <w:color w:val="auto"/>
        </w:rPr>
        <w:t>143,602</w:t>
      </w:r>
    </w:p>
    <w:p>
      <w:pPr>
        <w:ind w:left="2940"/>
        <w:spacing w:after="0" w:line="237" w:lineRule="auto"/>
        <w:rPr>
          <w:sz w:val="20"/>
          <w:szCs w:val="20"/>
          <w:color w:val="auto"/>
        </w:rPr>
      </w:pPr>
      <w:r>
        <w:rPr>
          <w:rFonts w:ascii="Courier New" w:cs="Courier New" w:eastAsia="Courier New" w:hAnsi="Courier New"/>
          <w:sz w:val="15"/>
          <w:szCs w:val="15"/>
          <w:color w:val="auto"/>
        </w:rPr>
        <w:t>68,234</w:t>
      </w:r>
    </w:p>
    <w:p>
      <w:pPr>
        <w:ind w:left="2940"/>
        <w:spacing w:after="0" w:line="238" w:lineRule="auto"/>
        <w:rPr>
          <w:sz w:val="20"/>
          <w:szCs w:val="20"/>
          <w:color w:val="auto"/>
        </w:rPr>
      </w:pPr>
      <w:r>
        <w:rPr>
          <w:rFonts w:ascii="Courier New" w:cs="Courier New" w:eastAsia="Courier New" w:hAnsi="Courier New"/>
          <w:sz w:val="15"/>
          <w:szCs w:val="15"/>
          <w:color w:val="auto"/>
        </w:rPr>
        <w:t>82,253</w:t>
      </w:r>
    </w:p>
    <w:p>
      <w:pPr>
        <w:ind w:left="2680"/>
        <w:spacing w:after="0" w:line="238" w:lineRule="auto"/>
        <w:rPr>
          <w:sz w:val="20"/>
          <w:szCs w:val="20"/>
          <w:color w:val="auto"/>
        </w:rPr>
      </w:pPr>
      <w:r>
        <w:rPr>
          <w:rFonts w:ascii="Courier New" w:cs="Courier New" w:eastAsia="Courier New" w:hAnsi="Courier New"/>
          <w:sz w:val="15"/>
          <w:szCs w:val="15"/>
          <w:color w:val="auto"/>
        </w:rPr>
        <w:t>61,349</w:t>
      </w:r>
    </w:p>
    <w:p>
      <w:pPr>
        <w:ind w:left="3380"/>
        <w:spacing w:after="0" w:line="237" w:lineRule="auto"/>
        <w:rPr>
          <w:sz w:val="20"/>
          <w:szCs w:val="20"/>
          <w:color w:val="auto"/>
        </w:rPr>
      </w:pPr>
      <w:r>
        <w:rPr>
          <w:rFonts w:ascii="Courier New" w:cs="Courier New" w:eastAsia="Courier New" w:hAnsi="Courier New"/>
          <w:sz w:val="15"/>
          <w:szCs w:val="15"/>
          <w:color w:val="auto"/>
        </w:rPr>
        <w:t>18,839</w:t>
      </w:r>
    </w:p>
    <w:p>
      <w:pPr>
        <w:ind w:left="2940"/>
        <w:spacing w:after="0" w:line="238" w:lineRule="auto"/>
        <w:rPr>
          <w:sz w:val="20"/>
          <w:szCs w:val="20"/>
          <w:color w:val="auto"/>
        </w:rPr>
      </w:pPr>
      <w:r>
        <w:rPr>
          <w:rFonts w:ascii="Courier New" w:cs="Courier New" w:eastAsia="Courier New" w:hAnsi="Courier New"/>
          <w:sz w:val="15"/>
          <w:szCs w:val="15"/>
          <w:color w:val="auto"/>
        </w:rPr>
        <w:t>17,580</w:t>
      </w:r>
    </w:p>
    <w:p>
      <w:pPr>
        <w:ind w:left="3200"/>
        <w:spacing w:after="0" w:line="237" w:lineRule="auto"/>
        <w:rPr>
          <w:sz w:val="20"/>
          <w:szCs w:val="20"/>
          <w:color w:val="auto"/>
        </w:rPr>
      </w:pPr>
      <w:r>
        <w:rPr>
          <w:rFonts w:ascii="Courier New" w:cs="Courier New" w:eastAsia="Courier New" w:hAnsi="Courier New"/>
          <w:sz w:val="15"/>
          <w:szCs w:val="15"/>
          <w:color w:val="auto"/>
        </w:rPr>
        <w:t>47,038</w:t>
      </w:r>
    </w:p>
    <w:p>
      <w:pPr>
        <w:ind w:left="3200"/>
        <w:spacing w:after="0" w:line="238" w:lineRule="auto"/>
        <w:rPr>
          <w:sz w:val="20"/>
          <w:szCs w:val="20"/>
          <w:color w:val="auto"/>
        </w:rPr>
      </w:pPr>
      <w:r>
        <w:rPr>
          <w:rFonts w:ascii="Courier New" w:cs="Courier New" w:eastAsia="Courier New" w:hAnsi="Courier New"/>
          <w:sz w:val="15"/>
          <w:szCs w:val="15"/>
          <w:color w:val="auto"/>
        </w:rPr>
        <w:t>27,149</w:t>
      </w:r>
    </w:p>
    <w:p>
      <w:pPr>
        <w:ind w:left="2240"/>
        <w:spacing w:after="0" w:line="237" w:lineRule="auto"/>
        <w:rPr>
          <w:sz w:val="20"/>
          <w:szCs w:val="20"/>
          <w:color w:val="auto"/>
        </w:rPr>
      </w:pPr>
      <w:r>
        <w:rPr>
          <w:rFonts w:ascii="Courier New" w:cs="Courier New" w:eastAsia="Courier New" w:hAnsi="Courier New"/>
          <w:sz w:val="15"/>
          <w:szCs w:val="15"/>
          <w:color w:val="auto"/>
        </w:rPr>
        <w:t>25,082</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7" w:lineRule="auto"/>
        <w:rPr>
          <w:sz w:val="20"/>
          <w:szCs w:val="20"/>
          <w:color w:val="auto"/>
        </w:rPr>
      </w:pPr>
      <w:r>
        <w:rPr>
          <w:rFonts w:ascii="Courier New" w:cs="Courier New" w:eastAsia="Courier New" w:hAnsi="Courier New"/>
          <w:sz w:val="15"/>
          <w:szCs w:val="15"/>
          <w:color w:val="auto"/>
        </w:rPr>
        <w:t>25,082</w:t>
      </w:r>
    </w:p>
    <w:p>
      <w:pPr>
        <w:ind w:left="3560"/>
        <w:spacing w:after="0" w:line="238" w:lineRule="auto"/>
        <w:rPr>
          <w:sz w:val="20"/>
          <w:szCs w:val="20"/>
          <w:color w:val="auto"/>
        </w:rPr>
      </w:pPr>
      <w:r>
        <w:rPr>
          <w:rFonts w:ascii="Courier New" w:cs="Courier New" w:eastAsia="Courier New" w:hAnsi="Courier New"/>
          <w:sz w:val="15"/>
          <w:szCs w:val="15"/>
          <w:color w:val="auto"/>
        </w:rPr>
        <w:t>0.50</w:t>
      </w:r>
    </w:p>
    <w:p>
      <w:pPr>
        <w:ind w:left="3560"/>
        <w:spacing w:after="0" w:line="237" w:lineRule="auto"/>
        <w:rPr>
          <w:sz w:val="20"/>
          <w:szCs w:val="20"/>
          <w:color w:val="auto"/>
        </w:rPr>
      </w:pPr>
      <w:r>
        <w:rPr>
          <w:rFonts w:ascii="Courier New" w:cs="Courier New" w:eastAsia="Courier New" w:hAnsi="Courier New"/>
          <w:sz w:val="15"/>
          <w:szCs w:val="15"/>
          <w:color w:val="auto"/>
        </w:rPr>
        <w:t>0.48</w:t>
      </w:r>
    </w:p>
    <w:p>
      <w:pPr>
        <w:ind w:left="3300"/>
        <w:spacing w:after="0" w:line="238" w:lineRule="auto"/>
        <w:rPr>
          <w:sz w:val="20"/>
          <w:szCs w:val="20"/>
          <w:color w:val="auto"/>
        </w:rPr>
      </w:pPr>
      <w:r>
        <w:rPr>
          <w:rFonts w:ascii="Courier New" w:cs="Courier New" w:eastAsia="Courier New" w:hAnsi="Courier New"/>
          <w:sz w:val="15"/>
          <w:szCs w:val="15"/>
          <w:color w:val="auto"/>
        </w:rPr>
        <w:t>12.259</w:t>
      </w:r>
    </w:p>
    <w:p>
      <w:pPr>
        <w:ind w:left="3460"/>
        <w:spacing w:after="0" w:line="237" w:lineRule="auto"/>
        <w:rPr>
          <w:sz w:val="20"/>
          <w:szCs w:val="20"/>
          <w:color w:val="auto"/>
        </w:rPr>
      </w:pPr>
      <w:r>
        <w:rPr>
          <w:rFonts w:ascii="Courier New" w:cs="Courier New" w:eastAsia="Courier New" w:hAnsi="Courier New"/>
          <w:sz w:val="15"/>
          <w:szCs w:val="15"/>
          <w:color w:val="auto"/>
        </w:rPr>
        <w:t>332,352</w:t>
      </w:r>
    </w:p>
    <w:p>
      <w:pPr>
        <w:ind w:left="3460"/>
        <w:spacing w:after="0" w:line="238" w:lineRule="auto"/>
        <w:rPr>
          <w:sz w:val="20"/>
          <w:szCs w:val="20"/>
          <w:color w:val="auto"/>
        </w:rPr>
      </w:pPr>
      <w:r>
        <w:rPr>
          <w:rFonts w:ascii="Courier New" w:cs="Courier New" w:eastAsia="Courier New" w:hAnsi="Courier New"/>
          <w:sz w:val="15"/>
          <w:szCs w:val="15"/>
          <w:color w:val="auto"/>
        </w:rPr>
        <w:t>50,264</w:t>
      </w:r>
    </w:p>
    <w:p>
      <w:pPr>
        <w:ind w:left="3040"/>
        <w:spacing w:after="0" w:line="238" w:lineRule="auto"/>
        <w:rPr>
          <w:sz w:val="20"/>
          <w:szCs w:val="20"/>
          <w:color w:val="auto"/>
        </w:rPr>
      </w:pPr>
      <w:r>
        <w:rPr>
          <w:rFonts w:ascii="Courier New" w:cs="Courier New" w:eastAsia="Courier New" w:hAnsi="Courier New"/>
          <w:sz w:val="15"/>
          <w:szCs w:val="15"/>
          <w:color w:val="auto"/>
        </w:rPr>
        <w:t>110,348</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2,271</w:t>
      </w:r>
    </w:p>
    <w:p>
      <w:pPr>
        <w:ind w:left="3460"/>
        <w:spacing w:after="0" w:line="237" w:lineRule="auto"/>
        <w:rPr>
          <w:sz w:val="20"/>
          <w:szCs w:val="20"/>
          <w:color w:val="auto"/>
        </w:rPr>
      </w:pPr>
      <w:r>
        <w:rPr>
          <w:rFonts w:ascii="Courier New" w:cs="Courier New" w:eastAsia="Courier New" w:hAnsi="Courier New"/>
          <w:sz w:val="15"/>
          <w:szCs w:val="15"/>
          <w:color w:val="auto"/>
        </w:rPr>
        <w:t>5,875</w:t>
      </w:r>
    </w:p>
    <w:p>
      <w:pPr>
        <w:ind w:left="3820"/>
        <w:spacing w:after="0" w:line="238" w:lineRule="auto"/>
        <w:rPr>
          <w:sz w:val="20"/>
          <w:szCs w:val="20"/>
          <w:color w:val="auto"/>
        </w:rPr>
      </w:pPr>
      <w:r>
        <w:rPr>
          <w:rFonts w:ascii="Courier New" w:cs="Courier New" w:eastAsia="Courier New" w:hAnsi="Courier New"/>
          <w:sz w:val="15"/>
          <w:szCs w:val="15"/>
          <w:color w:val="auto"/>
        </w:rPr>
        <w:t>94</w:t>
      </w:r>
    </w:p>
    <w:p>
      <w:pPr>
        <w:ind w:left="3040"/>
        <w:spacing w:after="0" w:line="237" w:lineRule="auto"/>
        <w:rPr>
          <w:sz w:val="20"/>
          <w:szCs w:val="20"/>
          <w:color w:val="auto"/>
        </w:rPr>
      </w:pPr>
      <w:r>
        <w:rPr>
          <w:rFonts w:ascii="Courier New" w:cs="Courier New" w:eastAsia="Courier New" w:hAnsi="Courier New"/>
          <w:sz w:val="15"/>
          <w:szCs w:val="15"/>
          <w:color w:val="auto"/>
        </w:rPr>
        <w:t>16,200</w:t>
      </w:r>
    </w:p>
    <w:p>
      <w:pPr>
        <w:ind w:left="2760"/>
        <w:spacing w:after="0" w:line="238" w:lineRule="auto"/>
        <w:rPr>
          <w:sz w:val="20"/>
          <w:szCs w:val="20"/>
          <w:color w:val="auto"/>
        </w:rPr>
      </w:pPr>
      <w:r>
        <w:rPr>
          <w:rFonts w:ascii="Courier New" w:cs="Courier New" w:eastAsia="Courier New" w:hAnsi="Courier New"/>
          <w:sz w:val="15"/>
          <w:szCs w:val="15"/>
          <w:color w:val="auto"/>
        </w:rPr>
        <w:t>16,200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spacing w:after="0" w:line="342"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18 includes</w:t>
      </w:r>
      <w:r>
        <w:rPr>
          <w:sz w:val="20"/>
          <w:szCs w:val="20"/>
          <w:color w:val="auto"/>
        </w:rPr>
        <w:t xml:space="preserve"> </w:t>
      </w:r>
      <w:r>
        <w:rPr>
          <w:rFonts w:ascii="Courier New" w:cs="Courier New" w:eastAsia="Courier New" w:hAnsi="Courier New"/>
          <w:sz w:val="15"/>
          <w:szCs w:val="15"/>
          <w:color w:val="auto"/>
        </w:rPr>
        <w:t>Loans Available for sale of $70,248 Loan Portfolio of $369,651 and Discounted Loan Portfolio of $906,084.</w:t>
      </w:r>
    </w:p>
    <w:p>
      <w:pPr>
        <w:ind w:left="140"/>
        <w:spacing w:after="0"/>
        <w:tabs>
          <w:tab w:leader="none" w:pos="1620" w:val="left"/>
          <w:tab w:leader="none" w:pos="4760" w:val="left"/>
        </w:tabs>
        <w:rPr>
          <w:sz w:val="20"/>
          <w:szCs w:val="20"/>
          <w:color w:val="auto"/>
        </w:rPr>
      </w:pPr>
      <w:r>
        <w:rPr>
          <w:rFonts w:ascii="Courier New" w:cs="Courier New" w:eastAsia="Courier New" w:hAnsi="Courier New"/>
          <w:sz w:val="15"/>
          <w:szCs w:val="15"/>
          <w:color w:val="auto"/>
        </w:rPr>
        <w:t>Tag 19 includes</w:t>
        <w:tab/>
        <w:t>Allowance for Loan Losses on Loans</w:t>
      </w:r>
      <w:r>
        <w:rPr>
          <w:sz w:val="20"/>
          <w:szCs w:val="20"/>
          <w:color w:val="auto"/>
        </w:rPr>
        <w:tab/>
      </w:r>
      <w:r>
        <w:rPr>
          <w:rFonts w:ascii="Courier New" w:cs="Courier New" w:eastAsia="Courier New" w:hAnsi="Courier New"/>
          <w:sz w:val="14"/>
          <w:szCs w:val="14"/>
          <w:color w:val="auto"/>
        </w:rPr>
        <w:t>Available for Sale of</w:t>
      </w:r>
    </w:p>
    <w:p>
      <w:pPr>
        <w:ind w:left="500"/>
        <w:spacing w:after="0"/>
        <w:tabs>
          <w:tab w:leader="none" w:pos="1880" w:val="left"/>
          <w:tab w:leader="none" w:pos="4320" w:val="left"/>
          <w:tab w:leader="none" w:pos="5380" w:val="left"/>
          <w:tab w:leader="none" w:pos="5900" w:val="left"/>
        </w:tabs>
        <w:rPr>
          <w:sz w:val="20"/>
          <w:szCs w:val="20"/>
          <w:color w:val="auto"/>
        </w:rPr>
      </w:pPr>
      <w:r>
        <w:rPr>
          <w:rFonts w:ascii="Courier New" w:cs="Courier New" w:eastAsia="Courier New" w:hAnsi="Courier New"/>
          <w:sz w:val="15"/>
          <w:szCs w:val="15"/>
          <w:color w:val="auto"/>
        </w:rPr>
        <w:t>$1,196 on Loan</w:t>
        <w:tab/>
        <w:t>Portfolio of $3,400 and on</w:t>
        <w:tab/>
        <w:t>Discounted</w:t>
        <w:tab/>
        <w:t>Loan</w:t>
      </w:r>
      <w:r>
        <w:rPr>
          <w:sz w:val="20"/>
          <w:szCs w:val="20"/>
          <w:color w:val="auto"/>
        </w:rPr>
        <w:tab/>
      </w:r>
      <w:r>
        <w:rPr>
          <w:rFonts w:ascii="Courier New" w:cs="Courier New" w:eastAsia="Courier New" w:hAnsi="Courier New"/>
          <w:sz w:val="14"/>
          <w:szCs w:val="14"/>
          <w:color w:val="auto"/>
        </w:rPr>
        <w:t>Portfolio of</w:t>
      </w:r>
    </w:p>
    <w:p>
      <w:pPr>
        <w:ind w:left="500"/>
        <w:spacing w:after="0" w:line="238" w:lineRule="auto"/>
        <w:rPr>
          <w:sz w:val="20"/>
          <w:szCs w:val="20"/>
          <w:color w:val="auto"/>
        </w:rPr>
      </w:pPr>
      <w:r>
        <w:rPr>
          <w:rFonts w:ascii="Courier New" w:cs="Courier New" w:eastAsia="Courier New" w:hAnsi="Courier New"/>
          <w:sz w:val="15"/>
          <w:szCs w:val="15"/>
          <w:color w:val="auto"/>
        </w:rPr>
        <w:t>$11,604.</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45</w:t>
      </w:r>
      <w:r>
        <w:rPr>
          <w:sz w:val="20"/>
          <w:szCs w:val="20"/>
          <w:color w:val="auto"/>
        </w:rPr>
        <w:t xml:space="preserve"> </w:t>
      </w:r>
      <w:r>
        <w:rPr>
          <w:rFonts w:ascii="Courier New" w:cs="Courier New" w:eastAsia="Courier New" w:hAnsi="Courier New"/>
          <w:sz w:val="15"/>
          <w:szCs w:val="15"/>
          <w:color w:val="auto"/>
        </w:rPr>
        <w:t>EPS-Primary has been restated in accordance with SFAS No. 128, "Earnings per Share" and for the 2-for-1 stock split approved by the Company's Board of Directors on October 29, 1997.</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46</w:t>
      </w:r>
      <w:r>
        <w:rPr>
          <w:sz w:val="20"/>
          <w:szCs w:val="20"/>
          <w:color w:val="auto"/>
        </w:rPr>
        <w:t xml:space="preserve"> </w:t>
      </w:r>
      <w:r>
        <w:rPr>
          <w:rFonts w:ascii="Courier New" w:cs="Courier New" w:eastAsia="Courier New" w:hAnsi="Courier New"/>
          <w:sz w:val="15"/>
          <w:szCs w:val="15"/>
          <w:color w:val="auto"/>
        </w:rPr>
        <w:t>EPS-Diluted has been restated in accordance with SFAS No. 128, "Earnings per Share" and for the 2-for-1 stock split approved by the Company's Board of Directors on October 29, 1997.</w:t>
      </w:r>
    </w:p>
    <w:p>
      <w:pPr>
        <w:sectPr>
          <w:pgSz w:w="11900" w:h="16838" w:orient="portrait"/>
          <w:cols w:equalWidth="0" w:num="1">
            <w:col w:w="10199"/>
          </w:cols>
          <w:pgMar w:left="260" w:top="471" w:right="1440" w:bottom="1440" w:gutter="0" w:footer="0" w:header="0"/>
        </w:sectPr>
      </w:pPr>
    </w:p>
    <w:bookmarkStart w:id="161" w:name="page162"/>
    <w:bookmarkEnd w:id="161"/>
    <w:p>
      <w:pPr>
        <w:ind w:left="382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337"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0000873860</w:t>
      </w:r>
    </w:p>
    <w:p>
      <w:pPr>
        <w:ind w:left="1980"/>
        <w:spacing w:after="0" w:line="237" w:lineRule="auto"/>
        <w:rPr>
          <w:sz w:val="20"/>
          <w:szCs w:val="20"/>
          <w:color w:val="auto"/>
        </w:rPr>
      </w:pPr>
      <w:r>
        <w:rPr>
          <w:rFonts w:ascii="Courier New" w:cs="Courier New" w:eastAsia="Courier New" w:hAnsi="Courier New"/>
          <w:sz w:val="15"/>
          <w:szCs w:val="15"/>
          <w:color w:val="auto"/>
        </w:rPr>
        <w:t>Ocwen Financial Corp.</w:t>
      </w:r>
    </w:p>
    <w:p>
      <w:pPr>
        <w:ind w:left="2860"/>
        <w:spacing w:after="0" w:line="238" w:lineRule="auto"/>
        <w:rPr>
          <w:sz w:val="20"/>
          <w:szCs w:val="20"/>
          <w:color w:val="auto"/>
        </w:rPr>
      </w:pPr>
      <w:r>
        <w:rPr>
          <w:rFonts w:ascii="Courier New" w:cs="Courier New" w:eastAsia="Courier New" w:hAnsi="Courier New"/>
          <w:sz w:val="15"/>
          <w:szCs w:val="15"/>
          <w:color w:val="auto"/>
        </w:rPr>
        <w:t>1,000</w:t>
      </w:r>
    </w:p>
    <w:p>
      <w:pPr>
        <w:ind w:left="3200"/>
        <w:spacing w:after="0" w:line="237"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3-MOS</w:t>
      </w:r>
    </w:p>
    <w:p>
      <w:pPr>
        <w:ind w:left="2600"/>
        <w:spacing w:after="0" w:line="237" w:lineRule="auto"/>
        <w:rPr>
          <w:sz w:val="20"/>
          <w:szCs w:val="20"/>
          <w:color w:val="auto"/>
        </w:rPr>
      </w:pPr>
      <w:r>
        <w:rPr>
          <w:rFonts w:ascii="Courier New" w:cs="Courier New" w:eastAsia="Courier New" w:hAnsi="Courier New"/>
          <w:sz w:val="15"/>
          <w:szCs w:val="15"/>
          <w:color w:val="auto"/>
        </w:rPr>
        <w:t>DEC-31-1997</w:t>
      </w:r>
    </w:p>
    <w:p>
      <w:pPr>
        <w:ind w:left="2860"/>
        <w:spacing w:after="0" w:line="238" w:lineRule="auto"/>
        <w:rPr>
          <w:sz w:val="20"/>
          <w:szCs w:val="20"/>
          <w:color w:val="auto"/>
        </w:rPr>
      </w:pPr>
      <w:r>
        <w:rPr>
          <w:rFonts w:ascii="Courier New" w:cs="Courier New" w:eastAsia="Courier New" w:hAnsi="Courier New"/>
          <w:sz w:val="15"/>
          <w:szCs w:val="15"/>
          <w:color w:val="auto"/>
        </w:rPr>
        <w:t>JAN-01-1997</w:t>
      </w:r>
    </w:p>
    <w:p>
      <w:pPr>
        <w:ind w:left="3040"/>
        <w:spacing w:after="0" w:line="237" w:lineRule="auto"/>
        <w:rPr>
          <w:sz w:val="20"/>
          <w:szCs w:val="20"/>
          <w:color w:val="auto"/>
        </w:rPr>
      </w:pPr>
      <w:r>
        <w:rPr>
          <w:rFonts w:ascii="Courier New" w:cs="Courier New" w:eastAsia="Courier New" w:hAnsi="Courier New"/>
          <w:sz w:val="15"/>
          <w:szCs w:val="15"/>
          <w:color w:val="auto"/>
        </w:rPr>
        <w:t>MAR-31-1997</w:t>
      </w:r>
    </w:p>
    <w:p>
      <w:pPr>
        <w:ind w:left="3640"/>
        <w:spacing w:after="0" w:line="238" w:lineRule="auto"/>
        <w:rPr>
          <w:sz w:val="20"/>
          <w:szCs w:val="20"/>
          <w:color w:val="auto"/>
        </w:rPr>
      </w:pPr>
      <w:r>
        <w:rPr>
          <w:rFonts w:ascii="Courier New" w:cs="Courier New" w:eastAsia="Courier New" w:hAnsi="Courier New"/>
          <w:sz w:val="15"/>
          <w:szCs w:val="15"/>
          <w:color w:val="auto"/>
        </w:rPr>
        <w:t>1</w:t>
      </w:r>
    </w:p>
    <w:p>
      <w:pPr>
        <w:ind w:left="4080"/>
        <w:spacing w:after="0" w:line="237" w:lineRule="auto"/>
        <w:rPr>
          <w:sz w:val="20"/>
          <w:szCs w:val="20"/>
          <w:color w:val="auto"/>
        </w:rPr>
      </w:pPr>
      <w:r>
        <w:rPr>
          <w:rFonts w:ascii="Courier New" w:cs="Courier New" w:eastAsia="Courier New" w:hAnsi="Courier New"/>
          <w:sz w:val="15"/>
          <w:szCs w:val="15"/>
          <w:color w:val="auto"/>
        </w:rPr>
        <w:t>8,966</w:t>
      </w:r>
    </w:p>
    <w:p>
      <w:pPr>
        <w:ind w:left="2680"/>
        <w:spacing w:after="0" w:line="238" w:lineRule="auto"/>
        <w:rPr>
          <w:sz w:val="20"/>
          <w:szCs w:val="20"/>
          <w:color w:val="auto"/>
        </w:rPr>
      </w:pPr>
      <w:r>
        <w:rPr>
          <w:rFonts w:ascii="Courier New" w:cs="Courier New" w:eastAsia="Courier New" w:hAnsi="Courier New"/>
          <w:sz w:val="15"/>
          <w:szCs w:val="15"/>
          <w:color w:val="auto"/>
        </w:rPr>
        <w:t>8,802</w:t>
      </w:r>
    </w:p>
    <w:p>
      <w:pPr>
        <w:jc w:val="right"/>
        <w:ind w:right="6559"/>
        <w:spacing w:after="0" w:line="237" w:lineRule="auto"/>
        <w:rPr>
          <w:sz w:val="20"/>
          <w:szCs w:val="20"/>
          <w:color w:val="auto"/>
        </w:rPr>
      </w:pPr>
      <w:r>
        <w:rPr>
          <w:rFonts w:ascii="Courier New" w:cs="Courier New" w:eastAsia="Courier New" w:hAnsi="Courier New"/>
          <w:sz w:val="15"/>
          <w:szCs w:val="15"/>
          <w:color w:val="auto"/>
        </w:rPr>
        <w:t>99,000</w:t>
      </w:r>
    </w:p>
    <w:p>
      <w:pPr>
        <w:jc w:val="right"/>
        <w:ind w:right="6559"/>
        <w:spacing w:after="0" w:line="238" w:lineRule="auto"/>
        <w:rPr>
          <w:sz w:val="20"/>
          <w:szCs w:val="20"/>
          <w:color w:val="auto"/>
        </w:rPr>
      </w:pPr>
      <w:r>
        <w:rPr>
          <w:rFonts w:ascii="Courier New" w:cs="Courier New" w:eastAsia="Courier New" w:hAnsi="Courier New"/>
          <w:sz w:val="15"/>
          <w:szCs w:val="15"/>
          <w:color w:val="auto"/>
        </w:rPr>
        <w:t>0</w:t>
      </w:r>
    </w:p>
    <w:p>
      <w:pPr>
        <w:ind w:left="2060"/>
        <w:spacing w:after="0" w:line="238" w:lineRule="auto"/>
        <w:rPr>
          <w:sz w:val="20"/>
          <w:szCs w:val="20"/>
          <w:color w:val="auto"/>
        </w:rPr>
      </w:pPr>
      <w:r>
        <w:rPr>
          <w:rFonts w:ascii="Courier New" w:cs="Courier New" w:eastAsia="Courier New" w:hAnsi="Courier New"/>
          <w:sz w:val="15"/>
          <w:szCs w:val="15"/>
          <w:color w:val="auto"/>
        </w:rPr>
        <w:t>348,066</w:t>
      </w:r>
    </w:p>
    <w:p>
      <w:pPr>
        <w:ind w:left="2600"/>
        <w:spacing w:after="0" w:line="237" w:lineRule="auto"/>
        <w:rPr>
          <w:sz w:val="20"/>
          <w:szCs w:val="20"/>
          <w:color w:val="auto"/>
        </w:rPr>
      </w:pPr>
      <w:r>
        <w:rPr>
          <w:rFonts w:ascii="Courier New" w:cs="Courier New" w:eastAsia="Courier New" w:hAnsi="Courier New"/>
          <w:sz w:val="15"/>
          <w:szCs w:val="15"/>
          <w:color w:val="auto"/>
        </w:rPr>
        <w:t>11,201</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1,791,715</w:t>
      </w:r>
    </w:p>
    <w:p>
      <w:pPr>
        <w:ind w:left="3560"/>
        <w:spacing w:after="0" w:line="238" w:lineRule="auto"/>
        <w:rPr>
          <w:sz w:val="20"/>
          <w:szCs w:val="20"/>
          <w:color w:val="auto"/>
        </w:rPr>
      </w:pPr>
      <w:r>
        <w:rPr>
          <w:rFonts w:ascii="Courier New" w:cs="Courier New" w:eastAsia="Courier New" w:hAnsi="Courier New"/>
          <w:sz w:val="15"/>
          <w:szCs w:val="15"/>
          <w:color w:val="auto"/>
        </w:rPr>
        <w:t>21,642</w:t>
      </w:r>
    </w:p>
    <w:p>
      <w:pPr>
        <w:ind w:left="3040"/>
        <w:spacing w:after="0" w:line="237" w:lineRule="auto"/>
        <w:rPr>
          <w:sz w:val="20"/>
          <w:szCs w:val="20"/>
          <w:color w:val="auto"/>
        </w:rPr>
      </w:pPr>
      <w:r>
        <w:rPr>
          <w:rFonts w:ascii="Courier New" w:cs="Courier New" w:eastAsia="Courier New" w:hAnsi="Courier New"/>
          <w:sz w:val="15"/>
          <w:szCs w:val="15"/>
          <w:color w:val="auto"/>
        </w:rPr>
        <w:t>2,649,471</w:t>
      </w:r>
    </w:p>
    <w:p>
      <w:pPr>
        <w:ind w:left="3380"/>
        <w:spacing w:after="0" w:line="238" w:lineRule="auto"/>
        <w:rPr>
          <w:sz w:val="20"/>
          <w:szCs w:val="20"/>
          <w:color w:val="auto"/>
        </w:rPr>
      </w:pPr>
      <w:r>
        <w:rPr>
          <w:rFonts w:ascii="Courier New" w:cs="Courier New" w:eastAsia="Courier New" w:hAnsi="Courier New"/>
          <w:sz w:val="15"/>
          <w:szCs w:val="15"/>
          <w:color w:val="auto"/>
        </w:rPr>
        <w:t>2,106,829</w:t>
      </w:r>
    </w:p>
    <w:p>
      <w:pPr>
        <w:ind w:left="3460"/>
        <w:spacing w:after="0" w:line="238" w:lineRule="auto"/>
        <w:rPr>
          <w:sz w:val="20"/>
          <w:szCs w:val="20"/>
          <w:color w:val="auto"/>
        </w:rPr>
      </w:pPr>
      <w:r>
        <w:rPr>
          <w:rFonts w:ascii="Courier New" w:cs="Courier New" w:eastAsia="Courier New" w:hAnsi="Courier New"/>
          <w:sz w:val="15"/>
          <w:szCs w:val="15"/>
          <w:color w:val="auto"/>
        </w:rPr>
        <w:t>39,623</w:t>
      </w:r>
    </w:p>
    <w:p>
      <w:pPr>
        <w:ind w:left="2860"/>
        <w:spacing w:after="0" w:line="237" w:lineRule="auto"/>
        <w:rPr>
          <w:sz w:val="20"/>
          <w:szCs w:val="20"/>
          <w:color w:val="auto"/>
        </w:rPr>
      </w:pPr>
      <w:r>
        <w:rPr>
          <w:rFonts w:ascii="Courier New" w:cs="Courier New" w:eastAsia="Courier New" w:hAnsi="Courier New"/>
          <w:sz w:val="15"/>
          <w:szCs w:val="15"/>
          <w:color w:val="auto"/>
        </w:rPr>
        <w:t>52,290</w:t>
      </w:r>
    </w:p>
    <w:p>
      <w:pPr>
        <w:ind w:left="3460"/>
        <w:spacing w:after="0" w:line="238" w:lineRule="auto"/>
        <w:rPr>
          <w:sz w:val="20"/>
          <w:szCs w:val="20"/>
          <w:color w:val="auto"/>
        </w:rPr>
      </w:pPr>
      <w:r>
        <w:rPr>
          <w:rFonts w:ascii="Courier New" w:cs="Courier New" w:eastAsia="Courier New" w:hAnsi="Courier New"/>
          <w:sz w:val="15"/>
          <w:szCs w:val="15"/>
          <w:color w:val="auto"/>
        </w:rPr>
        <w:t>225,573</w:t>
      </w:r>
    </w:p>
    <w:p>
      <w:pPr>
        <w:ind w:left="3120"/>
        <w:spacing w:after="0" w:line="237" w:lineRule="auto"/>
        <w:rPr>
          <w:sz w:val="20"/>
          <w:szCs w:val="20"/>
          <w:color w:val="auto"/>
        </w:rPr>
      </w:pPr>
      <w:r>
        <w:rPr>
          <w:rFonts w:ascii="Courier New" w:cs="Courier New" w:eastAsia="Courier New" w:hAnsi="Courier New"/>
          <w:sz w:val="15"/>
          <w:szCs w:val="15"/>
          <w:color w:val="auto"/>
        </w:rPr>
        <w:t>0</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4080"/>
        <w:spacing w:after="0" w:line="237" w:lineRule="auto"/>
        <w:rPr>
          <w:sz w:val="20"/>
          <w:szCs w:val="20"/>
          <w:color w:val="auto"/>
        </w:rPr>
      </w:pPr>
      <w:r>
        <w:rPr>
          <w:rFonts w:ascii="Courier New" w:cs="Courier New" w:eastAsia="Courier New" w:hAnsi="Courier New"/>
          <w:sz w:val="15"/>
          <w:szCs w:val="15"/>
          <w:color w:val="auto"/>
        </w:rPr>
        <w:t>536</w:t>
      </w:r>
    </w:p>
    <w:p>
      <w:pPr>
        <w:ind w:left="3560"/>
        <w:spacing w:after="0" w:line="238" w:lineRule="auto"/>
        <w:rPr>
          <w:sz w:val="20"/>
          <w:szCs w:val="20"/>
          <w:color w:val="auto"/>
        </w:rPr>
      </w:pPr>
      <w:r>
        <w:rPr>
          <w:rFonts w:ascii="Courier New" w:cs="Courier New" w:eastAsia="Courier New" w:hAnsi="Courier New"/>
          <w:sz w:val="15"/>
          <w:szCs w:val="15"/>
          <w:color w:val="auto"/>
        </w:rPr>
        <w:t>224,620</w:t>
      </w:r>
    </w:p>
    <w:p>
      <w:pPr>
        <w:ind w:left="1640"/>
        <w:spacing w:after="0" w:line="238" w:lineRule="auto"/>
        <w:rPr>
          <w:sz w:val="20"/>
          <w:szCs w:val="20"/>
          <w:color w:val="auto"/>
        </w:rPr>
      </w:pPr>
      <w:r>
        <w:rPr>
          <w:rFonts w:ascii="Courier New" w:cs="Courier New" w:eastAsia="Courier New" w:hAnsi="Courier New"/>
          <w:sz w:val="15"/>
          <w:szCs w:val="15"/>
          <w:color w:val="auto"/>
        </w:rPr>
        <w:t>2,649,471</w:t>
      </w:r>
    </w:p>
    <w:p>
      <w:pPr>
        <w:ind w:left="3200"/>
        <w:spacing w:after="0" w:line="237" w:lineRule="auto"/>
        <w:rPr>
          <w:sz w:val="20"/>
          <w:szCs w:val="20"/>
          <w:color w:val="auto"/>
        </w:rPr>
      </w:pPr>
      <w:r>
        <w:rPr>
          <w:rFonts w:ascii="Courier New" w:cs="Courier New" w:eastAsia="Courier New" w:hAnsi="Courier New"/>
          <w:sz w:val="15"/>
          <w:szCs w:val="15"/>
          <w:color w:val="auto"/>
        </w:rPr>
        <w:t>43,767</w:t>
      </w:r>
    </w:p>
    <w:p>
      <w:pPr>
        <w:ind w:left="3120"/>
        <w:spacing w:after="0" w:line="238" w:lineRule="auto"/>
        <w:rPr>
          <w:sz w:val="20"/>
          <w:szCs w:val="20"/>
          <w:color w:val="auto"/>
        </w:rPr>
      </w:pPr>
      <w:r>
        <w:rPr>
          <w:rFonts w:ascii="Courier New" w:cs="Courier New" w:eastAsia="Courier New" w:hAnsi="Courier New"/>
          <w:sz w:val="15"/>
          <w:szCs w:val="15"/>
          <w:color w:val="auto"/>
        </w:rPr>
        <w:t>9,102</w:t>
      </w:r>
    </w:p>
    <w:p>
      <w:pPr>
        <w:ind w:left="3200"/>
        <w:spacing w:after="0" w:line="237" w:lineRule="auto"/>
        <w:rPr>
          <w:sz w:val="20"/>
          <w:szCs w:val="20"/>
          <w:color w:val="auto"/>
        </w:rPr>
      </w:pPr>
      <w:r>
        <w:rPr>
          <w:rFonts w:ascii="Courier New" w:cs="Courier New" w:eastAsia="Courier New" w:hAnsi="Courier New"/>
          <w:sz w:val="15"/>
          <w:szCs w:val="15"/>
          <w:color w:val="auto"/>
        </w:rPr>
        <w:t>1,658</w:t>
      </w:r>
    </w:p>
    <w:p>
      <w:pPr>
        <w:ind w:left="3120"/>
        <w:spacing w:after="0" w:line="238" w:lineRule="auto"/>
        <w:rPr>
          <w:sz w:val="20"/>
          <w:szCs w:val="20"/>
          <w:color w:val="auto"/>
        </w:rPr>
      </w:pPr>
      <w:r>
        <w:rPr>
          <w:rFonts w:ascii="Courier New" w:cs="Courier New" w:eastAsia="Courier New" w:hAnsi="Courier New"/>
          <w:sz w:val="15"/>
          <w:szCs w:val="15"/>
          <w:color w:val="auto"/>
        </w:rPr>
        <w:t>54,527</w:t>
      </w:r>
    </w:p>
    <w:p>
      <w:pPr>
        <w:ind w:left="2940"/>
        <w:spacing w:after="0" w:line="237" w:lineRule="auto"/>
        <w:rPr>
          <w:sz w:val="20"/>
          <w:szCs w:val="20"/>
          <w:color w:val="auto"/>
        </w:rPr>
      </w:pPr>
      <w:r>
        <w:rPr>
          <w:rFonts w:ascii="Courier New" w:cs="Courier New" w:eastAsia="Courier New" w:hAnsi="Courier New"/>
          <w:sz w:val="15"/>
          <w:szCs w:val="15"/>
          <w:color w:val="auto"/>
        </w:rPr>
        <w:t>29,894</w:t>
      </w:r>
    </w:p>
    <w:p>
      <w:pPr>
        <w:ind w:left="2940"/>
        <w:spacing w:after="0" w:line="238" w:lineRule="auto"/>
        <w:rPr>
          <w:sz w:val="20"/>
          <w:szCs w:val="20"/>
          <w:color w:val="auto"/>
        </w:rPr>
      </w:pPr>
      <w:r>
        <w:rPr>
          <w:rFonts w:ascii="Courier New" w:cs="Courier New" w:eastAsia="Courier New" w:hAnsi="Courier New"/>
          <w:sz w:val="15"/>
          <w:szCs w:val="15"/>
          <w:color w:val="auto"/>
        </w:rPr>
        <w:t>37,164</w:t>
      </w:r>
    </w:p>
    <w:p>
      <w:pPr>
        <w:ind w:left="2680"/>
        <w:spacing w:after="0" w:line="238" w:lineRule="auto"/>
        <w:rPr>
          <w:sz w:val="20"/>
          <w:szCs w:val="20"/>
          <w:color w:val="auto"/>
        </w:rPr>
      </w:pPr>
      <w:r>
        <w:rPr>
          <w:rFonts w:ascii="Courier New" w:cs="Courier New" w:eastAsia="Courier New" w:hAnsi="Courier New"/>
          <w:sz w:val="15"/>
          <w:szCs w:val="15"/>
          <w:color w:val="auto"/>
        </w:rPr>
        <w:t>17,363</w:t>
      </w:r>
    </w:p>
    <w:p>
      <w:pPr>
        <w:ind w:left="3460"/>
        <w:spacing w:after="0" w:line="237" w:lineRule="auto"/>
        <w:rPr>
          <w:sz w:val="20"/>
          <w:szCs w:val="20"/>
          <w:color w:val="auto"/>
        </w:rPr>
      </w:pPr>
      <w:r>
        <w:rPr>
          <w:rFonts w:ascii="Courier New" w:cs="Courier New" w:eastAsia="Courier New" w:hAnsi="Courier New"/>
          <w:sz w:val="15"/>
          <w:szCs w:val="15"/>
          <w:color w:val="auto"/>
        </w:rPr>
        <w:t>9,742</w:t>
      </w:r>
    </w:p>
    <w:p>
      <w:pPr>
        <w:ind w:left="2940"/>
        <w:spacing w:after="0" w:line="238" w:lineRule="auto"/>
        <w:rPr>
          <w:sz w:val="20"/>
          <w:szCs w:val="20"/>
          <w:color w:val="auto"/>
        </w:rPr>
      </w:pPr>
      <w:r>
        <w:rPr>
          <w:rFonts w:ascii="Courier New" w:cs="Courier New" w:eastAsia="Courier New" w:hAnsi="Courier New"/>
          <w:sz w:val="15"/>
          <w:szCs w:val="15"/>
          <w:color w:val="auto"/>
        </w:rPr>
        <w:t>10,563</w:t>
      </w:r>
    </w:p>
    <w:p>
      <w:pPr>
        <w:ind w:left="3200"/>
        <w:spacing w:after="0" w:line="237" w:lineRule="auto"/>
        <w:rPr>
          <w:sz w:val="20"/>
          <w:szCs w:val="20"/>
          <w:color w:val="auto"/>
        </w:rPr>
      </w:pPr>
      <w:r>
        <w:rPr>
          <w:rFonts w:ascii="Courier New" w:cs="Courier New" w:eastAsia="Courier New" w:hAnsi="Courier New"/>
          <w:sz w:val="15"/>
          <w:szCs w:val="15"/>
          <w:color w:val="auto"/>
        </w:rPr>
        <w:t>22,697</w:t>
      </w:r>
    </w:p>
    <w:p>
      <w:pPr>
        <w:ind w:left="3200"/>
        <w:spacing w:after="0" w:line="238" w:lineRule="auto"/>
        <w:rPr>
          <w:sz w:val="20"/>
          <w:szCs w:val="20"/>
          <w:color w:val="auto"/>
        </w:rPr>
      </w:pPr>
      <w:r>
        <w:rPr>
          <w:rFonts w:ascii="Courier New" w:cs="Courier New" w:eastAsia="Courier New" w:hAnsi="Courier New"/>
          <w:sz w:val="15"/>
          <w:szCs w:val="15"/>
          <w:color w:val="auto"/>
        </w:rPr>
        <w:t>20,647</w:t>
      </w:r>
    </w:p>
    <w:p>
      <w:pPr>
        <w:ind w:left="2240"/>
        <w:spacing w:after="0" w:line="237" w:lineRule="auto"/>
        <w:rPr>
          <w:sz w:val="20"/>
          <w:szCs w:val="20"/>
          <w:color w:val="auto"/>
        </w:rPr>
      </w:pPr>
      <w:r>
        <w:rPr>
          <w:rFonts w:ascii="Courier New" w:cs="Courier New" w:eastAsia="Courier New" w:hAnsi="Courier New"/>
          <w:sz w:val="15"/>
          <w:szCs w:val="15"/>
          <w:color w:val="auto"/>
        </w:rPr>
        <w:t>20,647</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7" w:lineRule="auto"/>
        <w:rPr>
          <w:sz w:val="20"/>
          <w:szCs w:val="20"/>
          <w:color w:val="auto"/>
        </w:rPr>
      </w:pPr>
      <w:r>
        <w:rPr>
          <w:rFonts w:ascii="Courier New" w:cs="Courier New" w:eastAsia="Courier New" w:hAnsi="Courier New"/>
          <w:sz w:val="15"/>
          <w:szCs w:val="15"/>
          <w:color w:val="auto"/>
        </w:rPr>
        <w:t>17,041</w:t>
      </w:r>
    </w:p>
    <w:p>
      <w:pPr>
        <w:ind w:left="3560"/>
        <w:spacing w:after="0" w:line="238" w:lineRule="auto"/>
        <w:rPr>
          <w:sz w:val="20"/>
          <w:szCs w:val="20"/>
          <w:color w:val="auto"/>
        </w:rPr>
      </w:pPr>
      <w:r>
        <w:rPr>
          <w:rFonts w:ascii="Courier New" w:cs="Courier New" w:eastAsia="Courier New" w:hAnsi="Courier New"/>
          <w:sz w:val="15"/>
          <w:szCs w:val="15"/>
          <w:color w:val="auto"/>
        </w:rPr>
        <w:t>0.32</w:t>
      </w:r>
    </w:p>
    <w:p>
      <w:pPr>
        <w:ind w:left="3560"/>
        <w:spacing w:after="0" w:line="237" w:lineRule="auto"/>
        <w:rPr>
          <w:sz w:val="20"/>
          <w:szCs w:val="20"/>
          <w:color w:val="auto"/>
        </w:rPr>
      </w:pPr>
      <w:r>
        <w:rPr>
          <w:rFonts w:ascii="Courier New" w:cs="Courier New" w:eastAsia="Courier New" w:hAnsi="Courier New"/>
          <w:sz w:val="15"/>
          <w:szCs w:val="15"/>
          <w:color w:val="auto"/>
        </w:rPr>
        <w:t>0.31</w:t>
      </w:r>
    </w:p>
    <w:p>
      <w:pPr>
        <w:ind w:left="3300"/>
        <w:spacing w:after="0" w:line="238" w:lineRule="auto"/>
        <w:rPr>
          <w:sz w:val="20"/>
          <w:szCs w:val="20"/>
          <w:color w:val="auto"/>
        </w:rPr>
      </w:pPr>
      <w:r>
        <w:rPr>
          <w:rFonts w:ascii="Courier New" w:cs="Courier New" w:eastAsia="Courier New" w:hAnsi="Courier New"/>
          <w:sz w:val="15"/>
          <w:szCs w:val="15"/>
          <w:color w:val="auto"/>
        </w:rPr>
        <w:t>10.062</w:t>
      </w:r>
    </w:p>
    <w:p>
      <w:pPr>
        <w:ind w:left="3460"/>
        <w:spacing w:after="0" w:line="237" w:lineRule="auto"/>
        <w:rPr>
          <w:sz w:val="20"/>
          <w:szCs w:val="20"/>
          <w:color w:val="auto"/>
        </w:rPr>
      </w:pPr>
      <w:r>
        <w:rPr>
          <w:rFonts w:ascii="Courier New" w:cs="Courier New" w:eastAsia="Courier New" w:hAnsi="Courier New"/>
          <w:sz w:val="15"/>
          <w:szCs w:val="15"/>
          <w:color w:val="auto"/>
        </w:rPr>
        <w:t>811,376</w:t>
      </w:r>
    </w:p>
    <w:p>
      <w:pPr>
        <w:ind w:left="3900"/>
        <w:spacing w:after="0" w:line="238" w:lineRule="auto"/>
        <w:rPr>
          <w:sz w:val="20"/>
          <w:szCs w:val="20"/>
          <w:color w:val="auto"/>
        </w:rPr>
      </w:pPr>
      <w:r>
        <w:rPr>
          <w:rFonts w:ascii="Courier New" w:cs="Courier New" w:eastAsia="Courier New" w:hAnsi="Courier New"/>
          <w:sz w:val="15"/>
          <w:szCs w:val="15"/>
          <w:color w:val="auto"/>
        </w:rPr>
        <w:t>0</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15,061</w:t>
      </w:r>
    </w:p>
    <w:p>
      <w:pPr>
        <w:ind w:left="3460"/>
        <w:spacing w:after="0" w:line="237" w:lineRule="auto"/>
        <w:rPr>
          <w:sz w:val="20"/>
          <w:szCs w:val="20"/>
          <w:color w:val="auto"/>
        </w:rPr>
      </w:pPr>
      <w:r>
        <w:rPr>
          <w:rFonts w:ascii="Courier New" w:cs="Courier New" w:eastAsia="Courier New" w:hAnsi="Courier New"/>
          <w:sz w:val="15"/>
          <w:szCs w:val="15"/>
          <w:color w:val="auto"/>
        </w:rPr>
        <w:t>3,209</w:t>
      </w:r>
    </w:p>
    <w:p>
      <w:pPr>
        <w:ind w:left="3820"/>
        <w:spacing w:after="0" w:line="238" w:lineRule="auto"/>
        <w:rPr>
          <w:sz w:val="20"/>
          <w:szCs w:val="20"/>
          <w:color w:val="auto"/>
        </w:rPr>
      </w:pPr>
      <w:r>
        <w:rPr>
          <w:rFonts w:ascii="Courier New" w:cs="Courier New" w:eastAsia="Courier New" w:hAnsi="Courier New"/>
          <w:sz w:val="15"/>
          <w:szCs w:val="15"/>
          <w:color w:val="auto"/>
        </w:rPr>
        <w:t>47</w:t>
      </w:r>
    </w:p>
    <w:p>
      <w:pPr>
        <w:ind w:left="3040"/>
        <w:spacing w:after="0" w:line="237" w:lineRule="auto"/>
        <w:rPr>
          <w:sz w:val="20"/>
          <w:szCs w:val="20"/>
          <w:color w:val="auto"/>
        </w:rPr>
      </w:pPr>
      <w:r>
        <w:rPr>
          <w:rFonts w:ascii="Courier New" w:cs="Courier New" w:eastAsia="Courier New" w:hAnsi="Courier New"/>
          <w:sz w:val="15"/>
          <w:szCs w:val="15"/>
          <w:color w:val="auto"/>
        </w:rPr>
        <w:t>21,642</w:t>
      </w:r>
    </w:p>
    <w:p>
      <w:pPr>
        <w:ind w:left="2760"/>
        <w:spacing w:after="0" w:line="238" w:lineRule="auto"/>
        <w:rPr>
          <w:sz w:val="20"/>
          <w:szCs w:val="20"/>
          <w:color w:val="auto"/>
        </w:rPr>
      </w:pPr>
      <w:r>
        <w:rPr>
          <w:rFonts w:ascii="Courier New" w:cs="Courier New" w:eastAsia="Courier New" w:hAnsi="Courier New"/>
          <w:sz w:val="15"/>
          <w:szCs w:val="15"/>
          <w:color w:val="auto"/>
        </w:rPr>
        <w:t>21,642</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spacing w:after="0" w:line="342"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18 includes</w:t>
      </w:r>
      <w:r>
        <w:rPr>
          <w:sz w:val="20"/>
          <w:szCs w:val="20"/>
          <w:color w:val="auto"/>
        </w:rPr>
        <w:t xml:space="preserve"> </w:t>
      </w:r>
      <w:r>
        <w:rPr>
          <w:rFonts w:ascii="Courier New" w:cs="Courier New" w:eastAsia="Courier New" w:hAnsi="Courier New"/>
          <w:sz w:val="15"/>
          <w:szCs w:val="15"/>
          <w:color w:val="auto"/>
        </w:rPr>
        <w:t>loans available for sale of $88,511 loan portfolio of $422,232 and discount loan portfolio of $1,280,972.</w:t>
      </w:r>
    </w:p>
    <w:p>
      <w:pPr>
        <w:spacing w:after="0" w:line="5"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19 includes</w:t>
      </w:r>
      <w:r>
        <w:rPr>
          <w:sz w:val="20"/>
          <w:szCs w:val="20"/>
          <w:color w:val="auto"/>
        </w:rPr>
        <w:t xml:space="preserve"> </w:t>
      </w:r>
      <w:r>
        <w:rPr>
          <w:rFonts w:ascii="Courier New" w:cs="Courier New" w:eastAsia="Courier New" w:hAnsi="Courier New"/>
          <w:sz w:val="15"/>
          <w:szCs w:val="15"/>
          <w:color w:val="auto"/>
        </w:rPr>
        <w:t>allowance for loan losses on portfolio of $4,834 and on discount loan portfolio of $16,808.</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45</w:t>
      </w:r>
      <w:r>
        <w:rPr>
          <w:sz w:val="20"/>
          <w:szCs w:val="20"/>
          <w:color w:val="auto"/>
        </w:rPr>
        <w:t xml:space="preserve"> </w:t>
      </w:r>
      <w:r>
        <w:rPr>
          <w:rFonts w:ascii="Courier New" w:cs="Courier New" w:eastAsia="Courier New" w:hAnsi="Courier New"/>
          <w:sz w:val="15"/>
          <w:szCs w:val="15"/>
          <w:color w:val="auto"/>
        </w:rPr>
        <w:t>EPS-Primary has been restated in accordance with SFAS No. 128, "Earnings per Share" and for the 2-for-1 stock split approved by the Company's Board of Directors on October 29, 1997.</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46</w:t>
      </w:r>
      <w:r>
        <w:rPr>
          <w:sz w:val="20"/>
          <w:szCs w:val="20"/>
          <w:color w:val="auto"/>
        </w:rPr>
        <w:t xml:space="preserve"> </w:t>
      </w:r>
      <w:r>
        <w:rPr>
          <w:rFonts w:ascii="Courier New" w:cs="Courier New" w:eastAsia="Courier New" w:hAnsi="Courier New"/>
          <w:sz w:val="15"/>
          <w:szCs w:val="15"/>
          <w:color w:val="auto"/>
        </w:rPr>
        <w:t>EPS-Diluted has been restated in accordance with SFAS No. 128, "Earnings per Share" and for the 2-for-1 stock split approved by the Company's Board of Directors on October 29, 1997.</w:t>
      </w:r>
    </w:p>
    <w:p>
      <w:pPr>
        <w:sectPr>
          <w:pgSz w:w="11900" w:h="16838" w:orient="portrait"/>
          <w:cols w:equalWidth="0" w:num="1">
            <w:col w:w="10199"/>
          </w:cols>
          <w:pgMar w:left="260" w:top="471" w:right="1440" w:bottom="1440" w:gutter="0" w:footer="0" w:header="0"/>
        </w:sectPr>
      </w:pPr>
    </w:p>
    <w:bookmarkStart w:id="162" w:name="page163"/>
    <w:bookmarkEnd w:id="162"/>
    <w:p>
      <w:pPr>
        <w:ind w:left="382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33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0000873860</w:t>
      </w:r>
    </w:p>
    <w:p>
      <w:pPr>
        <w:ind w:left="2760"/>
        <w:spacing w:after="0" w:line="237" w:lineRule="auto"/>
        <w:rPr>
          <w:sz w:val="20"/>
          <w:szCs w:val="20"/>
          <w:color w:val="auto"/>
        </w:rPr>
      </w:pPr>
      <w:r>
        <w:rPr>
          <w:rFonts w:ascii="Courier New" w:cs="Courier New" w:eastAsia="Courier New" w:hAnsi="Courier New"/>
          <w:sz w:val="15"/>
          <w:szCs w:val="15"/>
          <w:color w:val="auto"/>
        </w:rPr>
        <w:t>Ocwen Financial Corp.</w:t>
      </w:r>
    </w:p>
    <w:p>
      <w:pPr>
        <w:ind w:left="3640"/>
        <w:spacing w:after="0" w:line="238" w:lineRule="auto"/>
        <w:rPr>
          <w:sz w:val="20"/>
          <w:szCs w:val="20"/>
          <w:color w:val="auto"/>
        </w:rPr>
      </w:pPr>
      <w:r>
        <w:rPr>
          <w:rFonts w:ascii="Courier New" w:cs="Courier New" w:eastAsia="Courier New" w:hAnsi="Courier New"/>
          <w:sz w:val="15"/>
          <w:szCs w:val="15"/>
          <w:color w:val="auto"/>
        </w:rPr>
        <w:t>1,000</w:t>
      </w:r>
    </w:p>
    <w:p>
      <w:pPr>
        <w:ind w:left="4000"/>
        <w:spacing w:after="0" w:line="237" w:lineRule="auto"/>
        <w:rPr>
          <w:sz w:val="20"/>
          <w:szCs w:val="20"/>
          <w:color w:val="auto"/>
        </w:rPr>
      </w:pPr>
      <w:r>
        <w:rPr>
          <w:rFonts w:ascii="Courier New" w:cs="Courier New" w:eastAsia="Courier New" w:hAnsi="Courier New"/>
          <w:sz w:val="15"/>
          <w:szCs w:val="15"/>
          <w:color w:val="auto"/>
        </w:rPr>
        <w:t>USD</w:t>
      </w: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6-MOS</w:t>
      </w:r>
    </w:p>
    <w:p>
      <w:pPr>
        <w:ind w:left="2680"/>
        <w:spacing w:after="0" w:line="237" w:lineRule="auto"/>
        <w:rPr>
          <w:sz w:val="20"/>
          <w:szCs w:val="20"/>
          <w:color w:val="auto"/>
        </w:rPr>
      </w:pPr>
      <w:r>
        <w:rPr>
          <w:rFonts w:ascii="Courier New" w:cs="Courier New" w:eastAsia="Courier New" w:hAnsi="Courier New"/>
          <w:sz w:val="15"/>
          <w:szCs w:val="15"/>
          <w:color w:val="auto"/>
        </w:rPr>
        <w:t>DEC-31-1997</w:t>
      </w:r>
    </w:p>
    <w:p>
      <w:pPr>
        <w:ind w:left="2940"/>
        <w:spacing w:after="0" w:line="238" w:lineRule="auto"/>
        <w:rPr>
          <w:sz w:val="20"/>
          <w:szCs w:val="20"/>
          <w:color w:val="auto"/>
        </w:rPr>
      </w:pPr>
      <w:r>
        <w:rPr>
          <w:rFonts w:ascii="Courier New" w:cs="Courier New" w:eastAsia="Courier New" w:hAnsi="Courier New"/>
          <w:sz w:val="15"/>
          <w:szCs w:val="15"/>
          <w:color w:val="auto"/>
        </w:rPr>
        <w:t>JAN-01-1997</w:t>
      </w:r>
    </w:p>
    <w:p>
      <w:pPr>
        <w:ind w:left="3120"/>
        <w:spacing w:after="0" w:line="237" w:lineRule="auto"/>
        <w:rPr>
          <w:sz w:val="20"/>
          <w:szCs w:val="20"/>
          <w:color w:val="auto"/>
        </w:rPr>
      </w:pPr>
      <w:r>
        <w:rPr>
          <w:rFonts w:ascii="Courier New" w:cs="Courier New" w:eastAsia="Courier New" w:hAnsi="Courier New"/>
          <w:sz w:val="15"/>
          <w:szCs w:val="15"/>
          <w:color w:val="auto"/>
        </w:rPr>
        <w:t>JUN-30-1997</w:t>
      </w:r>
    </w:p>
    <w:p>
      <w:pPr>
        <w:ind w:left="3640"/>
        <w:spacing w:after="0" w:line="238" w:lineRule="auto"/>
        <w:rPr>
          <w:sz w:val="20"/>
          <w:szCs w:val="20"/>
          <w:color w:val="auto"/>
        </w:rPr>
      </w:pPr>
      <w:r>
        <w:rPr>
          <w:rFonts w:ascii="Courier New" w:cs="Courier New" w:eastAsia="Courier New" w:hAnsi="Courier New"/>
          <w:sz w:val="15"/>
          <w:szCs w:val="15"/>
          <w:color w:val="auto"/>
        </w:rPr>
        <w:t>1</w:t>
      </w:r>
    </w:p>
    <w:p>
      <w:pPr>
        <w:ind w:left="4080"/>
        <w:spacing w:after="0" w:line="237" w:lineRule="auto"/>
        <w:rPr>
          <w:sz w:val="20"/>
          <w:szCs w:val="20"/>
          <w:color w:val="auto"/>
        </w:rPr>
      </w:pPr>
      <w:r>
        <w:rPr>
          <w:rFonts w:ascii="Courier New" w:cs="Courier New" w:eastAsia="Courier New" w:hAnsi="Courier New"/>
          <w:sz w:val="15"/>
          <w:szCs w:val="15"/>
          <w:color w:val="auto"/>
        </w:rPr>
        <w:t>6,911</w:t>
      </w:r>
    </w:p>
    <w:p>
      <w:pPr>
        <w:ind w:left="2600"/>
        <w:spacing w:after="0" w:line="238" w:lineRule="auto"/>
        <w:rPr>
          <w:sz w:val="20"/>
          <w:szCs w:val="20"/>
          <w:color w:val="auto"/>
        </w:rPr>
      </w:pPr>
      <w:r>
        <w:rPr>
          <w:rFonts w:ascii="Courier New" w:cs="Courier New" w:eastAsia="Courier New" w:hAnsi="Courier New"/>
          <w:sz w:val="15"/>
          <w:szCs w:val="15"/>
          <w:color w:val="auto"/>
        </w:rPr>
        <w:t>29,992</w:t>
      </w:r>
    </w:p>
    <w:p>
      <w:pPr>
        <w:ind w:left="3040"/>
        <w:spacing w:after="0" w:line="237" w:lineRule="auto"/>
        <w:rPr>
          <w:sz w:val="20"/>
          <w:szCs w:val="20"/>
          <w:color w:val="auto"/>
        </w:rPr>
      </w:pPr>
      <w:r>
        <w:rPr>
          <w:rFonts w:ascii="Courier New" w:cs="Courier New" w:eastAsia="Courier New" w:hAnsi="Courier New"/>
          <w:sz w:val="15"/>
          <w:szCs w:val="15"/>
          <w:color w:val="auto"/>
        </w:rPr>
        <w:t>189,844</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2060"/>
        <w:spacing w:after="0" w:line="238" w:lineRule="auto"/>
        <w:rPr>
          <w:sz w:val="20"/>
          <w:szCs w:val="20"/>
          <w:color w:val="auto"/>
        </w:rPr>
      </w:pPr>
      <w:r>
        <w:rPr>
          <w:rFonts w:ascii="Courier New" w:cs="Courier New" w:eastAsia="Courier New" w:hAnsi="Courier New"/>
          <w:sz w:val="15"/>
          <w:szCs w:val="15"/>
          <w:color w:val="auto"/>
        </w:rPr>
        <w:t>263,412</w:t>
      </w:r>
    </w:p>
    <w:p>
      <w:pPr>
        <w:ind w:left="2600"/>
        <w:spacing w:after="0" w:line="237" w:lineRule="auto"/>
        <w:rPr>
          <w:sz w:val="20"/>
          <w:szCs w:val="20"/>
          <w:color w:val="auto"/>
        </w:rPr>
      </w:pPr>
      <w:r>
        <w:rPr>
          <w:rFonts w:ascii="Courier New" w:cs="Courier New" w:eastAsia="Courier New" w:hAnsi="Courier New"/>
          <w:sz w:val="15"/>
          <w:szCs w:val="15"/>
          <w:color w:val="auto"/>
        </w:rPr>
        <w:t>38,821</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1,832,410</w:t>
      </w:r>
    </w:p>
    <w:p>
      <w:pPr>
        <w:ind w:left="3560"/>
        <w:spacing w:after="0" w:line="238" w:lineRule="auto"/>
        <w:rPr>
          <w:sz w:val="20"/>
          <w:szCs w:val="20"/>
          <w:color w:val="auto"/>
        </w:rPr>
      </w:pPr>
      <w:r>
        <w:rPr>
          <w:rFonts w:ascii="Courier New" w:cs="Courier New" w:eastAsia="Courier New" w:hAnsi="Courier New"/>
          <w:sz w:val="15"/>
          <w:szCs w:val="15"/>
          <w:color w:val="auto"/>
        </w:rPr>
        <w:t>24,825</w:t>
      </w:r>
    </w:p>
    <w:p>
      <w:pPr>
        <w:ind w:left="3040"/>
        <w:spacing w:after="0" w:line="237" w:lineRule="auto"/>
        <w:rPr>
          <w:sz w:val="20"/>
          <w:szCs w:val="20"/>
          <w:color w:val="auto"/>
        </w:rPr>
      </w:pPr>
      <w:r>
        <w:rPr>
          <w:rFonts w:ascii="Courier New" w:cs="Courier New" w:eastAsia="Courier New" w:hAnsi="Courier New"/>
          <w:sz w:val="15"/>
          <w:szCs w:val="15"/>
          <w:color w:val="auto"/>
        </w:rPr>
        <w:t>2,786,879</w:t>
      </w:r>
    </w:p>
    <w:p>
      <w:pPr>
        <w:ind w:left="3380"/>
        <w:spacing w:after="0" w:line="238" w:lineRule="auto"/>
        <w:rPr>
          <w:sz w:val="20"/>
          <w:szCs w:val="20"/>
          <w:color w:val="auto"/>
        </w:rPr>
      </w:pPr>
      <w:r>
        <w:rPr>
          <w:rFonts w:ascii="Courier New" w:cs="Courier New" w:eastAsia="Courier New" w:hAnsi="Courier New"/>
          <w:sz w:val="15"/>
          <w:szCs w:val="15"/>
          <w:color w:val="auto"/>
        </w:rPr>
        <w:t>2,198,603</w:t>
      </w:r>
    </w:p>
    <w:p>
      <w:pPr>
        <w:ind w:left="3900"/>
        <w:spacing w:after="0" w:line="238" w:lineRule="auto"/>
        <w:rPr>
          <w:sz w:val="20"/>
          <w:szCs w:val="20"/>
          <w:color w:val="auto"/>
        </w:rPr>
      </w:pPr>
      <w:r>
        <w:rPr>
          <w:rFonts w:ascii="Courier New" w:cs="Courier New" w:eastAsia="Courier New" w:hAnsi="Courier New"/>
          <w:sz w:val="15"/>
          <w:szCs w:val="15"/>
          <w:color w:val="auto"/>
        </w:rPr>
        <w:t>0</w:t>
      </w:r>
    </w:p>
    <w:p>
      <w:pPr>
        <w:ind w:left="2860"/>
        <w:spacing w:after="0" w:line="237" w:lineRule="auto"/>
        <w:rPr>
          <w:sz w:val="20"/>
          <w:szCs w:val="20"/>
          <w:color w:val="auto"/>
        </w:rPr>
      </w:pPr>
      <w:r>
        <w:rPr>
          <w:rFonts w:ascii="Courier New" w:cs="Courier New" w:eastAsia="Courier New" w:hAnsi="Courier New"/>
          <w:sz w:val="15"/>
          <w:szCs w:val="15"/>
          <w:color w:val="auto"/>
        </w:rPr>
        <w:t>55,927</w:t>
      </w:r>
    </w:p>
    <w:p>
      <w:pPr>
        <w:ind w:left="3460"/>
        <w:spacing w:after="0" w:line="238" w:lineRule="auto"/>
        <w:rPr>
          <w:sz w:val="20"/>
          <w:szCs w:val="20"/>
          <w:color w:val="auto"/>
        </w:rPr>
      </w:pPr>
      <w:r>
        <w:rPr>
          <w:rFonts w:ascii="Courier New" w:cs="Courier New" w:eastAsia="Courier New" w:hAnsi="Courier New"/>
          <w:sz w:val="15"/>
          <w:szCs w:val="15"/>
          <w:color w:val="auto"/>
        </w:rPr>
        <w:t>286,972</w:t>
      </w:r>
    </w:p>
    <w:p>
      <w:pPr>
        <w:ind w:left="3120"/>
        <w:spacing w:after="0" w:line="237" w:lineRule="auto"/>
        <w:rPr>
          <w:sz w:val="20"/>
          <w:szCs w:val="20"/>
          <w:color w:val="auto"/>
        </w:rPr>
      </w:pPr>
      <w:r>
        <w:rPr>
          <w:rFonts w:ascii="Courier New" w:cs="Courier New" w:eastAsia="Courier New" w:hAnsi="Courier New"/>
          <w:sz w:val="15"/>
          <w:szCs w:val="15"/>
          <w:color w:val="auto"/>
        </w:rPr>
        <w:t>0</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4080"/>
        <w:spacing w:after="0" w:line="237" w:lineRule="auto"/>
        <w:rPr>
          <w:sz w:val="20"/>
          <w:szCs w:val="20"/>
          <w:color w:val="auto"/>
        </w:rPr>
      </w:pPr>
      <w:r>
        <w:rPr>
          <w:rFonts w:ascii="Courier New" w:cs="Courier New" w:eastAsia="Courier New" w:hAnsi="Courier New"/>
          <w:sz w:val="15"/>
          <w:szCs w:val="15"/>
          <w:color w:val="auto"/>
        </w:rPr>
        <w:t>536</w:t>
      </w:r>
    </w:p>
    <w:p>
      <w:pPr>
        <w:ind w:left="3560"/>
        <w:spacing w:after="0" w:line="238" w:lineRule="auto"/>
        <w:rPr>
          <w:sz w:val="20"/>
          <w:szCs w:val="20"/>
          <w:color w:val="auto"/>
        </w:rPr>
      </w:pPr>
      <w:r>
        <w:rPr>
          <w:rFonts w:ascii="Courier New" w:cs="Courier New" w:eastAsia="Courier New" w:hAnsi="Courier New"/>
          <w:sz w:val="15"/>
          <w:szCs w:val="15"/>
          <w:color w:val="auto"/>
        </w:rPr>
        <w:t>243,328</w:t>
      </w:r>
    </w:p>
    <w:p>
      <w:pPr>
        <w:ind w:left="1640"/>
        <w:spacing w:after="0" w:line="238" w:lineRule="auto"/>
        <w:rPr>
          <w:sz w:val="20"/>
          <w:szCs w:val="20"/>
          <w:color w:val="auto"/>
        </w:rPr>
      </w:pPr>
      <w:r>
        <w:rPr>
          <w:rFonts w:ascii="Courier New" w:cs="Courier New" w:eastAsia="Courier New" w:hAnsi="Courier New"/>
          <w:sz w:val="15"/>
          <w:szCs w:val="15"/>
          <w:color w:val="auto"/>
        </w:rPr>
        <w:t>2,786,879</w:t>
      </w:r>
    </w:p>
    <w:p>
      <w:pPr>
        <w:ind w:left="3120"/>
        <w:spacing w:after="0" w:line="237" w:lineRule="auto"/>
        <w:rPr>
          <w:sz w:val="20"/>
          <w:szCs w:val="20"/>
          <w:color w:val="auto"/>
        </w:rPr>
      </w:pPr>
      <w:r>
        <w:rPr>
          <w:rFonts w:ascii="Courier New" w:cs="Courier New" w:eastAsia="Courier New" w:hAnsi="Courier New"/>
          <w:sz w:val="15"/>
          <w:szCs w:val="15"/>
          <w:color w:val="auto"/>
        </w:rPr>
        <w:t>102,660</w:t>
      </w:r>
    </w:p>
    <w:p>
      <w:pPr>
        <w:ind w:left="3040"/>
        <w:spacing w:after="0" w:line="238" w:lineRule="auto"/>
        <w:rPr>
          <w:sz w:val="20"/>
          <w:szCs w:val="20"/>
          <w:color w:val="auto"/>
        </w:rPr>
      </w:pPr>
      <w:r>
        <w:rPr>
          <w:rFonts w:ascii="Courier New" w:cs="Courier New" w:eastAsia="Courier New" w:hAnsi="Courier New"/>
          <w:sz w:val="15"/>
          <w:szCs w:val="15"/>
          <w:color w:val="auto"/>
        </w:rPr>
        <w:t>16,356</w:t>
      </w:r>
    </w:p>
    <w:p>
      <w:pPr>
        <w:ind w:left="3200"/>
        <w:spacing w:after="0" w:line="237" w:lineRule="auto"/>
        <w:rPr>
          <w:sz w:val="20"/>
          <w:szCs w:val="20"/>
          <w:color w:val="auto"/>
        </w:rPr>
      </w:pPr>
      <w:r>
        <w:rPr>
          <w:rFonts w:ascii="Courier New" w:cs="Courier New" w:eastAsia="Courier New" w:hAnsi="Courier New"/>
          <w:sz w:val="15"/>
          <w:szCs w:val="15"/>
          <w:color w:val="auto"/>
        </w:rPr>
        <w:t>2,453</w:t>
      </w:r>
    </w:p>
    <w:p>
      <w:pPr>
        <w:ind w:left="3040"/>
        <w:spacing w:after="0" w:line="238" w:lineRule="auto"/>
        <w:rPr>
          <w:sz w:val="20"/>
          <w:szCs w:val="20"/>
          <w:color w:val="auto"/>
        </w:rPr>
      </w:pPr>
      <w:r>
        <w:rPr>
          <w:rFonts w:ascii="Courier New" w:cs="Courier New" w:eastAsia="Courier New" w:hAnsi="Courier New"/>
          <w:sz w:val="15"/>
          <w:szCs w:val="15"/>
          <w:color w:val="auto"/>
        </w:rPr>
        <w:t>121,469</w:t>
      </w:r>
    </w:p>
    <w:p>
      <w:pPr>
        <w:ind w:left="2940"/>
        <w:spacing w:after="0" w:line="237" w:lineRule="auto"/>
        <w:rPr>
          <w:sz w:val="20"/>
          <w:szCs w:val="20"/>
          <w:color w:val="auto"/>
        </w:rPr>
      </w:pPr>
      <w:r>
        <w:rPr>
          <w:rFonts w:ascii="Courier New" w:cs="Courier New" w:eastAsia="Courier New" w:hAnsi="Courier New"/>
          <w:sz w:val="15"/>
          <w:szCs w:val="15"/>
          <w:color w:val="auto"/>
        </w:rPr>
        <w:t>61,264</w:t>
      </w:r>
    </w:p>
    <w:p>
      <w:pPr>
        <w:ind w:left="2940"/>
        <w:spacing w:after="0" w:line="238" w:lineRule="auto"/>
        <w:rPr>
          <w:sz w:val="20"/>
          <w:szCs w:val="20"/>
          <w:color w:val="auto"/>
        </w:rPr>
      </w:pPr>
      <w:r>
        <w:rPr>
          <w:rFonts w:ascii="Courier New" w:cs="Courier New" w:eastAsia="Courier New" w:hAnsi="Courier New"/>
          <w:sz w:val="15"/>
          <w:szCs w:val="15"/>
          <w:color w:val="auto"/>
        </w:rPr>
        <w:t>76,032</w:t>
      </w:r>
    </w:p>
    <w:p>
      <w:pPr>
        <w:ind w:left="2680"/>
        <w:spacing w:after="0" w:line="238" w:lineRule="auto"/>
        <w:rPr>
          <w:sz w:val="20"/>
          <w:szCs w:val="20"/>
          <w:color w:val="auto"/>
        </w:rPr>
      </w:pPr>
      <w:r>
        <w:rPr>
          <w:rFonts w:ascii="Courier New" w:cs="Courier New" w:eastAsia="Courier New" w:hAnsi="Courier New"/>
          <w:sz w:val="15"/>
          <w:szCs w:val="15"/>
          <w:color w:val="auto"/>
        </w:rPr>
        <w:t>45,437</w:t>
      </w:r>
    </w:p>
    <w:p>
      <w:pPr>
        <w:ind w:left="3380"/>
        <w:spacing w:after="0" w:line="237" w:lineRule="auto"/>
        <w:rPr>
          <w:sz w:val="20"/>
          <w:szCs w:val="20"/>
          <w:color w:val="auto"/>
        </w:rPr>
      </w:pPr>
      <w:r>
        <w:rPr>
          <w:rFonts w:ascii="Courier New" w:cs="Courier New" w:eastAsia="Courier New" w:hAnsi="Courier New"/>
          <w:sz w:val="15"/>
          <w:szCs w:val="15"/>
          <w:color w:val="auto"/>
        </w:rPr>
        <w:t>17,651</w:t>
      </w:r>
    </w:p>
    <w:p>
      <w:pPr>
        <w:ind w:left="2940"/>
        <w:spacing w:after="0" w:line="238" w:lineRule="auto"/>
        <w:rPr>
          <w:sz w:val="20"/>
          <w:szCs w:val="20"/>
          <w:color w:val="auto"/>
        </w:rPr>
      </w:pPr>
      <w:r>
        <w:rPr>
          <w:rFonts w:ascii="Courier New" w:cs="Courier New" w:eastAsia="Courier New" w:hAnsi="Courier New"/>
          <w:sz w:val="15"/>
          <w:szCs w:val="15"/>
          <w:color w:val="auto"/>
        </w:rPr>
        <w:t>29,593</w:t>
      </w:r>
    </w:p>
    <w:p>
      <w:pPr>
        <w:ind w:left="3200"/>
        <w:spacing w:after="0" w:line="237" w:lineRule="auto"/>
        <w:rPr>
          <w:sz w:val="20"/>
          <w:szCs w:val="20"/>
          <w:color w:val="auto"/>
        </w:rPr>
      </w:pPr>
      <w:r>
        <w:rPr>
          <w:rFonts w:ascii="Courier New" w:cs="Courier New" w:eastAsia="Courier New" w:hAnsi="Courier New"/>
          <w:sz w:val="15"/>
          <w:szCs w:val="15"/>
          <w:color w:val="auto"/>
        </w:rPr>
        <w:t>53,777</w:t>
      </w:r>
    </w:p>
    <w:p>
      <w:pPr>
        <w:ind w:left="3200"/>
        <w:spacing w:after="0" w:line="238" w:lineRule="auto"/>
        <w:rPr>
          <w:sz w:val="20"/>
          <w:szCs w:val="20"/>
          <w:color w:val="auto"/>
        </w:rPr>
      </w:pPr>
      <w:r>
        <w:rPr>
          <w:rFonts w:ascii="Courier New" w:cs="Courier New" w:eastAsia="Courier New" w:hAnsi="Courier New"/>
          <w:sz w:val="15"/>
          <w:szCs w:val="15"/>
          <w:color w:val="auto"/>
        </w:rPr>
        <w:t>44,323</w:t>
      </w:r>
    </w:p>
    <w:p>
      <w:pPr>
        <w:ind w:left="2240"/>
        <w:spacing w:after="0" w:line="237" w:lineRule="auto"/>
        <w:rPr>
          <w:sz w:val="20"/>
          <w:szCs w:val="20"/>
          <w:color w:val="auto"/>
        </w:rPr>
      </w:pPr>
      <w:r>
        <w:rPr>
          <w:rFonts w:ascii="Courier New" w:cs="Courier New" w:eastAsia="Courier New" w:hAnsi="Courier New"/>
          <w:sz w:val="15"/>
          <w:szCs w:val="15"/>
          <w:color w:val="auto"/>
        </w:rPr>
        <w:t>44,323</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416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7" w:lineRule="auto"/>
        <w:rPr>
          <w:sz w:val="20"/>
          <w:szCs w:val="20"/>
          <w:color w:val="auto"/>
        </w:rPr>
      </w:pPr>
      <w:r>
        <w:rPr>
          <w:rFonts w:ascii="Courier New" w:cs="Courier New" w:eastAsia="Courier New" w:hAnsi="Courier New"/>
          <w:sz w:val="15"/>
          <w:szCs w:val="15"/>
          <w:color w:val="auto"/>
        </w:rPr>
        <w:t>35,833</w:t>
      </w:r>
    </w:p>
    <w:p>
      <w:pPr>
        <w:ind w:left="3560"/>
        <w:spacing w:after="0" w:line="238" w:lineRule="auto"/>
        <w:rPr>
          <w:sz w:val="20"/>
          <w:szCs w:val="20"/>
          <w:color w:val="auto"/>
        </w:rPr>
      </w:pPr>
      <w:r>
        <w:rPr>
          <w:rFonts w:ascii="Courier New" w:cs="Courier New" w:eastAsia="Courier New" w:hAnsi="Courier New"/>
          <w:sz w:val="15"/>
          <w:szCs w:val="15"/>
          <w:color w:val="auto"/>
        </w:rPr>
        <w:t>0.67</w:t>
      </w:r>
    </w:p>
    <w:p>
      <w:pPr>
        <w:ind w:left="3560"/>
        <w:spacing w:after="0" w:line="237" w:lineRule="auto"/>
        <w:rPr>
          <w:sz w:val="20"/>
          <w:szCs w:val="20"/>
          <w:color w:val="auto"/>
        </w:rPr>
      </w:pPr>
      <w:r>
        <w:rPr>
          <w:rFonts w:ascii="Courier New" w:cs="Courier New" w:eastAsia="Courier New" w:hAnsi="Courier New"/>
          <w:sz w:val="15"/>
          <w:szCs w:val="15"/>
          <w:color w:val="auto"/>
        </w:rPr>
        <w:t>0.66</w:t>
      </w:r>
    </w:p>
    <w:p>
      <w:pPr>
        <w:ind w:left="3380"/>
        <w:spacing w:after="0" w:line="238" w:lineRule="auto"/>
        <w:rPr>
          <w:sz w:val="20"/>
          <w:szCs w:val="20"/>
          <w:color w:val="auto"/>
        </w:rPr>
      </w:pPr>
      <w:r>
        <w:rPr>
          <w:rFonts w:ascii="Courier New" w:cs="Courier New" w:eastAsia="Courier New" w:hAnsi="Courier New"/>
          <w:sz w:val="15"/>
          <w:szCs w:val="15"/>
          <w:color w:val="auto"/>
        </w:rPr>
        <w:t>10.79</w:t>
      </w:r>
    </w:p>
    <w:p>
      <w:pPr>
        <w:ind w:left="3460"/>
        <w:spacing w:after="0" w:line="237" w:lineRule="auto"/>
        <w:rPr>
          <w:sz w:val="20"/>
          <w:szCs w:val="20"/>
          <w:color w:val="auto"/>
        </w:rPr>
      </w:pPr>
      <w:r>
        <w:rPr>
          <w:rFonts w:ascii="Courier New" w:cs="Courier New" w:eastAsia="Courier New" w:hAnsi="Courier New"/>
          <w:sz w:val="15"/>
          <w:szCs w:val="15"/>
          <w:color w:val="auto"/>
        </w:rPr>
        <w:t>847,655</w:t>
      </w:r>
    </w:p>
    <w:p>
      <w:pPr>
        <w:ind w:left="3900"/>
        <w:spacing w:after="0" w:line="238" w:lineRule="auto"/>
        <w:rPr>
          <w:sz w:val="20"/>
          <w:szCs w:val="20"/>
          <w:color w:val="auto"/>
        </w:rPr>
      </w:pPr>
      <w:r>
        <w:rPr>
          <w:rFonts w:ascii="Courier New" w:cs="Courier New" w:eastAsia="Courier New" w:hAnsi="Courier New"/>
          <w:sz w:val="15"/>
          <w:szCs w:val="15"/>
          <w:color w:val="auto"/>
        </w:rPr>
        <w:t>0</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15,061</w:t>
      </w:r>
    </w:p>
    <w:p>
      <w:pPr>
        <w:ind w:left="3460"/>
        <w:spacing w:after="0" w:line="237" w:lineRule="auto"/>
        <w:rPr>
          <w:sz w:val="20"/>
          <w:szCs w:val="20"/>
          <w:color w:val="auto"/>
        </w:rPr>
      </w:pPr>
      <w:r>
        <w:rPr>
          <w:rFonts w:ascii="Courier New" w:cs="Courier New" w:eastAsia="Courier New" w:hAnsi="Courier New"/>
          <w:sz w:val="15"/>
          <w:szCs w:val="15"/>
          <w:color w:val="auto"/>
        </w:rPr>
        <w:t>7,982</w:t>
      </w:r>
    </w:p>
    <w:p>
      <w:pPr>
        <w:ind w:left="3820"/>
        <w:spacing w:after="0" w:line="238" w:lineRule="auto"/>
        <w:rPr>
          <w:sz w:val="20"/>
          <w:szCs w:val="20"/>
          <w:color w:val="auto"/>
        </w:rPr>
      </w:pPr>
      <w:r>
        <w:rPr>
          <w:rFonts w:ascii="Courier New" w:cs="Courier New" w:eastAsia="Courier New" w:hAnsi="Courier New"/>
          <w:sz w:val="15"/>
          <w:szCs w:val="15"/>
          <w:color w:val="auto"/>
        </w:rPr>
        <w:t>95</w:t>
      </w:r>
    </w:p>
    <w:p>
      <w:pPr>
        <w:ind w:left="3040"/>
        <w:spacing w:after="0" w:line="237" w:lineRule="auto"/>
        <w:rPr>
          <w:sz w:val="20"/>
          <w:szCs w:val="20"/>
          <w:color w:val="auto"/>
        </w:rPr>
      </w:pPr>
      <w:r>
        <w:rPr>
          <w:rFonts w:ascii="Courier New" w:cs="Courier New" w:eastAsia="Courier New" w:hAnsi="Courier New"/>
          <w:sz w:val="15"/>
          <w:szCs w:val="15"/>
          <w:color w:val="auto"/>
        </w:rPr>
        <w:t>24,825</w:t>
      </w:r>
    </w:p>
    <w:p>
      <w:pPr>
        <w:ind w:left="2760"/>
        <w:spacing w:after="0" w:line="238" w:lineRule="auto"/>
        <w:rPr>
          <w:sz w:val="20"/>
          <w:szCs w:val="20"/>
          <w:color w:val="auto"/>
        </w:rPr>
      </w:pPr>
      <w:r>
        <w:rPr>
          <w:rFonts w:ascii="Courier New" w:cs="Courier New" w:eastAsia="Courier New" w:hAnsi="Courier New"/>
          <w:sz w:val="15"/>
          <w:szCs w:val="15"/>
          <w:color w:val="auto"/>
        </w:rPr>
        <w:t>24,825</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spacing w:after="0" w:line="342"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18 includes</w:t>
      </w:r>
      <w:r>
        <w:rPr>
          <w:sz w:val="20"/>
          <w:szCs w:val="20"/>
          <w:color w:val="auto"/>
        </w:rPr>
        <w:t xml:space="preserve"> </w:t>
      </w:r>
      <w:r>
        <w:rPr>
          <w:rFonts w:ascii="Courier New" w:cs="Courier New" w:eastAsia="Courier New" w:hAnsi="Courier New"/>
          <w:sz w:val="15"/>
          <w:szCs w:val="15"/>
          <w:color w:val="auto"/>
        </w:rPr>
        <w:t>loans available for sale of $103,627 loan portfolio of $433,663 and discount loan portfolio of $1,295,120.</w:t>
      </w:r>
    </w:p>
    <w:p>
      <w:pPr>
        <w:spacing w:after="0" w:line="5" w:lineRule="exact"/>
        <w:rPr>
          <w:sz w:val="20"/>
          <w:szCs w:val="20"/>
          <w:color w:val="auto"/>
        </w:rPr>
      </w:pPr>
    </w:p>
    <w:p>
      <w:pPr>
        <w:ind w:left="500" w:right="3579" w:hanging="349"/>
        <w:spacing w:after="0" w:line="234" w:lineRule="auto"/>
        <w:rPr>
          <w:sz w:val="20"/>
          <w:szCs w:val="20"/>
          <w:color w:val="auto"/>
        </w:rPr>
      </w:pPr>
      <w:r>
        <w:rPr>
          <w:rFonts w:ascii="Courier New" w:cs="Courier New" w:eastAsia="Courier New" w:hAnsi="Courier New"/>
          <w:sz w:val="15"/>
          <w:szCs w:val="15"/>
          <w:color w:val="auto"/>
        </w:rPr>
        <w:t>Tag 19 includes</w:t>
      </w:r>
      <w:r>
        <w:rPr>
          <w:sz w:val="20"/>
          <w:szCs w:val="20"/>
          <w:color w:val="auto"/>
        </w:rPr>
        <w:t xml:space="preserve"> </w:t>
      </w:r>
      <w:r>
        <w:rPr>
          <w:rFonts w:ascii="Courier New" w:cs="Courier New" w:eastAsia="Courier New" w:hAnsi="Courier New"/>
          <w:sz w:val="15"/>
          <w:szCs w:val="15"/>
          <w:color w:val="auto"/>
        </w:rPr>
        <w:t>allowance for loan losses of loan portfolio of $4,974 and on discount loan portfolio of $19,851.</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45</w:t>
      </w:r>
      <w:r>
        <w:rPr>
          <w:sz w:val="20"/>
          <w:szCs w:val="20"/>
          <w:color w:val="auto"/>
        </w:rPr>
        <w:t xml:space="preserve"> </w:t>
      </w:r>
      <w:r>
        <w:rPr>
          <w:rFonts w:ascii="Courier New" w:cs="Courier New" w:eastAsia="Courier New" w:hAnsi="Courier New"/>
          <w:sz w:val="15"/>
          <w:szCs w:val="15"/>
          <w:color w:val="auto"/>
        </w:rPr>
        <w:t>EPS-Primary has been restated in accordance with SFAS No. 128, "Earnings per Share" and for the 2-for-1 stock split approved by the Company's Board of Directors on October 29, 1997.</w:t>
      </w:r>
    </w:p>
    <w:p>
      <w:pPr>
        <w:spacing w:after="0" w:line="5" w:lineRule="exact"/>
        <w:rPr>
          <w:sz w:val="20"/>
          <w:szCs w:val="20"/>
          <w:color w:val="auto"/>
        </w:rPr>
      </w:pPr>
    </w:p>
    <w:p>
      <w:pPr>
        <w:ind w:left="500" w:right="3239" w:hanging="349"/>
        <w:spacing w:after="0" w:line="235" w:lineRule="auto"/>
        <w:rPr>
          <w:sz w:val="20"/>
          <w:szCs w:val="20"/>
          <w:color w:val="auto"/>
        </w:rPr>
      </w:pPr>
      <w:r>
        <w:rPr>
          <w:rFonts w:ascii="Courier New" w:cs="Courier New" w:eastAsia="Courier New" w:hAnsi="Courier New"/>
          <w:sz w:val="15"/>
          <w:szCs w:val="15"/>
          <w:color w:val="auto"/>
        </w:rPr>
        <w:t>Tag 46</w:t>
      </w:r>
      <w:r>
        <w:rPr>
          <w:sz w:val="20"/>
          <w:szCs w:val="20"/>
          <w:color w:val="auto"/>
        </w:rPr>
        <w:t xml:space="preserve"> </w:t>
      </w:r>
      <w:r>
        <w:rPr>
          <w:rFonts w:ascii="Courier New" w:cs="Courier New" w:eastAsia="Courier New" w:hAnsi="Courier New"/>
          <w:sz w:val="15"/>
          <w:szCs w:val="15"/>
          <w:color w:val="auto"/>
        </w:rPr>
        <w:t>EPS-Diluted has been restated in accordance with SFAS No. 128, "Earnings per Share" and for the 2-for-1 stock split approved by the Company's Board of Directors on October 29, 1997.</w:t>
      </w:r>
    </w:p>
    <w:p>
      <w:pPr>
        <w:sectPr>
          <w:pgSz w:w="11900" w:h="16838" w:orient="portrait"/>
          <w:cols w:equalWidth="0" w:num="1">
            <w:col w:w="10199"/>
          </w:cols>
          <w:pgMar w:left="260" w:top="640"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WARNING: THE EDGAR SYSTEM ENCOUNTERED ERROR(S) WHILE PROCESSING THIS SCHEDULE.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left="40"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 and is qualified in its entirety by reference to such financial statements.</w:t>
      </w:r>
    </w:p>
    <w:p>
      <w:pPr>
        <w:spacing w:after="0" w:line="16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[/LEGEND]</w:t>
      </w:r>
    </w:p>
    <w:tbl>
      <w:tblPr>
        <w:tblLayout w:type="fixed"/>
        <w:tblInd w:w="200" w:type="dxa"/>
        <w:tblCellMar>
          <w:top w:w="0" w:type="dxa"/>
          <w:left w:w="0" w:type="dxa"/>
          <w:bottom w:w="0" w:type="dxa"/>
          <w:right w:w="0" w:type="dxa"/>
        </w:tblCellMar>
      </w:tblPr>
      <w:tr>
        <w:trPr>
          <w:trHeight w:val="168"/>
        </w:trPr>
        <w:tc>
          <w:tcPr>
            <w:tcW w:w="1460" w:type="dxa"/>
            <w:vAlign w:val="bottom"/>
          </w:tcPr>
          <w:p>
            <w:pPr>
              <w:spacing w:after="0"/>
              <w:rPr>
                <w:sz w:val="14"/>
                <w:szCs w:val="14"/>
                <w:color w:val="auto"/>
              </w:rPr>
            </w:pPr>
          </w:p>
        </w:tc>
        <w:tc>
          <w:tcPr>
            <w:tcW w:w="5020" w:type="dxa"/>
            <w:vAlign w:val="bottom"/>
          </w:tcPr>
          <w:p>
            <w:pPr>
              <w:ind w:left="2140"/>
              <w:spacing w:after="0" w:line="168" w:lineRule="exact"/>
              <w:rPr>
                <w:sz w:val="20"/>
                <w:szCs w:val="20"/>
                <w:color w:val="auto"/>
              </w:rPr>
            </w:pPr>
            <w:r>
              <w:rPr>
                <w:rFonts w:ascii="Courier New" w:cs="Courier New" w:eastAsia="Courier New" w:hAnsi="Courier New"/>
                <w:sz w:val="15"/>
                <w:szCs w:val="15"/>
                <w:color w:val="auto"/>
              </w:rPr>
              <w:t>0000873860</w:t>
            </w:r>
          </w:p>
        </w:tc>
      </w:tr>
      <w:tr>
        <w:trPr>
          <w:trHeight w:val="168"/>
        </w:trPr>
        <w:tc>
          <w:tcPr>
            <w:tcW w:w="1460" w:type="dxa"/>
            <w:vAlign w:val="bottom"/>
          </w:tcPr>
          <w:p>
            <w:pPr>
              <w:spacing w:after="0"/>
              <w:rPr>
                <w:sz w:val="14"/>
                <w:szCs w:val="14"/>
                <w:color w:val="auto"/>
              </w:rPr>
            </w:pPr>
          </w:p>
        </w:tc>
        <w:tc>
          <w:tcPr>
            <w:tcW w:w="50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Ocwen Financial Corp.</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460" w:type="dxa"/>
            <w:vAlign w:val="bottom"/>
          </w:tcPr>
          <w:p>
            <w:pPr>
              <w:spacing w:after="0"/>
              <w:rPr>
                <w:sz w:val="14"/>
                <w:szCs w:val="14"/>
                <w:color w:val="auto"/>
              </w:rPr>
            </w:pPr>
          </w:p>
        </w:tc>
        <w:tc>
          <w:tcPr>
            <w:tcW w:w="5020" w:type="dxa"/>
            <w:vAlign w:val="bottom"/>
          </w:tcPr>
          <w:p>
            <w:pPr>
              <w:ind w:left="2300"/>
              <w:spacing w:after="0" w:line="168" w:lineRule="exact"/>
              <w:rPr>
                <w:sz w:val="20"/>
                <w:szCs w:val="20"/>
                <w:color w:val="auto"/>
              </w:rPr>
            </w:pPr>
            <w:r>
              <w:rPr>
                <w:rFonts w:ascii="Courier New" w:cs="Courier New" w:eastAsia="Courier New" w:hAnsi="Courier New"/>
                <w:sz w:val="15"/>
                <w:szCs w:val="15"/>
                <w:color w:val="auto"/>
              </w:rPr>
              <w:t>USD</w:t>
            </w:r>
          </w:p>
        </w:tc>
      </w:tr>
      <w:tr>
        <w:trPr>
          <w:trHeight w:val="505"/>
        </w:trPr>
        <w:tc>
          <w:tcPr>
            <w:tcW w:w="1460" w:type="dxa"/>
            <w:vAlign w:val="bottom"/>
          </w:tcPr>
          <w:p>
            <w:pPr>
              <w:spacing w:after="0"/>
              <w:rPr>
                <w:sz w:val="24"/>
                <w:szCs w:val="24"/>
                <w:color w:val="auto"/>
              </w:rPr>
            </w:pPr>
          </w:p>
        </w:tc>
        <w:tc>
          <w:tcPr>
            <w:tcW w:w="5020" w:type="dxa"/>
            <w:vAlign w:val="bottom"/>
          </w:tcPr>
          <w:p>
            <w:pPr>
              <w:ind w:left="1880"/>
              <w:spacing w:after="0"/>
              <w:rPr>
                <w:sz w:val="20"/>
                <w:szCs w:val="20"/>
                <w:color w:val="auto"/>
              </w:rPr>
            </w:pPr>
            <w:r>
              <w:rPr>
                <w:rFonts w:ascii="Courier New" w:cs="Courier New" w:eastAsia="Courier New" w:hAnsi="Courier New"/>
                <w:sz w:val="15"/>
                <w:szCs w:val="15"/>
                <w:color w:val="auto"/>
              </w:rPr>
              <w:t>9-MOS</w:t>
            </w:r>
          </w:p>
        </w:tc>
      </w:tr>
      <w:tr>
        <w:trPr>
          <w:trHeight w:val="168"/>
        </w:trPr>
        <w:tc>
          <w:tcPr>
            <w:tcW w:w="1460" w:type="dxa"/>
            <w:vAlign w:val="bottom"/>
          </w:tcPr>
          <w:p>
            <w:pPr>
              <w:spacing w:after="0"/>
              <w:rPr>
                <w:sz w:val="14"/>
                <w:szCs w:val="14"/>
                <w:color w:val="auto"/>
              </w:rPr>
            </w:pPr>
          </w:p>
        </w:tc>
        <w:tc>
          <w:tcPr>
            <w:tcW w:w="50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DEC-31-1997</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727"/>
              <w:spacing w:after="0" w:line="168" w:lineRule="exact"/>
              <w:rPr>
                <w:sz w:val="20"/>
                <w:szCs w:val="20"/>
                <w:color w:val="auto"/>
              </w:rPr>
            </w:pPr>
            <w:r>
              <w:rPr>
                <w:rFonts w:ascii="Courier New" w:cs="Courier New" w:eastAsia="Courier New" w:hAnsi="Courier New"/>
                <w:sz w:val="15"/>
                <w:szCs w:val="15"/>
                <w:color w:val="auto"/>
              </w:rPr>
              <w:t>JAN-01-1997</w:t>
            </w:r>
          </w:p>
        </w:tc>
      </w:tr>
      <w:tr>
        <w:trPr>
          <w:trHeight w:val="168"/>
        </w:trPr>
        <w:tc>
          <w:tcPr>
            <w:tcW w:w="1460" w:type="dxa"/>
            <w:vAlign w:val="bottom"/>
          </w:tcPr>
          <w:p>
            <w:pPr>
              <w:spacing w:after="0"/>
              <w:rPr>
                <w:sz w:val="14"/>
                <w:szCs w:val="14"/>
                <w:color w:val="auto"/>
              </w:rPr>
            </w:pPr>
          </w:p>
        </w:tc>
        <w:tc>
          <w:tcPr>
            <w:tcW w:w="50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SEP-30-1997</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460" w:type="dxa"/>
            <w:vAlign w:val="bottom"/>
          </w:tcPr>
          <w:p>
            <w:pPr>
              <w:spacing w:after="0"/>
              <w:rPr>
                <w:sz w:val="14"/>
                <w:szCs w:val="14"/>
                <w:color w:val="auto"/>
              </w:rPr>
            </w:pPr>
          </w:p>
        </w:tc>
        <w:tc>
          <w:tcPr>
            <w:tcW w:w="5020" w:type="dxa"/>
            <w:vAlign w:val="bottom"/>
          </w:tcPr>
          <w:p>
            <w:pPr>
              <w:ind w:left="2400"/>
              <w:spacing w:after="0" w:line="168" w:lineRule="exact"/>
              <w:rPr>
                <w:sz w:val="20"/>
                <w:szCs w:val="20"/>
                <w:color w:val="auto"/>
              </w:rPr>
            </w:pPr>
            <w:r>
              <w:rPr>
                <w:rFonts w:ascii="Courier New" w:cs="Courier New" w:eastAsia="Courier New" w:hAnsi="Courier New"/>
                <w:sz w:val="15"/>
                <w:szCs w:val="15"/>
                <w:color w:val="auto"/>
              </w:rPr>
              <w:t>15,641</w:t>
            </w:r>
          </w:p>
        </w:tc>
      </w:tr>
      <w:tr>
        <w:trPr>
          <w:trHeight w:val="168"/>
        </w:trPr>
        <w:tc>
          <w:tcPr>
            <w:tcW w:w="1460" w:type="dxa"/>
            <w:vAlign w:val="bottom"/>
          </w:tcPr>
          <w:p>
            <w:pPr>
              <w:spacing w:after="0"/>
              <w:rPr>
                <w:sz w:val="14"/>
                <w:szCs w:val="14"/>
                <w:color w:val="auto"/>
              </w:rPr>
            </w:pPr>
          </w:p>
        </w:tc>
        <w:tc>
          <w:tcPr>
            <w:tcW w:w="50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7,469</w:t>
            </w:r>
          </w:p>
        </w:tc>
      </w:tr>
      <w:tr>
        <w:trPr>
          <w:trHeight w:val="168"/>
        </w:trPr>
        <w:tc>
          <w:tcPr>
            <w:tcW w:w="1460" w:type="dxa"/>
            <w:vAlign w:val="bottom"/>
          </w:tcPr>
          <w:p>
            <w:pPr>
              <w:spacing w:after="0"/>
              <w:rPr>
                <w:sz w:val="14"/>
                <w:szCs w:val="14"/>
                <w:color w:val="auto"/>
              </w:rPr>
            </w:pPr>
          </w:p>
        </w:tc>
        <w:tc>
          <w:tcPr>
            <w:tcW w:w="502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82,844</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264,723</w:t>
            </w:r>
          </w:p>
        </w:tc>
      </w:tr>
      <w:tr>
        <w:trPr>
          <w:trHeight w:val="168"/>
        </w:trPr>
        <w:tc>
          <w:tcPr>
            <w:tcW w:w="1460" w:type="dxa"/>
            <w:vAlign w:val="bottom"/>
          </w:tcPr>
          <w:p>
            <w:pPr>
              <w:spacing w:after="0"/>
              <w:rPr>
                <w:sz w:val="14"/>
                <w:szCs w:val="14"/>
                <w:color w:val="auto"/>
              </w:rPr>
            </w:pPr>
          </w:p>
        </w:tc>
        <w:tc>
          <w:tcPr>
            <w:tcW w:w="50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54,042</w:t>
            </w:r>
          </w:p>
        </w:tc>
      </w:tr>
      <w:tr>
        <w:trPr>
          <w:trHeight w:val="168"/>
        </w:trPr>
        <w:tc>
          <w:tcPr>
            <w:tcW w:w="1460" w:type="dxa"/>
            <w:vAlign w:val="bottom"/>
          </w:tcPr>
          <w:p>
            <w:pPr>
              <w:spacing w:after="0"/>
              <w:rPr>
                <w:sz w:val="14"/>
                <w:szCs w:val="14"/>
                <w:color w:val="auto"/>
              </w:rPr>
            </w:pPr>
          </w:p>
        </w:tc>
        <w:tc>
          <w:tcPr>
            <w:tcW w:w="50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54,042</w:t>
            </w:r>
          </w:p>
        </w:tc>
      </w:tr>
      <w:tr>
        <w:trPr>
          <w:trHeight w:val="168"/>
        </w:trPr>
        <w:tc>
          <w:tcPr>
            <w:tcW w:w="1460" w:type="dxa"/>
            <w:vAlign w:val="bottom"/>
          </w:tcPr>
          <w:p>
            <w:pPr>
              <w:spacing w:after="0"/>
              <w:rPr>
                <w:sz w:val="14"/>
                <w:szCs w:val="14"/>
                <w:color w:val="auto"/>
              </w:rPr>
            </w:pPr>
          </w:p>
        </w:tc>
        <w:tc>
          <w:tcPr>
            <w:tcW w:w="5020" w:type="dxa"/>
            <w:vAlign w:val="bottom"/>
          </w:tcPr>
          <w:p>
            <w:pPr>
              <w:ind w:left="2040"/>
              <w:spacing w:after="0" w:line="168" w:lineRule="exact"/>
              <w:rPr>
                <w:sz w:val="20"/>
                <w:szCs w:val="20"/>
                <w:color w:val="auto"/>
              </w:rPr>
            </w:pPr>
            <w:r>
              <w:rPr>
                <w:rFonts w:ascii="Courier New" w:cs="Courier New" w:eastAsia="Courier New" w:hAnsi="Courier New"/>
                <w:sz w:val="15"/>
                <w:szCs w:val="15"/>
                <w:color w:val="auto"/>
              </w:rPr>
              <w:t>2,053,786</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23,071</w:t>
            </w:r>
          </w:p>
        </w:tc>
      </w:tr>
      <w:tr>
        <w:trPr>
          <w:trHeight w:val="168"/>
        </w:trPr>
        <w:tc>
          <w:tcPr>
            <w:tcW w:w="1460" w:type="dxa"/>
            <w:vAlign w:val="bottom"/>
          </w:tcPr>
          <w:p>
            <w:pPr>
              <w:spacing w:after="0"/>
              <w:rPr>
                <w:sz w:val="14"/>
                <w:szCs w:val="14"/>
                <w:color w:val="auto"/>
              </w:rPr>
            </w:pPr>
          </w:p>
        </w:tc>
        <w:tc>
          <w:tcPr>
            <w:tcW w:w="50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2,956,300</w:t>
            </w:r>
          </w:p>
        </w:tc>
      </w:tr>
      <w:tr>
        <w:trPr>
          <w:trHeight w:val="168"/>
        </w:trPr>
        <w:tc>
          <w:tcPr>
            <w:tcW w:w="1460" w:type="dxa"/>
            <w:vAlign w:val="bottom"/>
          </w:tcPr>
          <w:p>
            <w:pPr>
              <w:spacing w:after="0"/>
              <w:rPr>
                <w:sz w:val="14"/>
                <w:szCs w:val="14"/>
                <w:color w:val="auto"/>
              </w:rPr>
            </w:pPr>
          </w:p>
        </w:tc>
        <w:tc>
          <w:tcPr>
            <w:tcW w:w="502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rPr>
              <w:t>1,970,952</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3,075</w:t>
            </w:r>
          </w:p>
        </w:tc>
      </w:tr>
      <w:tr>
        <w:trPr>
          <w:trHeight w:val="168"/>
        </w:trPr>
        <w:tc>
          <w:tcPr>
            <w:tcW w:w="1460" w:type="dxa"/>
            <w:vAlign w:val="bottom"/>
          </w:tcPr>
          <w:p>
            <w:pPr>
              <w:spacing w:after="0"/>
              <w:rPr>
                <w:sz w:val="14"/>
                <w:szCs w:val="14"/>
                <w:color w:val="auto"/>
              </w:rPr>
            </w:pPr>
          </w:p>
        </w:tc>
        <w:tc>
          <w:tcPr>
            <w:tcW w:w="50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69,556</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368,287</w:t>
            </w:r>
          </w:p>
        </w:tc>
      </w:tr>
      <w:tr>
        <w:trPr>
          <w:trHeight w:val="168"/>
        </w:trPr>
        <w:tc>
          <w:tcPr>
            <w:tcW w:w="1460" w:type="dxa"/>
            <w:vAlign w:val="bottom"/>
          </w:tcPr>
          <w:p>
            <w:pPr>
              <w:spacing w:after="0"/>
              <w:rPr>
                <w:sz w:val="14"/>
                <w:szCs w:val="14"/>
                <w:color w:val="auto"/>
              </w:rPr>
            </w:pPr>
          </w:p>
        </w:tc>
        <w:tc>
          <w:tcPr>
            <w:tcW w:w="502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ind w:left="24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605</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417,439</w:t>
            </w:r>
          </w:p>
        </w:tc>
      </w:tr>
      <w:tr>
        <w:trPr>
          <w:trHeight w:val="168"/>
        </w:trPr>
        <w:tc>
          <w:tcPr>
            <w:tcW w:w="1460" w:type="dxa"/>
            <w:vAlign w:val="bottom"/>
          </w:tcPr>
          <w:p>
            <w:pPr>
              <w:spacing w:after="0"/>
              <w:rPr>
                <w:sz w:val="14"/>
                <w:szCs w:val="14"/>
                <w:color w:val="auto"/>
              </w:rPr>
            </w:pPr>
          </w:p>
        </w:tc>
        <w:tc>
          <w:tcPr>
            <w:tcW w:w="5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2,956,300</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165,722</w:t>
            </w:r>
          </w:p>
        </w:tc>
      </w:tr>
      <w:tr>
        <w:trPr>
          <w:trHeight w:val="168"/>
        </w:trPr>
        <w:tc>
          <w:tcPr>
            <w:tcW w:w="1460" w:type="dxa"/>
            <w:vAlign w:val="bottom"/>
          </w:tcPr>
          <w:p>
            <w:pPr>
              <w:spacing w:after="0"/>
              <w:rPr>
                <w:sz w:val="14"/>
                <w:szCs w:val="14"/>
                <w:color w:val="auto"/>
              </w:rPr>
            </w:pPr>
          </w:p>
        </w:tc>
        <w:tc>
          <w:tcPr>
            <w:tcW w:w="50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25,777</w:t>
            </w:r>
          </w:p>
        </w:tc>
      </w:tr>
      <w:tr>
        <w:trPr>
          <w:trHeight w:val="168"/>
        </w:trPr>
        <w:tc>
          <w:tcPr>
            <w:tcW w:w="1460" w:type="dxa"/>
            <w:vAlign w:val="bottom"/>
          </w:tcPr>
          <w:p>
            <w:pPr>
              <w:spacing w:after="0"/>
              <w:rPr>
                <w:sz w:val="14"/>
                <w:szCs w:val="14"/>
                <w:color w:val="auto"/>
              </w:rPr>
            </w:pPr>
          </w:p>
        </w:tc>
        <w:tc>
          <w:tcPr>
            <w:tcW w:w="5020" w:type="dxa"/>
            <w:vAlign w:val="bottom"/>
          </w:tcPr>
          <w:p>
            <w:pPr>
              <w:ind w:left="1600"/>
              <w:spacing w:after="0" w:line="168" w:lineRule="exact"/>
              <w:rPr>
                <w:sz w:val="20"/>
                <w:szCs w:val="20"/>
                <w:color w:val="auto"/>
              </w:rPr>
            </w:pPr>
            <w:r>
              <w:rPr>
                <w:rFonts w:ascii="Courier New" w:cs="Courier New" w:eastAsia="Courier New" w:hAnsi="Courier New"/>
                <w:sz w:val="15"/>
                <w:szCs w:val="15"/>
                <w:color w:val="auto"/>
              </w:rPr>
              <w:t>7,296</w:t>
            </w:r>
          </w:p>
        </w:tc>
      </w:tr>
      <w:tr>
        <w:trPr>
          <w:trHeight w:val="168"/>
        </w:trPr>
        <w:tc>
          <w:tcPr>
            <w:tcW w:w="1460" w:type="dxa"/>
            <w:vAlign w:val="bottom"/>
          </w:tcPr>
          <w:p>
            <w:pPr>
              <w:spacing w:after="0"/>
              <w:rPr>
                <w:sz w:val="14"/>
                <w:szCs w:val="14"/>
                <w:color w:val="auto"/>
              </w:rPr>
            </w:pPr>
          </w:p>
        </w:tc>
        <w:tc>
          <w:tcPr>
            <w:tcW w:w="50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198,795</w:t>
            </w:r>
          </w:p>
        </w:tc>
      </w:tr>
      <w:tr>
        <w:trPr>
          <w:trHeight w:val="168"/>
        </w:trPr>
        <w:tc>
          <w:tcPr>
            <w:tcW w:w="1460" w:type="dxa"/>
            <w:vAlign w:val="bottom"/>
          </w:tcPr>
          <w:p>
            <w:pPr>
              <w:spacing w:after="0"/>
              <w:rPr>
                <w:sz w:val="14"/>
                <w:szCs w:val="14"/>
                <w:color w:val="auto"/>
              </w:rPr>
            </w:pPr>
          </w:p>
        </w:tc>
        <w:tc>
          <w:tcPr>
            <w:tcW w:w="502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92,321</w:t>
            </w:r>
          </w:p>
        </w:tc>
      </w:tr>
      <w:tr>
        <w:trPr>
          <w:trHeight w:val="168"/>
        </w:trPr>
        <w:tc>
          <w:tcPr>
            <w:tcW w:w="1460" w:type="dxa"/>
            <w:vAlign w:val="bottom"/>
          </w:tcPr>
          <w:p>
            <w:pPr>
              <w:spacing w:after="0"/>
              <w:rPr>
                <w:sz w:val="14"/>
                <w:szCs w:val="14"/>
                <w:color w:val="auto"/>
              </w:rPr>
            </w:pPr>
          </w:p>
        </w:tc>
        <w:tc>
          <w:tcPr>
            <w:tcW w:w="50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115,976</w:t>
            </w:r>
          </w:p>
        </w:tc>
      </w:tr>
      <w:tr>
        <w:trPr>
          <w:trHeight w:val="168"/>
        </w:trPr>
        <w:tc>
          <w:tcPr>
            <w:tcW w:w="1460" w:type="dxa"/>
            <w:vAlign w:val="bottom"/>
          </w:tcPr>
          <w:p>
            <w:pPr>
              <w:spacing w:after="0"/>
              <w:rPr>
                <w:sz w:val="14"/>
                <w:szCs w:val="14"/>
                <w:color w:val="auto"/>
              </w:rPr>
            </w:pPr>
          </w:p>
        </w:tc>
        <w:tc>
          <w:tcPr>
            <w:tcW w:w="5020" w:type="dxa"/>
            <w:vAlign w:val="bottom"/>
          </w:tcPr>
          <w:p>
            <w:pPr>
              <w:ind w:left="1080"/>
              <w:spacing w:after="0" w:line="168" w:lineRule="exact"/>
              <w:rPr>
                <w:sz w:val="20"/>
                <w:szCs w:val="20"/>
                <w:color w:val="auto"/>
              </w:rPr>
            </w:pPr>
            <w:r>
              <w:rPr>
                <w:rFonts w:ascii="Courier New" w:cs="Courier New" w:eastAsia="Courier New" w:hAnsi="Courier New"/>
                <w:sz w:val="15"/>
                <w:szCs w:val="15"/>
                <w:color w:val="auto"/>
              </w:rPr>
              <w:t>82,819</w:t>
            </w:r>
          </w:p>
        </w:tc>
      </w:tr>
      <w:tr>
        <w:trPr>
          <w:trHeight w:val="168"/>
        </w:trPr>
        <w:tc>
          <w:tcPr>
            <w:tcW w:w="1460" w:type="dxa"/>
            <w:vAlign w:val="bottom"/>
          </w:tcPr>
          <w:p>
            <w:pPr>
              <w:spacing w:after="0"/>
              <w:rPr>
                <w:sz w:val="14"/>
                <w:szCs w:val="14"/>
                <w:color w:val="auto"/>
              </w:rPr>
            </w:pPr>
          </w:p>
        </w:tc>
        <w:tc>
          <w:tcPr>
            <w:tcW w:w="502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rPr>
              <w:t>21,739</w:t>
            </w:r>
          </w:p>
        </w:tc>
      </w:tr>
      <w:tr>
        <w:trPr>
          <w:trHeight w:val="168"/>
        </w:trPr>
        <w:tc>
          <w:tcPr>
            <w:tcW w:w="1460" w:type="dxa"/>
            <w:vAlign w:val="bottom"/>
          </w:tcPr>
          <w:p>
            <w:pPr>
              <w:spacing w:after="0"/>
              <w:rPr>
                <w:sz w:val="14"/>
                <w:szCs w:val="14"/>
                <w:color w:val="auto"/>
              </w:rPr>
            </w:pPr>
          </w:p>
        </w:tc>
        <w:tc>
          <w:tcPr>
            <w:tcW w:w="502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31,081</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86,845</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70,525</w:t>
            </w:r>
          </w:p>
        </w:tc>
      </w:tr>
      <w:tr>
        <w:trPr>
          <w:trHeight w:val="168"/>
        </w:trPr>
        <w:tc>
          <w:tcPr>
            <w:tcW w:w="1460" w:type="dxa"/>
            <w:vAlign w:val="bottom"/>
          </w:tcPr>
          <w:p>
            <w:pPr>
              <w:spacing w:after="0"/>
              <w:rPr>
                <w:sz w:val="14"/>
                <w:szCs w:val="14"/>
                <w:color w:val="auto"/>
              </w:rPr>
            </w:pPr>
          </w:p>
        </w:tc>
        <w:tc>
          <w:tcPr>
            <w:tcW w:w="50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70,525</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55,998</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1460" w:type="dxa"/>
            <w:vAlign w:val="bottom"/>
          </w:tcPr>
          <w:p>
            <w:pPr>
              <w:spacing w:after="0"/>
              <w:rPr>
                <w:sz w:val="14"/>
                <w:szCs w:val="14"/>
                <w:color w:val="auto"/>
              </w:rPr>
            </w:pPr>
          </w:p>
        </w:tc>
        <w:tc>
          <w:tcPr>
            <w:tcW w:w="502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rPr>
              <w:t>11.48</w:t>
            </w:r>
          </w:p>
        </w:tc>
      </w:tr>
      <w:tr>
        <w:trPr>
          <w:trHeight w:val="168"/>
        </w:trPr>
        <w:tc>
          <w:tcPr>
            <w:tcW w:w="1460" w:type="dxa"/>
            <w:vAlign w:val="bottom"/>
          </w:tcPr>
          <w:p>
            <w:pPr>
              <w:spacing w:after="0"/>
              <w:rPr>
                <w:sz w:val="14"/>
                <w:szCs w:val="14"/>
                <w:color w:val="auto"/>
              </w:rPr>
            </w:pPr>
          </w:p>
        </w:tc>
        <w:tc>
          <w:tcPr>
            <w:tcW w:w="50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1,119,261</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15,061</w:t>
            </w:r>
          </w:p>
        </w:tc>
      </w:tr>
      <w:tr>
        <w:trPr>
          <w:trHeight w:val="168"/>
        </w:trPr>
        <w:tc>
          <w:tcPr>
            <w:tcW w:w="1460" w:type="dxa"/>
            <w:vAlign w:val="bottom"/>
          </w:tcPr>
          <w:p>
            <w:pPr>
              <w:spacing w:after="0"/>
              <w:rPr>
                <w:sz w:val="14"/>
                <w:szCs w:val="14"/>
                <w:color w:val="auto"/>
              </w:rPr>
            </w:pPr>
          </w:p>
        </w:tc>
        <w:tc>
          <w:tcPr>
            <w:tcW w:w="5020" w:type="dxa"/>
            <w:vAlign w:val="bottom"/>
          </w:tcPr>
          <w:p>
            <w:pPr>
              <w:ind w:left="1780"/>
              <w:spacing w:after="0" w:line="168" w:lineRule="exact"/>
              <w:rPr>
                <w:sz w:val="20"/>
                <w:szCs w:val="20"/>
                <w:color w:val="auto"/>
              </w:rPr>
            </w:pPr>
            <w:r>
              <w:rPr>
                <w:rFonts w:ascii="Courier New" w:cs="Courier New" w:eastAsia="Courier New" w:hAnsi="Courier New"/>
                <w:sz w:val="15"/>
                <w:szCs w:val="15"/>
                <w:color w:val="auto"/>
              </w:rPr>
              <w:t>14,064</w:t>
            </w:r>
          </w:p>
        </w:tc>
      </w:tr>
      <w:tr>
        <w:trPr>
          <w:trHeight w:val="168"/>
        </w:trPr>
        <w:tc>
          <w:tcPr>
            <w:tcW w:w="1460" w:type="dxa"/>
            <w:vAlign w:val="bottom"/>
          </w:tcPr>
          <w:p>
            <w:pPr>
              <w:spacing w:after="0"/>
              <w:rPr>
                <w:sz w:val="14"/>
                <w:szCs w:val="14"/>
                <w:color w:val="auto"/>
              </w:rPr>
            </w:pPr>
          </w:p>
        </w:tc>
        <w:tc>
          <w:tcPr>
            <w:tcW w:w="502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1460" w:type="dxa"/>
            <w:vAlign w:val="bottom"/>
          </w:tcPr>
          <w:p>
            <w:pPr>
              <w:spacing w:after="0"/>
              <w:rPr>
                <w:sz w:val="14"/>
                <w:szCs w:val="14"/>
                <w:color w:val="auto"/>
              </w:rPr>
            </w:pPr>
          </w:p>
        </w:tc>
        <w:tc>
          <w:tcPr>
            <w:tcW w:w="5020" w:type="dxa"/>
            <w:vAlign w:val="bottom"/>
          </w:tcPr>
          <w:p>
            <w:pPr>
              <w:ind w:left="1440"/>
              <w:spacing w:after="0" w:line="168" w:lineRule="exact"/>
              <w:rPr>
                <w:sz w:val="20"/>
                <w:szCs w:val="20"/>
                <w:color w:val="auto"/>
              </w:rPr>
            </w:pPr>
            <w:r>
              <w:rPr>
                <w:rFonts w:ascii="Courier New" w:cs="Courier New" w:eastAsia="Courier New" w:hAnsi="Courier New"/>
                <w:sz w:val="15"/>
                <w:szCs w:val="15"/>
                <w:color w:val="auto"/>
              </w:rPr>
              <w:t>23,071</w:t>
            </w:r>
          </w:p>
        </w:tc>
      </w:tr>
      <w:tr>
        <w:trPr>
          <w:trHeight w:val="168"/>
        </w:trPr>
        <w:tc>
          <w:tcPr>
            <w:tcW w:w="1460" w:type="dxa"/>
            <w:vAlign w:val="bottom"/>
          </w:tcPr>
          <w:p>
            <w:pPr>
              <w:spacing w:after="0"/>
              <w:rPr>
                <w:sz w:val="14"/>
                <w:szCs w:val="14"/>
                <w:color w:val="auto"/>
              </w:rPr>
            </w:pPr>
          </w:p>
        </w:tc>
        <w:tc>
          <w:tcPr>
            <w:tcW w:w="50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23,071</w:t>
            </w:r>
          </w:p>
        </w:tc>
      </w:tr>
      <w:tr>
        <w:trPr>
          <w:trHeight w:val="168"/>
        </w:trPr>
        <w:tc>
          <w:tcPr>
            <w:tcW w:w="1460" w:type="dxa"/>
            <w:vAlign w:val="bottom"/>
          </w:tcPr>
          <w:p>
            <w:pPr>
              <w:spacing w:after="0"/>
              <w:rPr>
                <w:sz w:val="14"/>
                <w:szCs w:val="14"/>
                <w:color w:val="auto"/>
              </w:rPr>
            </w:pPr>
          </w:p>
        </w:tc>
        <w:tc>
          <w:tcPr>
            <w:tcW w:w="502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60" w:type="dxa"/>
            <w:vAlign w:val="bottom"/>
          </w:tcPr>
          <w:p>
            <w:pPr>
              <w:spacing w:after="0"/>
              <w:rPr>
                <w:sz w:val="14"/>
                <w:szCs w:val="14"/>
                <w:color w:val="auto"/>
              </w:rPr>
            </w:pPr>
          </w:p>
        </w:tc>
        <w:tc>
          <w:tcPr>
            <w:tcW w:w="5020" w:type="dxa"/>
            <w:vAlign w:val="bottom"/>
          </w:tcPr>
          <w:p>
            <w:pPr>
              <w:ind w:left="1340"/>
              <w:spacing w:after="0" w:line="168" w:lineRule="exact"/>
              <w:rPr>
                <w:sz w:val="20"/>
                <w:szCs w:val="20"/>
                <w:color w:val="auto"/>
              </w:rPr>
            </w:pPr>
            <w:r>
              <w:rPr>
                <w:rFonts w:ascii="Courier New" w:cs="Courier New" w:eastAsia="Courier New" w:hAnsi="Courier New"/>
                <w:sz w:val="15"/>
                <w:szCs w:val="15"/>
                <w:color w:val="auto"/>
              </w:rPr>
              <w:t>0</w:t>
            </w:r>
          </w:p>
        </w:tc>
      </w:tr>
      <w:tr>
        <w:trPr>
          <w:trHeight w:val="673"/>
        </w:trPr>
        <w:tc>
          <w:tcPr>
            <w:tcW w:w="1460" w:type="dxa"/>
            <w:vAlign w:val="bottom"/>
          </w:tcPr>
          <w:p>
            <w:pPr>
              <w:spacing w:after="0"/>
              <w:rPr>
                <w:sz w:val="20"/>
                <w:szCs w:val="20"/>
                <w:color w:val="auto"/>
              </w:rPr>
            </w:pPr>
            <w:r>
              <w:rPr>
                <w:rFonts w:ascii="Courier New" w:cs="Courier New" w:eastAsia="Courier New" w:hAnsi="Courier New"/>
                <w:sz w:val="15"/>
                <w:szCs w:val="15"/>
                <w:color w:val="auto"/>
              </w:rPr>
              <w:t>Tag 18 includes</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w w:val="96"/>
              </w:rPr>
              <w:t>loan  available  for sale of $190,012  loan  portfolio of</w:t>
            </w:r>
          </w:p>
        </w:tc>
      </w:tr>
      <w:tr>
        <w:trPr>
          <w:trHeight w:val="168"/>
        </w:trPr>
        <w:tc>
          <w:tcPr>
            <w:tcW w:w="1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$392,523 and</w:t>
            </w:r>
          </w:p>
        </w:tc>
        <w:tc>
          <w:tcPr>
            <w:tcW w:w="5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discount loan portfolio of $1,471,251.</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Tag 19 includes</w:t>
            </w:r>
          </w:p>
        </w:tc>
        <w:tc>
          <w:tcPr>
            <w:tcW w:w="5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allowance for loan losses on loan portfolio of $4,734 and</w:t>
            </w:r>
          </w:p>
        </w:tc>
      </w:tr>
      <w:tr>
        <w:trPr>
          <w:trHeight w:val="168"/>
        </w:trPr>
        <w:tc>
          <w:tcPr>
            <w:tcW w:w="6480" w:type="dxa"/>
            <w:vAlign w:val="bottom"/>
            <w:gridSpan w:val="2"/>
          </w:tcPr>
          <w:p>
            <w:pPr>
              <w:jc w:val="right"/>
              <w:ind w:right="2727"/>
              <w:spacing w:after="0" w:line="168" w:lineRule="exact"/>
              <w:rPr>
                <w:sz w:val="20"/>
                <w:szCs w:val="20"/>
                <w:color w:val="auto"/>
              </w:rPr>
            </w:pPr>
            <w:r>
              <w:rPr>
                <w:rFonts w:ascii="Courier New" w:cs="Courier New" w:eastAsia="Courier New" w:hAnsi="Courier New"/>
                <w:sz w:val="15"/>
                <w:szCs w:val="15"/>
                <w:color w:val="auto"/>
              </w:rPr>
              <w:t>on discount loan portfolio of $18,337.</w:t>
            </w: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Tag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w:t>
            </w:r>
          </w:p>
        </w:tc>
        <w:tc>
          <w:tcPr>
            <w:tcW w:w="2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includes $141,188 in lines</w:t>
            </w:r>
          </w:p>
        </w:tc>
        <w:tc>
          <w:tcPr>
            <w:tcW w:w="3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of credit which have a one year term.</w:t>
            </w:r>
          </w:p>
        </w:tc>
        <w:tc>
          <w:tcPr>
            <w:tcW w:w="22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Tag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income on loans</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available</w:t>
            </w:r>
          </w:p>
        </w:tc>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for sale of $11,091  loans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of</w:t>
            </w:r>
          </w:p>
        </w:tc>
      </w:tr>
      <w:tr>
        <w:trPr>
          <w:trHeight w:val="168"/>
        </w:trPr>
        <w:tc>
          <w:tcPr>
            <w:tcW w:w="320" w:type="dxa"/>
            <w:vAlign w:val="bottom"/>
          </w:tcPr>
          <w:p>
            <w:pPr>
              <w:spacing w:after="0"/>
              <w:rPr>
                <w:sz w:val="14"/>
                <w:szCs w:val="14"/>
                <w:color w:val="auto"/>
              </w:rPr>
            </w:pP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$37,991 and</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discount loans 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$116,840.</w:t>
            </w: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5" w:lineRule="exact"/>
        <w:rPr>
          <w:sz w:val="20"/>
          <w:szCs w:val="20"/>
          <w:color w:val="auto"/>
        </w:rPr>
      </w:pPr>
    </w:p>
    <w:p>
      <w:pPr>
        <w:ind w:left="560" w:right="3219" w:hanging="359"/>
        <w:spacing w:after="0" w:line="254" w:lineRule="auto"/>
        <w:tabs>
          <w:tab w:leader="none" w:pos="540" w:val="left"/>
        </w:tabs>
        <w:rPr>
          <w:sz w:val="20"/>
          <w:szCs w:val="20"/>
          <w:color w:val="auto"/>
        </w:rPr>
      </w:pPr>
      <w:r>
        <w:rPr>
          <w:rFonts w:ascii="Courier New" w:cs="Courier New" w:eastAsia="Courier New" w:hAnsi="Courier New"/>
          <w:sz w:val="14"/>
          <w:szCs w:val="14"/>
          <w:color w:val="auto"/>
        </w:rPr>
        <w:t>Tag</w:t>
        <w:tab/>
        <w:t>39 includes non-interest expense of $84,995 and distributions on company-obligated, mandatorily redeemable securities of subsidiary trust holding solely junior subordinated debentures of the company of $1,850.</w:t>
      </w:r>
    </w:p>
    <w:p>
      <w:pPr>
        <w:spacing w:after="0" w:line="1" w:lineRule="exact"/>
        <w:rPr>
          <w:sz w:val="20"/>
          <w:szCs w:val="20"/>
          <w:color w:val="auto"/>
        </w:rPr>
      </w:pPr>
    </w:p>
    <w:p>
      <w:pPr>
        <w:ind w:left="560" w:right="3219" w:hanging="359"/>
        <w:spacing w:after="0" w:line="235" w:lineRule="auto"/>
        <w:tabs>
          <w:tab w:leader="none" w:pos="540" w:val="left"/>
        </w:tabs>
        <w:rPr>
          <w:sz w:val="20"/>
          <w:szCs w:val="20"/>
          <w:color w:val="auto"/>
        </w:rPr>
      </w:pPr>
      <w:r>
        <w:rPr>
          <w:rFonts w:ascii="Courier New" w:cs="Courier New" w:eastAsia="Courier New" w:hAnsi="Courier New"/>
          <w:sz w:val="15"/>
          <w:szCs w:val="15"/>
          <w:color w:val="auto"/>
        </w:rPr>
        <w:t>Tag</w:t>
        <w:tab/>
        <w:t>45 EPS-Primary has been restated in accordance with SFAS No. 128, "Earnings per Share" and for the 2-for-1 stock split approved by the Company's Board of Directors on October 29, 1997.</w:t>
      </w:r>
    </w:p>
    <w:p>
      <w:pPr>
        <w:spacing w:after="0" w:line="5" w:lineRule="exact"/>
        <w:rPr>
          <w:sz w:val="20"/>
          <w:szCs w:val="20"/>
          <w:color w:val="auto"/>
        </w:rPr>
      </w:pPr>
    </w:p>
    <w:p>
      <w:pPr>
        <w:ind w:left="560" w:right="3219" w:hanging="359"/>
        <w:spacing w:after="0" w:line="235" w:lineRule="auto"/>
        <w:tabs>
          <w:tab w:leader="none" w:pos="540" w:val="left"/>
        </w:tabs>
        <w:rPr>
          <w:sz w:val="20"/>
          <w:szCs w:val="20"/>
          <w:color w:val="auto"/>
        </w:rPr>
      </w:pPr>
      <w:r>
        <w:rPr>
          <w:rFonts w:ascii="Courier New" w:cs="Courier New" w:eastAsia="Courier New" w:hAnsi="Courier New"/>
          <w:sz w:val="15"/>
          <w:szCs w:val="15"/>
          <w:color w:val="auto"/>
        </w:rPr>
        <w:t>Tag</w:t>
        <w:tab/>
        <w:t>46 EPS-Diluted has been restated in accordance with SFAS No. 128, "Earnings per Share" and for the 2-for-1 stock split approved by the Company's Board of Directors on October 29, 1997.</w:t>
      </w:r>
    </w:p>
    <w:sectPr>
      <w:pgSz w:w="11900" w:h="16838" w:orient="portrait"/>
      <w:cols w:equalWidth="0" w:num="1">
        <w:col w:w="10239"/>
      </w:cols>
      <w:pgMar w:left="220" w:top="142" w:right="1440" w:bottom="8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56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a"/>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A"/>
      <w:numFmt w:val="bullet"/>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6"/>
      <w:numFmt w:val="bullet"/>
      <w:start w:val="1"/>
    </w:lvl>
  </w:abstractNum>
  <w:abstractNum w:abstractNumId="17">
    <w:nsid w:val="22221A70"/>
    <w:multiLevelType w:val="hybridMultilevel"/>
    <w:lvl w:ilvl="0">
      <w:lvlJc w:val="left"/>
      <w:lvlText w:val="(%1)"/>
      <w:numFmt w:val="upperLetter"/>
      <w:start w:val="1"/>
    </w:lvl>
  </w:abstractNum>
  <w:abstractNum w:abstractNumId="18">
    <w:nsid w:val="4516DDE9"/>
    <w:multiLevelType w:val="hybridMultilevel"/>
    <w:lvl w:ilvl="0">
      <w:lvlJc w:val="left"/>
      <w:lvlText w:val="(%1)"/>
      <w:numFmt w:val="lowerRoman"/>
      <w:start w:val="4"/>
    </w:lvl>
  </w:abstractNum>
  <w:abstractNum w:abstractNumId="19">
    <w:nsid w:val="3006C83E"/>
    <w:multiLevelType w:val="hybridMultilevel"/>
    <w:lvl w:ilvl="0">
      <w:lvlJc w:val="left"/>
      <w:lvlText w:val="(%1)"/>
      <w:numFmt w:val="lowerRoman"/>
      <w:start w:val="7"/>
    </w:lvl>
  </w:abstractNum>
  <w:abstractNum w:abstractNumId="20">
    <w:nsid w:val="614FD4A1"/>
    <w:multiLevelType w:val="hybridMultilevel"/>
    <w:lvl w:ilvl="0">
      <w:lvlJc w:val="left"/>
      <w:lvlText w:val="(%1)"/>
      <w:numFmt w:val="lowerRoman"/>
      <w:start w:val="4"/>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6"/>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1)"/>
      <w:numFmt w:val="lowerRoman"/>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o"/>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Letter"/>
      <w:start w:val="4"/>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2019-12-20T08:25:49Z</dcterms:created>
  <dcterms:modified xsi:type="dcterms:W3CDTF">2019-12-20T08:25:49Z</dcterms:modified>
</cp:coreProperties>
</file>