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10-K</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90" w:right="387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2002</w:t>
      </w:r>
    </w:p>
    <w:p>
      <w:pPr>
        <w:spacing w:after="0" w:line="174" w:lineRule="exact"/>
        <w:rPr>
          <w:sz w:val="24"/>
          <w:szCs w:val="24"/>
          <w:color w:val="auto"/>
        </w:rPr>
      </w:pPr>
    </w:p>
    <w:p>
      <w:pPr>
        <w:ind w:left="790" w:right="3539" w:hanging="79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6" w:lineRule="exact"/>
        <w:rPr>
          <w:rFonts w:ascii="Courier New" w:cs="Courier New" w:eastAsia="Courier New" w:hAnsi="Courier New"/>
          <w:sz w:val="15"/>
          <w:szCs w:val="15"/>
          <w:color w:val="auto"/>
        </w:rPr>
      </w:pPr>
    </w:p>
    <w:p>
      <w:pPr>
        <w:ind w:left="15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the transition period from:  _____________to _____________</w:t>
      </w:r>
    </w:p>
    <w:p>
      <w:pPr>
        <w:spacing w:after="0" w:line="175"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Commission File No. 1-13219</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OCWEN FINANCIAL CORPORATION</w:t>
      </w:r>
    </w:p>
    <w:p>
      <w:pPr>
        <w:ind w:left="239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our charter)</w:t>
      </w:r>
    </w:p>
    <w:p>
      <w:pPr>
        <w:spacing w:after="0" w:line="168" w:lineRule="exact"/>
        <w:rPr>
          <w:sz w:val="24"/>
          <w:szCs w:val="24"/>
          <w:color w:val="auto"/>
        </w:rPr>
      </w:pPr>
    </w:p>
    <w:tbl>
      <w:tblPr>
        <w:tblLayout w:type="fixed"/>
        <w:tblInd w:w="270" w:type="dxa"/>
        <w:tblCellMar>
          <w:top w:w="0" w:type="dxa"/>
          <w:left w:w="0" w:type="dxa"/>
          <w:bottom w:w="0" w:type="dxa"/>
          <w:right w:w="0" w:type="dxa"/>
        </w:tblCellMar>
      </w:tblPr>
      <w:tr>
        <w:trPr>
          <w:trHeight w:val="170"/>
        </w:trPr>
        <w:tc>
          <w:tcPr>
            <w:tcW w:w="42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8"/>
              </w:rPr>
              <w:t>Florida</w:t>
            </w:r>
          </w:p>
        </w:tc>
        <w:tc>
          <w:tcPr>
            <w:tcW w:w="24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65-0039856</w:t>
            </w:r>
          </w:p>
        </w:tc>
      </w:tr>
      <w:tr>
        <w:trPr>
          <w:trHeight w:val="170"/>
        </w:trPr>
        <w:tc>
          <w:tcPr>
            <w:tcW w:w="42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8"/>
              </w:rPr>
              <w:t>(State or other jurisdiction of</w:t>
            </w:r>
          </w:p>
        </w:tc>
        <w:tc>
          <w:tcPr>
            <w:tcW w:w="2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339"/>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1675 Palm Beach Lakes Boulevard</w:t>
            </w:r>
          </w:p>
        </w:tc>
        <w:tc>
          <w:tcPr>
            <w:tcW w:w="2480" w:type="dxa"/>
            <w:vAlign w:val="bottom"/>
          </w:tcPr>
          <w:p>
            <w:pPr>
              <w:spacing w:after="0"/>
              <w:rPr>
                <w:sz w:val="24"/>
                <w:szCs w:val="24"/>
                <w:color w:val="auto"/>
              </w:rPr>
            </w:pPr>
          </w:p>
        </w:tc>
      </w:tr>
      <w:tr>
        <w:trPr>
          <w:trHeight w:val="170"/>
        </w:trPr>
        <w:tc>
          <w:tcPr>
            <w:tcW w:w="4220" w:type="dxa"/>
            <w:vAlign w:val="bottom"/>
          </w:tcPr>
          <w:p>
            <w:pPr>
              <w:ind w:left="620"/>
              <w:spacing w:after="0"/>
              <w:rPr>
                <w:sz w:val="20"/>
                <w:szCs w:val="20"/>
                <w:color w:val="auto"/>
              </w:rPr>
            </w:pPr>
            <w:r>
              <w:rPr>
                <w:rFonts w:ascii="Courier New" w:cs="Courier New" w:eastAsia="Courier New" w:hAnsi="Courier New"/>
                <w:sz w:val="15"/>
                <w:szCs w:val="15"/>
                <w:color w:val="auto"/>
              </w:rPr>
              <w:t>West Palm Beach, Florida</w:t>
            </w:r>
          </w:p>
        </w:tc>
        <w:tc>
          <w:tcPr>
            <w:tcW w:w="24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33401</w:t>
            </w:r>
          </w:p>
        </w:tc>
      </w:tr>
      <w:tr>
        <w:trPr>
          <w:trHeight w:val="170"/>
        </w:trPr>
        <w:tc>
          <w:tcPr>
            <w:tcW w:w="42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7"/>
              </w:rPr>
              <w:t>(Address of principal executive office)</w:t>
            </w:r>
          </w:p>
        </w:tc>
        <w:tc>
          <w:tcPr>
            <w:tcW w:w="2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(Zip Code)</w:t>
            </w:r>
          </w:p>
        </w:tc>
      </w:tr>
    </w:tbl>
    <w:p>
      <w:pPr>
        <w:spacing w:after="0" w:line="169"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(561) 682-8000</w:t>
      </w:r>
    </w:p>
    <w:p>
      <w:pPr>
        <w:ind w:left="291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8"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47" w:orient="portrait"/>
          <w:cols w:equalWidth="0" w:num="1">
            <w:col w:w="10229"/>
          </w:cols>
          <w:pgMar w:left="230" w:top="232" w:right="1440" w:bottom="0" w:gutter="0" w:footer="0" w:header="0"/>
        </w:sectPr>
      </w:pP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Common Stock, $.01 par value</w:t>
      </w:r>
    </w:p>
    <w:p>
      <w:pPr>
        <w:spacing w:after="0" w:line="5"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New York Stock Exchange (NYSE)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4" w:lineRule="exact"/>
        <w:rPr>
          <w:sz w:val="24"/>
          <w:szCs w:val="24"/>
          <w:color w:val="auto"/>
        </w:rPr>
      </w:pPr>
    </w:p>
    <w:p>
      <w:pPr>
        <w:sectPr>
          <w:pgSz w:w="11900" w:h="16847" w:orient="portrait"/>
          <w:cols w:equalWidth="0" w:num="2">
            <w:col w:w="2550" w:space="720"/>
            <w:col w:w="6959"/>
          </w:cols>
          <w:pgMar w:left="230" w:top="232" w:right="1440" w:bottom="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Securities registered pursuant to Section 12 (g) of the Act: Not applicable.</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78" w:lineRule="exact"/>
        <w:rPr>
          <w:sz w:val="24"/>
          <w:szCs w:val="24"/>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 Yes [ ] No[X]</w:t>
      </w:r>
    </w:p>
    <w:p>
      <w:pPr>
        <w:spacing w:after="0" w:line="176"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Aggregate market value of the Common Stock, $.01 par value, held by nonaffiliates of the registrant, computed by reference to the closing price as reported on the NYSE as of the close of business on March 14, 2003: $112,625,597 (for purposes of this calculation affiliates include only directors and executive officers of the registrant).</w:t>
      </w:r>
    </w:p>
    <w:p>
      <w:pPr>
        <w:spacing w:after="0" w:line="178" w:lineRule="exact"/>
        <w:rPr>
          <w:sz w:val="24"/>
          <w:szCs w:val="24"/>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Number of shares of Common Stock, $.01 par value, outstanding as of March 14, 2003: 67,339,773 shares</w:t>
      </w:r>
    </w:p>
    <w:p>
      <w:pPr>
        <w:spacing w:after="0" w:line="176" w:lineRule="exact"/>
        <w:rPr>
          <w:sz w:val="24"/>
          <w:szCs w:val="24"/>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DOCUMENTS INCORPORATED BY REFERENCE: Portions of the Annual Report to Shareholders for fiscal year ended December 31, 2002 are incorporated by reference into Part I, Item 1 and Part II, Items 5-8 and portions of our definitive Proxy Statement with respect to our Annual Meeting of Shareholders to be held on May 15, 2003, and as filed with the Commission on or about March 28, 2003, are incorporated by reference into Part III, Items 10-13. ================================================================================</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57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OCWEN FINANCIAL CORPORATION</w:t>
            </w:r>
          </w:p>
        </w:tc>
        <w:tc>
          <w:tcPr>
            <w:tcW w:w="4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57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2002 FORM 10-K ANNUAL REPORT</w:t>
            </w:r>
          </w:p>
        </w:tc>
        <w:tc>
          <w:tcPr>
            <w:tcW w:w="4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5700" w:type="dxa"/>
            <w:vAlign w:val="bottom"/>
          </w:tcPr>
          <w:p>
            <w:pPr>
              <w:jc w:val="right"/>
              <w:ind w:right="214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5700" w:type="dxa"/>
            <w:vAlign w:val="bottom"/>
          </w:tcPr>
          <w:p>
            <w:pPr>
              <w:jc w:val="right"/>
              <w:ind w:right="21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9"/>
        </w:trPr>
        <w:tc>
          <w:tcPr>
            <w:tcW w:w="8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4"/>
                <w:szCs w:val="24"/>
                <w:color w:val="auto"/>
              </w:rPr>
            </w:pPr>
          </w:p>
        </w:tc>
        <w:tc>
          <w:tcPr>
            <w:tcW w:w="5700" w:type="dxa"/>
            <w:vAlign w:val="bottom"/>
          </w:tcPr>
          <w:p>
            <w:pPr>
              <w:jc w:val="right"/>
              <w:ind w:right="2667"/>
              <w:spacing w:after="0"/>
              <w:rPr>
                <w:sz w:val="20"/>
                <w:szCs w:val="20"/>
                <w:color w:val="auto"/>
              </w:rPr>
            </w:pPr>
            <w:r>
              <w:rPr>
                <w:rFonts w:ascii="Courier New" w:cs="Courier New" w:eastAsia="Courier New" w:hAnsi="Courier New"/>
                <w:sz w:val="15"/>
                <w:szCs w:val="15"/>
                <w:color w:val="auto"/>
              </w:rPr>
              <w:t>PART I</w:t>
            </w:r>
          </w:p>
        </w:tc>
        <w:tc>
          <w:tcPr>
            <w:tcW w:w="440" w:type="dxa"/>
            <w:vAlign w:val="bottom"/>
          </w:tcPr>
          <w:p>
            <w:pPr>
              <w:spacing w:after="0"/>
              <w:rPr>
                <w:sz w:val="24"/>
                <w:szCs w:val="2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Business.....................................................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Segments...................................................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Residential Loan Servicing...............................</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Ocwen Technology Xchange.................................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Ocwen Realty Advisors....................................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Unsecured Collections....................................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Residential Discount Loans...............................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Commercial Finance.......................................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820" w:type="dxa"/>
            <w:vAlign w:val="bottom"/>
          </w:tcPr>
          <w:p>
            <w:pPr>
              <w:spacing w:after="0"/>
              <w:rPr>
                <w:sz w:val="14"/>
                <w:szCs w:val="14"/>
                <w:color w:val="auto"/>
              </w:rPr>
            </w:pPr>
          </w:p>
        </w:tc>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Affordable Housing.......................................</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bl>
    <w:p>
      <w:pPr>
        <w:sectPr>
          <w:pgSz w:w="11900" w:h="16847" w:orient="portrait"/>
          <w:cols w:equalWidth="0" w:num="1">
            <w:col w:w="10229"/>
          </w:cols>
          <w:pgMar w:left="230" w:top="23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Subprime Finance.........................................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Corporate Items and Other................................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Sources of Funds...........................................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Risk Factors...............................................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Competition................................................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Subsidiaries...............................................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Employees..................................................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Regulation.................................................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 Holding Company......................................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 Bank.................................................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Federal Taxation...........................................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State Taxation.............................................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Properties...................................................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Legal Proceedings............................................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9"/>
        </w:trPr>
        <w:tc>
          <w:tcPr>
            <w:tcW w:w="880" w:type="dxa"/>
            <w:vAlign w:val="bottom"/>
          </w:tcPr>
          <w:p>
            <w:pPr>
              <w:spacing w:after="0"/>
              <w:rPr>
                <w:sz w:val="24"/>
                <w:szCs w:val="24"/>
                <w:color w:val="auto"/>
              </w:rPr>
            </w:pPr>
          </w:p>
        </w:tc>
        <w:tc>
          <w:tcPr>
            <w:tcW w:w="5680" w:type="dxa"/>
            <w:vAlign w:val="bottom"/>
          </w:tcPr>
          <w:p>
            <w:pPr>
              <w:jc w:val="right"/>
              <w:ind w:right="2627"/>
              <w:spacing w:after="0"/>
              <w:rPr>
                <w:sz w:val="20"/>
                <w:szCs w:val="20"/>
                <w:color w:val="auto"/>
              </w:rPr>
            </w:pPr>
            <w:r>
              <w:rPr>
                <w:rFonts w:ascii="Courier New" w:cs="Courier New" w:eastAsia="Courier New" w:hAnsi="Courier New"/>
                <w:sz w:val="15"/>
                <w:szCs w:val="15"/>
                <w:color w:val="auto"/>
              </w:rPr>
              <w:t>PART II</w:t>
            </w:r>
          </w:p>
        </w:tc>
        <w:tc>
          <w:tcPr>
            <w:tcW w:w="30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Market for the Registrant's Common Equity and Related</w:t>
            </w:r>
          </w:p>
        </w:tc>
        <w:tc>
          <w:tcPr>
            <w:tcW w:w="3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Stockholder Matters..........................................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Selected Consolidated Financial Data.........................</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3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and Results of Operations....................................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880" w:type="dxa"/>
            <w:vAlign w:val="bottom"/>
          </w:tcPr>
          <w:p>
            <w:pPr>
              <w:spacing w:after="0"/>
              <w:rPr>
                <w:sz w:val="24"/>
                <w:szCs w:val="24"/>
                <w:color w:val="auto"/>
              </w:rPr>
            </w:pPr>
          </w:p>
        </w:tc>
        <w:tc>
          <w:tcPr>
            <w:tcW w:w="568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OCWEN FINANCIAL CORPORATION</w:t>
            </w: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ind w:left="1400"/>
              <w:spacing w:after="0"/>
              <w:rPr>
                <w:sz w:val="20"/>
                <w:szCs w:val="20"/>
                <w:color w:val="auto"/>
              </w:rPr>
            </w:pPr>
            <w:r>
              <w:rPr>
                <w:rFonts w:ascii="Courier New" w:cs="Courier New" w:eastAsia="Courier New" w:hAnsi="Courier New"/>
                <w:sz w:val="15"/>
                <w:szCs w:val="15"/>
                <w:color w:val="auto"/>
              </w:rPr>
              <w:t>2002 FORM 10-K ANNUAL REPORT</w:t>
            </w: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TABLE OF CONTENTS</w:t>
            </w: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(CONTINUED)</w:t>
            </w: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jc w:val="right"/>
              <w:ind w:right="2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9"/>
        </w:trPr>
        <w:tc>
          <w:tcPr>
            <w:tcW w:w="8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8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44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Accounting and Financial Disclosure..........................</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39"/>
        </w:trPr>
        <w:tc>
          <w:tcPr>
            <w:tcW w:w="880" w:type="dxa"/>
            <w:vAlign w:val="bottom"/>
          </w:tcPr>
          <w:p>
            <w:pPr>
              <w:spacing w:after="0"/>
              <w:rPr>
                <w:sz w:val="24"/>
                <w:szCs w:val="24"/>
                <w:color w:val="auto"/>
              </w:rPr>
            </w:pPr>
          </w:p>
        </w:tc>
        <w:tc>
          <w:tcPr>
            <w:tcW w:w="5640" w:type="dxa"/>
            <w:vAlign w:val="bottom"/>
          </w:tcPr>
          <w:p>
            <w:pPr>
              <w:ind w:left="2280"/>
              <w:spacing w:after="0"/>
              <w:rPr>
                <w:sz w:val="20"/>
                <w:szCs w:val="20"/>
                <w:color w:val="auto"/>
              </w:rPr>
            </w:pPr>
            <w:r>
              <w:rPr>
                <w:rFonts w:ascii="Courier New" w:cs="Courier New" w:eastAsia="Courier New" w:hAnsi="Courier New"/>
                <w:sz w:val="15"/>
                <w:szCs w:val="15"/>
                <w:color w:val="auto"/>
              </w:rPr>
              <w:t>PART III</w:t>
            </w:r>
          </w:p>
        </w:tc>
        <w:tc>
          <w:tcPr>
            <w:tcW w:w="44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Directors and Executive Officers of Registrant...............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Executive Compensation.......................................</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4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Management and Related Stockholder Matters...................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Controls and Procedures......................................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509"/>
        </w:trPr>
        <w:tc>
          <w:tcPr>
            <w:tcW w:w="880" w:type="dxa"/>
            <w:vAlign w:val="bottom"/>
          </w:tcPr>
          <w:p>
            <w:pPr>
              <w:spacing w:after="0"/>
              <w:rPr>
                <w:sz w:val="24"/>
                <w:szCs w:val="24"/>
                <w:color w:val="auto"/>
              </w:rPr>
            </w:pPr>
          </w:p>
        </w:tc>
        <w:tc>
          <w:tcPr>
            <w:tcW w:w="56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5"/>
              </w:rPr>
              <w:t>PART IV</w:t>
            </w:r>
          </w:p>
        </w:tc>
        <w:tc>
          <w:tcPr>
            <w:tcW w:w="44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44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w w:val="99"/>
              </w:rPr>
              <w:t>Form 8-K.....................................................</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w w:val="98"/>
              </w:rPr>
              <w:t>Certifications...........................................................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39"/>
        </w:trPr>
        <w:tc>
          <w:tcPr>
            <w:tcW w:w="880" w:type="dxa"/>
            <w:vAlign w:val="bottom"/>
          </w:tcPr>
          <w:p>
            <w:pPr>
              <w:spacing w:after="0"/>
              <w:rPr>
                <w:sz w:val="24"/>
                <w:szCs w:val="24"/>
                <w:color w:val="auto"/>
              </w:rPr>
            </w:pPr>
          </w:p>
        </w:tc>
        <w:tc>
          <w:tcPr>
            <w:tcW w:w="564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3" w:name="page4"/>
    <w:bookmarkEnd w:id="3"/>
    <w:p>
      <w:pPr>
        <w:ind w:left="1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76" w:lineRule="exact"/>
        <w:rPr>
          <w:sz w:val="20"/>
          <w:szCs w:val="20"/>
          <w:color w:val="auto"/>
        </w:rPr>
      </w:pPr>
    </w:p>
    <w:p>
      <w:pPr>
        <w:ind w:left="450" w:right="335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regarding the benefits of cost saving opportunities and quality workforce in India,</w:t>
      </w:r>
    </w:p>
    <w:p>
      <w:pPr>
        <w:spacing w:after="0" w:line="6"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for staff reduction in the United States and growth in our India workforce,</w:t>
      </w:r>
    </w:p>
    <w:p>
      <w:pPr>
        <w:spacing w:after="0" w:line="6" w:lineRule="exact"/>
        <w:rPr>
          <w:rFonts w:ascii="Courier New" w:cs="Courier New" w:eastAsia="Courier New" w:hAnsi="Courier New"/>
          <w:sz w:val="15"/>
          <w:szCs w:val="15"/>
          <w:color w:val="auto"/>
        </w:rPr>
      </w:pPr>
    </w:p>
    <w:p>
      <w:pPr>
        <w:ind w:left="450" w:right="413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as to the potential business opportunities in global outsourcing,</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regarding sales of our commercial and affordable housing assets and</w:t>
      </w:r>
    </w:p>
    <w:p>
      <w:pPr>
        <w:spacing w:after="0" w:line="6"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intentions related to the issuance of brokered deposits and other sources of financing.</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73" w:lineRule="exact"/>
        <w:rPr>
          <w:sz w:val="20"/>
          <w:szCs w:val="20"/>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7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1440" w:gutter="0" w:footer="0" w:header="0"/>
        </w:sectPr>
      </w:pPr>
    </w:p>
    <w:bookmarkStart w:id="4" w:name="page5"/>
    <w:bookmarkEnd w:id="4"/>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Ocwen Financial Corporation ("OCN" or "the Company") is a financial services company headquartered in West Palm Beach, Florida. OCN is a Florida corporation that was organized in February 1988 in connection with the acquisition of Ocwen Federal Bank FSB (the "Bank"). OCN is a registered savings and loan holding company subject to regulation by the Office of Thrift Supervision ("OTS"). The Bank is a wholly owned subsidiary of OCN and is also subject to regulation by the OTS, as our chartering authority, and by the Federal Deposit Insurance Corporation ("FDIC"), as a result of its membership in the Savings Association Insurance Fund, which insures the Bank's deposits to the maximum extent permitted by law. The Bank is also subject to regulation by the Board of Governors of the Federal Reserve System ("Federal Reserve Board") and currently is a member of the Federal Home Loan Bank ("FHLB") of New York, one of the 12 regional banks that comprise the FHLB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early 2000, we began the execution of our overall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However, we continued to actively manage and resolve the remaining assets in these segments. Our primary fee-based business activity is servicing subprime residential mortgage loans for others. As of December 31, 2002, our core and non-core businesses were as follows:</w:t>
      </w:r>
    </w:p>
    <w:p>
      <w:pPr>
        <w:spacing w:after="0" w:line="17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Core Businesses</w:t>
            </w:r>
          </w:p>
        </w:tc>
        <w:tc>
          <w:tcPr>
            <w:tcW w:w="1940" w:type="dxa"/>
            <w:vAlign w:val="bottom"/>
          </w:tcPr>
          <w:p>
            <w:pPr>
              <w:spacing w:after="0"/>
              <w:rPr>
                <w:sz w:val="14"/>
                <w:szCs w:val="1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5"/>
                <w:szCs w:val="15"/>
                <w:color w:val="auto"/>
                <w:w w:val="99"/>
              </w:rPr>
              <w:t>Non-Core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Businesses</w:t>
            </w:r>
          </w:p>
        </w:tc>
      </w:t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Residential Loan</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Servicing</w:t>
            </w:r>
          </w:p>
        </w:tc>
        <w:tc>
          <w:tcPr>
            <w:tcW w:w="28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Residential Discount Loans</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Ocwen</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Technology</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Xchange ("OTX")</w:t>
            </w:r>
          </w:p>
        </w:tc>
        <w:tc>
          <w:tcPr>
            <w:tcW w:w="28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Commercial Finance</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Ocwen</w:t>
            </w:r>
          </w:p>
        </w:tc>
        <w:tc>
          <w:tcPr>
            <w:tcW w:w="2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Realty Advisors ("ORA")</w:t>
            </w:r>
          </w:p>
        </w:tc>
        <w:tc>
          <w:tcPr>
            <w:tcW w:w="1320" w:type="dxa"/>
            <w:vAlign w:val="bottom"/>
          </w:tcPr>
          <w:p>
            <w:pPr>
              <w:ind w:left="580"/>
              <w:spacing w:after="0"/>
              <w:rPr>
                <w:sz w:val="20"/>
                <w:szCs w:val="20"/>
                <w:color w:val="auto"/>
              </w:rPr>
            </w:pPr>
            <w:r>
              <w:rPr>
                <w:rFonts w:ascii="Courier New" w:cs="Courier New" w:eastAsia="Courier New" w:hAnsi="Courier New"/>
                <w:sz w:val="15"/>
                <w:szCs w:val="15"/>
                <w:color w:val="auto"/>
                <w:w w:val="99"/>
              </w:rPr>
              <w:t>Subprime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Finance</w:t>
            </w:r>
          </w:p>
        </w:tc>
      </w:tr>
      <w:tr>
        <w:trPr>
          <w:trHeight w:val="170"/>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Unsecured Collections</w:t>
            </w:r>
          </w:p>
        </w:tc>
        <w:tc>
          <w:tcPr>
            <w:tcW w:w="28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Affordable Housing</w:t>
            </w:r>
          </w:p>
        </w:tc>
      </w:tr>
    </w:tbl>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addition to our core and non-core business segments, we report other items of revenue and expense in our Corporate Items and Other segment as discussed later in this section.</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Our decision to change our strategy and to focus on fee-based earnings was driven by changes in the economy and in the markets we serve and in our perception of how to maximize the long-term value of the Company. The non-core residential discount loan business and commercial finance business involved the acquisition of non-performing loans at a discount to par value. The objective was to resolve the loan and return it to performing status in order to increase its value. Once the loan was reperforming, the exit strategy was to sell or securitize the loan for a profit. As the economy continued to expand throughout the late 1990's, however, the supply of non-performing loans decreased. As a result, the prices asked for non-performing loans increased, and consequently the profit margins on the business decreased. Additionally, the earnings patterns of the businesses could be erratic as they typically depended on the consummation of a few large sales transactions. Simultaneously, new competitors were entering the market that had access to large amounts of capital.</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the late 1990's we also began to originate subprime residential mortgage loans. However, the business attracted a substantial amount of new capital and competition increased. The competition from larger, better-capitalized companies put pressure on pricing relative to the rates and terms offered to subprime borrowers in general, and, as a result, profit margins declined. Simultaneously, interest rates began to decrease and the assumptions concerning prepayment speeds that had been used to price new loans turned out to be overly optimistic as mortgages prepaid more quickly than expected, adding additional risk to investments in this business line.</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Consequently, we determined that our best course of action was to compete where we were strongest, that is, by using the technology and expertise we had developed over the years in managing our own portfolio of non performing residential and commercial loans and in servicing our own subprime loans and offering it to other institutions on a fee for service basis, as either a mortgage servicer or as a technology provider. We believe that these activities offer a more consistent earnings stream with a more attractive risk profile. Accordingly, in late 1999 and early 2000 we embarked on our current business strategy.</w:t>
      </w:r>
    </w:p>
    <w:p>
      <w:pPr>
        <w:spacing w:after="0" w:line="179"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Segment results in recent years reflects growth in our residential loan servicing segment, continued investment in the development and marketing of our technology products at OTX, our exit from the subprime loan origination business (both in the US and the UK), our acquisition of Ocwen Asset Investment Corp.</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5" w:name="page6"/>
    <w:bookmarkEnd w:id="5"/>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("OAC") in 1999, cessation of loan acquisitions and origination activity and our continuing resolution or disposition of those assets not associated with our core businesses. To date, the Residential Loan Servicing business has been profitable. Our Unsecured Collections business and ORA are profitable but smaller contributors to the bottom line. Both earn fee income for performing services for third parties. OTX markets several products to the real estate and mortgage industries. However, although we earn some fee income from sales of these products, they have not yet been sufficient for this business line to earn a profit.</w:t>
      </w:r>
    </w:p>
    <w:p>
      <w:pPr>
        <w:spacing w:after="0" w:line="179"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A description of each of our businesses and the segments through which they are conducted follows.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Loan Servicing</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We acquire the servicing rights to performing, sub-performing and non-performing mortgage loans. At December 31, 2002, subprime mortgages represented approximately 86% of the total unpaid principal balance of the loans we serviced. We are entitled to service the mortgages because we purchased the servicing rights from the owners of the mortgages. These rights are typically specified in an agreement between the various parties to a mortgage securitization transaction, along with the obligations that we are required to perform as the mortgage servicer. Our largest source of revenue is the servicing fees we earn pursuant to the servicing agreements. Servicing fees are usually earned as a percentage of the unpaid principal amount of the mortgages that are being serviced. Typically, this fee is approximately 0.50% per year. The servicing fees are supplemented by related income, including late fees earned from borrowers who are delinquent in remitting their monthly mortgage payments. As servicer, we also have a variety of obligations that are also specified in the servicing agreement, including the obligation to service the mortgages according to accepted standards and to make advances to the securitization trust in the event that the borrowers are delinquent on their monthly remittances. The costs incurred in connection with performing these obligations includes the cost of servicing the loans and the interest expense incurred to finance the servicing rights and servicing advances incurred in connection with conducting the business, among others.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servicing rights may be obtained by purchasing the mortgage servicing rights or entering into contracts to sub-service mortgage loans. The contracts may provide for a single bulk transfer of a servicing portfolio or the ongoing transfer of loans as they are originated or purchased by counterparties to the servicing contract. While the loans are transferred to us for servicing, the client retains ownership of the loans. The acquisition of servicing rights is generally structured as a two part bid process. A preliminary bid is provided to each potential client following a preliminary due diligence review of the loan portfolio, the seller's financial status, the strategic fit of the portfolio with our servicing capabilities and the portfolio's historical performance characteristics.</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Once the preliminary bid is accepted by the potential client, we initiate a further evaluation of the portfolio through a formal due diligence process, which includes a more detailed analysis of historical prepayment and delinquency experience. This formal process determines the present value of a projected stream of cash inflows and outflows from the portfolio. Based upon the findings of this formal process, a final bid is prepared for approval by our Credit Committee and submitted to the client for consideration. Upon the client's acceptance, we enter into a Servicing Rights Purchase Agreement.</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Servicing Rights Purchase Agreement provides us with the legal right to service the designated mortgage loans. This agreement specifies the rights and obligations of both parties including, but not limited to, the use of custodial bank accounts, maintenance of hazard insurance and tax escrow funds and fund distribution processes, as well as the servicing fees and other terms of the servicing arrangement.</w:t>
      </w:r>
    </w:p>
    <w:p>
      <w:pPr>
        <w:spacing w:after="0" w:line="176"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As of December 31, 2002, we serviced loans under approximately 275 servicing agreements for 21 clients.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U.S. Department of Housing and Urban Development, Freddie Mac and Fannie Mae have approved the Bank as a loan servicer. Standard &amp; Poor's has rated the Bank as "Strong" as a Residential Subprime Servicer, Residential Special Servicer and Commercial Special Servicer. "Strong" represents Standard &amp; Poor's highest ratings category. Moody's Investors Service has rated the Bank as "SQ1" as a Residential Subprime Servicer and as a Residential Special Servicer. "SQ1" represents Moody's Investors Services highest ratings category. Fitch Ratings has rated the Bank "RPS2" for Residential Subprime Servicing, "RSS2" for Residential Special Servicing and "CSS2" for Commercial Special Servicing. These represent Fitch's second highest categories, respectively.</w:t>
      </w:r>
    </w:p>
    <w:p>
      <w:pPr>
        <w:spacing w:after="0" w:line="16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 continue to grow and develop our residential servicing business as part of our change in strategic focus from capital intensive to fee-based businesses. As a result, we have seen steady growth in the average unpaid principal balance of residential loans we service for others from $8,802,444 during 1999 to $26,533,826 during 2002.</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226" w:gutter="0" w:footer="0" w:header="0"/>
        </w:sectPr>
      </w:pPr>
    </w:p>
    <w:bookmarkStart w:id="6" w:name="page7"/>
    <w:bookmarkEnd w:id="6"/>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Technology Xchange (OTX)</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OTX segment consists of the following three product lines: REALTransSM, REALServicingTM and REALSynergyTM. Each of these product lines serves a different market need, and each is at a different stage of maturity and commercial use.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January 20, 1998, we acquired DTS Communications, Inc. ("DTS"), a real estate technology company located in San Diego, California. The acquisition was accounted for as a purchase. DTS was merged into OTX in 2000. DTS developed technology tools to automate real estate transactions. Our acquisition of DTS and its product served as the basis for the REALTrans system. Our REALTrans product is a web-based vendor management platform that facilitates the electronic fulfillment of real estate products and services necessary to process, approve and close residential mortgage loans, as well as to service them. We market this product to residential lenders and servicers and their associated vendors. By connecting these two parties with the REALTrans platform, we allow them to conduct business more effectively and efficiently. We earn transaction fee revenues from the vendors based on the products and services they provide to their lenders through this platform. We also earn revenues through annual membership fees. The transaction fees are recognized as revenue as incurred. The membership fees are deferred and recognized as revenue over the twelve-month membership period.</w:t>
      </w:r>
    </w:p>
    <w:p>
      <w:pPr>
        <w:spacing w:after="0" w:line="18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Among our customer base on the REALTrans platform are several of the top 35 residential mortgage lenders and over 4,000 vendors. These lenders account for a significant portion of the mortgage origination market. While we estimate that the eventual market opportunity for the REALTrans platform is between $500,000 and $1,000,000, the market is currently in an early stage of adopting this technology. Our primary competitor to this product line is a division of a company that offers proprietary vendor management products.</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November 6, 1997, we acquired AMOS, Inc. ("AMOS"), a Connecticut-based company engaged primarily in the development of residential mortgage loan servicing software. The acquisition was accounted for as a purchase. AMOS is a wholly-owned subsidiary of OTX. Our acquisition of AMOS and its products became the basis for the REALServicing software. Our REALServicing product is a comprehensive enterprise level residential mortgage loan servicing platform, which has been used by the Bank since January 2001. The REALServicing product suite also includes REALResolutionTM, a default management platform that provides end-to-end mortgage default processing support. The target market for this platform includes both prime and sub-prime residential mortgage loan servicers. We believe the market opportunity for our REALServicing and REALResolution products is between $500,000 and $1,000,000. While a single firm currently possesses nearly a 60% share of this market, we only require a modest market share to achieve profitability and sustain growth. Our policy is to recognize licensing fees related to our REALServicing product as revenue ratably over the life of the related licensing agreement.</w:t>
      </w:r>
    </w:p>
    <w:p>
      <w:pPr>
        <w:spacing w:after="0" w:line="18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June 2, 1999, we acquired the assets of Synergy Software, LLC ("Synergy"), a developer of commercial and multifamily mortgage servicing systems and a wholly-owned subsidiary of OTX. The acquisition of Synergy's product was the basis for the REALSynergy software. Our REALSynergy product is a comprehensive enterprise level commercial mortgage loan servicing platform. The target market for this platform includes domestic and international commercial mortgage loan servicers. The market in which REALSynergy competes is served by a limited number of companies. Our primary competitor is a division of a large, diversified public company. The REALSynergy product suite includes REALSAMMTM, the REALSynergy Asset Management Module, a web-enabled platform for the asset and default management of performing and non-performing commercial loans and real estate. REALSAMM is being introduced to selected international markets through a joint venture with Merrill Lynch. We recognize licensing fees related to our REALSynergy product as revenue ratably over the life of the related licensing agreements.</w:t>
      </w:r>
    </w:p>
    <w:p>
      <w:pPr>
        <w:spacing w:after="0" w:line="18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The losses incurred by OTX to date reflect our continuing efforts to develop and market our suite of technology solutions.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Realty Advisors (ORA)</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As part of our strategic focus on fee-based businesses, we established ORA in 1999 as a new division. ORA provides valuation services to external customers in the wholesale lending community as well as for our own residential real estate transactions.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 important part of the process of acquiring and managing mortgage loan portfolios is the accurate review and analysis of the collateral offered as security for the loans. ORA not only provides traditional valuation products such as appraisals and broker price opinions, it also employs valuation models and other alternative valuation products that can more precisely meet the specific risk management needs of our customers.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735"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Collections</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This segment conducts collection activities for third party owners of unsecured receivables and for a portfolio of unsecured credit card receivables that we acquired at a discount in 1999 and 2000.</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On collections for third party owners, we generally earn a fee based upon a percentage of the dollars collected. The percentage fee generally ranges from 17% to 50%. We intend to continue to grow our third party collections activity.</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accounted for collections of unsecured credit card receivables under the cost recovery method through 2001 when we had reduced the net book value of these receivables to zero as a result of collections and reserves. Our contractual obligations to acquire these receivables expired in June 2000. We have made no purchases since that time and plan no future purchases at this time.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Discount Loans</w:t>
      </w:r>
    </w:p>
    <w:p>
      <w:pPr>
        <w:spacing w:after="0" w:line="175" w:lineRule="exact"/>
        <w:rPr>
          <w:sz w:val="20"/>
          <w:szCs w:val="20"/>
          <w:color w:val="auto"/>
        </w:rPr>
      </w:pPr>
    </w:p>
    <w:p>
      <w:pPr>
        <w:jc w:val="both"/>
        <w:ind w:right="3619" w:firstLine="793"/>
        <w:spacing w:after="0" w:line="237" w:lineRule="auto"/>
        <w:rPr>
          <w:sz w:val="20"/>
          <w:szCs w:val="20"/>
          <w:color w:val="auto"/>
        </w:rPr>
      </w:pPr>
      <w:r>
        <w:rPr>
          <w:rFonts w:ascii="Courier New" w:cs="Courier New" w:eastAsia="Courier New" w:hAnsi="Courier New"/>
          <w:sz w:val="15"/>
          <w:szCs w:val="15"/>
          <w:color w:val="auto"/>
        </w:rPr>
        <w:t>This segment consisted of operations to acquire at a discount and subsequently resolve sub-performing and non-performing residential mortgage loans.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We began our discount loan operations in 1991. Our strategy was to acquire at a discount certain mortgage loans for which the borrowers were not current as to principal and interest payments. We would work to resolve the loans by bringing them current and then sell or securitize the loans for a profit, structuring a settlement with the borrower, or foreclosing on the loan and liquidating the collateral.</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last acquisition of residential discount loans was made in 2000. Based on the relative insignificance of the non-core assets remaining in this business at December 31, 2002 ($4,633), the remaining assets of this business and any related income or loss arising from their resolution will be included in the Corporate Items and Other segment beginning January 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Finance</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Effective January 1, 2002, we combined our Commercial Loan and Commercial Real Estate segments, because the assets in each had fundamentally similar attributes and had been assigned to a single management team. Commercial finance activities include both discount loans and originated loans as well as our investment in commercial real estate.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new commercial assets have been purchased since 2000. Since then, this business has consisted of the management, repositioning and resolution of the remaining non-core assets. At December 31, 2002, we had $190,602 of non-core assets, which consisted of 18 loan and real estate assets, and one unrated subordinate security. Of the 18 loans and real estate assets remaining in this segment at December 31, 2002, the five largest amounted to 74% of the total. Because of the concentration of value in these assets, it is difficult to project with certainty when final sales or resolutions will be completed or whether further losses may be incurred upon resolution. While we believe that additional sales will occur during 2003, it is probable that some of the larger properties will not be sold until 2004. We regularly assess the value of our remaining assets and provide additional loss reserves or impairment charges as appropriate.</w:t>
      </w:r>
    </w:p>
    <w:p>
      <w:pPr>
        <w:spacing w:after="0" w:line="18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 entered the commercial real estate business largely as a result of our acquisition of OAC in 1999. At December 31, 2002, only two properties remain: one shopping center and one office building.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Historically, we invested in affordable housing properties primarily through limited partnerships for the purpose of obtaining Federal income tax credits pursuant to Section 42 of the Internal Revenue Code of 1986, as amended. To be eligible for housing tax credits, a property generally must first be allocated an amount of tax credits by the tax credit allocating agency and meet certain conditions. A specified portion of the apartment units in a qualifying project may be rented only to qualified tenants for a period of fifteen years. If not, a portion of any previously claimed tax credits will be subject to recapture, including previously claimed tax credits associated with projects we have sold, as discussed below.</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Beginning in 2000 we ceased making investments in these properties, except to complete those projects in which an investment had already been made. This reflects our change in strategic focus away from capital intensive lines of business and the fact that the volume of tax credits being generated was exceeding our ability to utilize them effectively. Since that time, we also began the process of marketing each of these properties for sale. At December 31, 2002, we had $15,319 of investments in affordable housing properties remaining, plus an additional $6,229 of loans outstanding to limited partnerships in which we have invested but which are not consolidated into our financial statements. While we cannot project sales with certainty, we believe that it is possible that the remaining properties will be sold before the end of 2003 and that new sources of financing will be established to repay the remaining loan balances.</w:t>
      </w:r>
    </w:p>
    <w:p>
      <w:pPr>
        <w:sectPr>
          <w:pgSz w:w="11900" w:h="16838" w:orient="portrait"/>
          <w:cols w:equalWidth="0" w:num="1">
            <w:col w:w="10219"/>
          </w:cols>
          <w:pgMar w:left="240" w:top="622" w:right="1440" w:bottom="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9019"/>
          </w:cols>
          <w:pgMar w:left="1440" w:top="311" w:right="1440" w:bottom="1440" w:gutter="0" w:footer="0" w:header="0"/>
        </w:sectPr>
      </w:pPr>
    </w:p>
    <w:bookmarkStart w:id="9" w:name="page10"/>
    <w:bookmarkEnd w:id="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We regularly assess the carrying value of our remaining assets and provide additional loss reserves as appropriate. At December 31, 2002, we had recorded reserves equal to approximately 48% of the gross book value of the assets.</w:t>
      </w:r>
    </w:p>
    <w:p>
      <w:pPr>
        <w:spacing w:after="0" w:line="176"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fifteen years after the year the tax credit is earned. Tax credits are realized even if units in the project do not continue to be occupied once the units in the project have been initially rented to qualifying tenants, and tax credits are not dependent on a project's operating income or appreciation. Tax credits generally can be lost or recaptured only if non-qualifying tenants are placed in units, ownership of the project is transferred or the project is destroyed and not rebuilt during a</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15-year compliance period for the project. There can be no assurance that the multi-family residential projects owned by the low-income housing tax credit partnerships in which we have currently or previously invested will satisfy applicable criteria during the 15-year compliance period and that there will not be loss or recapture of a portion of the associated tax credits.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Subprime Finance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were engaged in subprime residential loan origination prior to ceasing originations in August of 1999; however, we have continued to manage and resolve the remaining non-core assets. Effective January 2002, the remaining business was renamed Subprime Finance from Subprime Residential Lending to better depict the current nature of the business activity. The remaining assets of this segment consist primarily of subprime residual securities. These securities are presently generating income and return of principal through cash flows.</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In August 1999, we closed our subprime residential loan origination offices and reassigned or terminated employees who were involved in loan origination and related management and support functions.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Through 1996, the Bank acquired subprime single family residential loans primarily through a correspondent relationship with Admiral Home Loan ("Admiral") and, to a lesser extent, correspondent relationships with three other financial services companies. Correspondent institutions originated loans based on guidelines provided by us and promptly sold the loans to us on a servicing-released basis. Through Ocwen Financial Services, Inc. ("OFS"), we acquired substantially all of the assets of Admiral in a transaction that closed on May 1, 1997. In connection with our acquisition of assets from Admiral, the Bank transferred its retail and wholesale subprime single family residential lending operations to OFS.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this segment we report business activities that are individually insignificant, interest income on cash and cash equivalents, interest expense on corporate assets, gains and losses from debt repurchases, trading gains or losses associated with our collateralized mortgage obligation trading portfolio and general corporate expenses.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Additional financial information and related discussion regarding each of our segments appears under the captions "Segment Profitability" on pages 22 to 27 and "Note 27: Business Segment Reporting" on pages 113 to 115 of our 2002 Annual Report to Shareholders.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10" w:name="page11"/>
    <w:bookmarkEnd w:id="10"/>
    <w:p>
      <w:pPr>
        <w:ind w:left="273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SOURCES OF FUNDS</w:t>
      </w:r>
    </w:p>
    <w:p>
      <w:pPr>
        <w:spacing w:after="0" w:line="175" w:lineRule="exact"/>
        <w:rPr>
          <w:sz w:val="20"/>
          <w:szCs w:val="20"/>
          <w:color w:val="auto"/>
        </w:rPr>
      </w:pPr>
    </w:p>
    <w:p>
      <w:pPr>
        <w:ind w:left="10" w:right="3699" w:firstLine="793"/>
        <w:spacing w:after="0" w:line="235" w:lineRule="auto"/>
        <w:rPr>
          <w:sz w:val="20"/>
          <w:szCs w:val="20"/>
          <w:color w:val="auto"/>
        </w:rPr>
      </w:pPr>
      <w:r>
        <w:rPr>
          <w:rFonts w:ascii="Courier New" w:cs="Courier New" w:eastAsia="Courier New" w:hAnsi="Courier New"/>
          <w:sz w:val="15"/>
          <w:szCs w:val="15"/>
          <w:color w:val="auto"/>
        </w:rPr>
        <w:t>General. The principal sources of funds that support our business activities are:</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Deposits Lines of credit</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o</w:t>
            </w:r>
          </w:p>
        </w:tc>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Payments received on loans</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Match funded debt</w:t>
            </w:r>
          </w:p>
        </w:tc>
        <w:tc>
          <w:tcPr>
            <w:tcW w:w="760" w:type="dxa"/>
            <w:vAlign w:val="bottom"/>
          </w:tcPr>
          <w:p>
            <w:pPr>
              <w:spacing w:after="0"/>
              <w:rPr>
                <w:sz w:val="14"/>
                <w:szCs w:val="14"/>
                <w:color w:val="auto"/>
              </w:rPr>
            </w:pPr>
          </w:p>
        </w:tc>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and securities</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Securities sold under</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o</w:t>
            </w:r>
          </w:p>
        </w:tc>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w w:val="97"/>
              </w:rPr>
              <w:t>Proceeds from sales of assets</w:t>
            </w:r>
          </w:p>
        </w:tc>
      </w:tr>
      <w:tr>
        <w:trPr>
          <w:trHeight w:val="170"/>
        </w:trPr>
        <w:tc>
          <w:tcPr>
            <w:tcW w:w="440" w:type="dxa"/>
            <w:vAlign w:val="bottom"/>
          </w:tcPr>
          <w:p>
            <w:pPr>
              <w:spacing w:after="0"/>
              <w:rPr>
                <w:sz w:val="14"/>
                <w:szCs w:val="14"/>
                <w:color w:val="auto"/>
              </w:rPr>
            </w:pPr>
          </w:p>
        </w:tc>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agreements to repurchase</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o</w:t>
            </w:r>
          </w:p>
        </w:tc>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Servicing fees</w:t>
            </w:r>
          </w:p>
        </w:tc>
      </w:tr>
    </w:tbl>
    <w:p>
      <w:pPr>
        <w:spacing w:after="0" w:line="175" w:lineRule="exact"/>
        <w:rPr>
          <w:sz w:val="20"/>
          <w:szCs w:val="20"/>
          <w:color w:val="auto"/>
        </w:rPr>
      </w:pPr>
    </w:p>
    <w:p>
      <w:pPr>
        <w:ind w:left="10" w:right="3879" w:firstLine="793"/>
        <w:spacing w:after="0" w:line="237"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Among the risks and challenges associated with our funding activities are the following:</w:t>
      </w:r>
    </w:p>
    <w:p>
      <w:pPr>
        <w:spacing w:after="0" w:line="175" w:lineRule="exact"/>
        <w:rPr>
          <w:sz w:val="20"/>
          <w:szCs w:val="20"/>
          <w:color w:val="auto"/>
        </w:rPr>
      </w:pPr>
    </w:p>
    <w:p>
      <w:pPr>
        <w:ind w:left="790" w:right="3259" w:hanging="790"/>
        <w:spacing w:after="0" w:line="256" w:lineRule="auto"/>
        <w:tabs>
          <w:tab w:leader="none" w:pos="79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maturities of all certificates of deposit for 2003, 2004 and thereafter amount to $269,315, $78,467 and $54,498, respectively.</w:t>
      </w: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existing collateralized line of credit in April 2003.</w:t>
      </w:r>
    </w:p>
    <w:p>
      <w:pPr>
        <w:spacing w:after="0" w:line="4" w:lineRule="exact"/>
        <w:rPr>
          <w:rFonts w:ascii="Courier New" w:cs="Courier New" w:eastAsia="Courier New" w:hAnsi="Courier New"/>
          <w:sz w:val="15"/>
          <w:szCs w:val="15"/>
          <w:color w:val="auto"/>
        </w:rPr>
      </w:pPr>
    </w:p>
    <w:p>
      <w:pPr>
        <w:ind w:left="790" w:right="3619" w:hanging="790"/>
        <w:spacing w:after="0" w:line="235"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our match funded servicing advance funding facility in December 2003.</w:t>
      </w:r>
    </w:p>
    <w:p>
      <w:pPr>
        <w:spacing w:after="0" w:line="6" w:lineRule="exact"/>
        <w:rPr>
          <w:rFonts w:ascii="Courier New" w:cs="Courier New" w:eastAsia="Courier New" w:hAnsi="Courier New"/>
          <w:sz w:val="15"/>
          <w:szCs w:val="15"/>
          <w:color w:val="auto"/>
        </w:rPr>
      </w:pPr>
    </w:p>
    <w:p>
      <w:pPr>
        <w:ind w:left="790" w:right="3359" w:hanging="790"/>
        <w:spacing w:after="0" w:line="235"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a note and loan totaling $47,710 in September and October 2003.</w:t>
      </w:r>
    </w:p>
    <w:p>
      <w:pPr>
        <w:spacing w:after="0" w:line="6" w:lineRule="exact"/>
        <w:rPr>
          <w:rFonts w:ascii="Courier New" w:cs="Courier New" w:eastAsia="Courier New" w:hAnsi="Courier New"/>
          <w:sz w:val="15"/>
          <w:szCs w:val="15"/>
          <w:color w:val="auto"/>
        </w:rPr>
      </w:pPr>
    </w:p>
    <w:p>
      <w:pPr>
        <w:ind w:left="790" w:right="3699" w:hanging="790"/>
        <w:spacing w:after="0" w:line="235"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 in the current weak economic environment.</w:t>
      </w:r>
    </w:p>
    <w:p>
      <w:pPr>
        <w:spacing w:after="0" w:line="6"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 and OTX.</w:t>
      </w:r>
    </w:p>
    <w:p>
      <w:pPr>
        <w:spacing w:after="0" w:line="6" w:lineRule="exact"/>
        <w:rPr>
          <w:rFonts w:ascii="Courier New" w:cs="Courier New" w:eastAsia="Courier New" w:hAnsi="Courier New"/>
          <w:sz w:val="15"/>
          <w:szCs w:val="15"/>
          <w:color w:val="auto"/>
        </w:rPr>
      </w:pPr>
    </w:p>
    <w:p>
      <w:pPr>
        <w:ind w:left="790" w:right="3699" w:hanging="790"/>
        <w:spacing w:after="0" w:line="265" w:lineRule="auto"/>
        <w:tabs>
          <w:tab w:leader="none" w:pos="79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requirements to fund our acquisition of additional servicing rights and related advances, as discussed immediately below.</w:t>
      </w:r>
    </w:p>
    <w:p>
      <w:pPr>
        <w:spacing w:after="0" w:line="158"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In the last several years, our Residential Loan Servicing business has grown through the purchase of servicing rights. Servicing rights entitle the owner to earn servicing fees and various other types of ancillary income for performing functions that require staffing and significant cash advances and expenditures. In connection with these servicing rights, the servicer must make cash advances for delinquent principal and interest, taxes, insurance and various other items that are required to preserve the assets being serviced. Our ability to continue to grow our servicing business significantly depends on our ability to obtain additional financing to purchase new servicing rights and to fund servicing advances. We currently use a variety of sources of debt to finance these assets, including deposits and credit facilities with advance rates less than 100% of the underlying collateral. If we cannot replace or renew these sources as they mature or obtain additional sources of financing, we may be unable to acquire new servicing rights and make the associated advances. We closely monitor rates and terms of competing sources of funds on a regular basis and generally utilize the sources that are the most cost effective.</w:t>
      </w:r>
    </w:p>
    <w:p>
      <w:pPr>
        <w:spacing w:after="0" w:line="164"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Deposits. Historically, a significant source of deposits for us has been certificates of deposit obtained primarily through national investment banking firms that, pursuant to agreements with us, solicit funds from their customers for deposit with the Bank ("brokered deposits"). Our brokered deposits are reported net of unamortized deferred fees, which have been paid to investment banking firms, and amounted to $198,248 at December 31, 2002.</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We plan to retain non-brokered deposits as a source of financing our operations while at the same time reducing our reliance on brokered deposits. We plan to reduce this reliance by using proceeds from the sale of non-core assets to pay off maturing brokered deposits and by diversifying our funding sources through obtaining credit facilities for servicing rights and advances. Our ability to continue to attract new non-brokered deposits and rollover existing non-brokered deposits depends largely on our ability to compete with interest rates offered by other banks in the northern New Jersey area. In 2002, we were able to increase the amount of non-brokered deposits outstanding. If we are unable to maintain the amount of non-brokered deposits outstanding and replace them with alternative sources of funds, it is likely that we would have to incur higher interest costs to fund our assets. We have not issued any new brokered certificates of deposit since 2000.</w:t>
      </w:r>
    </w:p>
    <w:p>
      <w:pPr>
        <w:spacing w:after="0" w:line="183"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We obtain deposits from our office located in New Jersey through advertising, walk-ins and other traditional means. These deposits include non-interest bearing checking accounts, NOW and money market checking accounts and savings accounts but are primarily comprised of non-brokered certificates of deposit. At December 31, 2002, the deposits that were allocated to this office amounted to $153,688 and comprised approximately 36% of our total deposits.</w:t>
      </w:r>
    </w:p>
    <w:p>
      <w:pPr>
        <w:spacing w:after="0" w:line="176"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Lines of Credit. Under a revolving credit facility executed in April 2001 we have the right to pledge servicing advances as collateral for a loan up to $100,000. The outstanding balance as of December 31, 2002 was $78,511. The facility, if not renewed, will mature in April 2003.</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2" w:right="1440" w:bottom="1440" w:gutter="0" w:footer="0" w:header="0"/>
        </w:sectPr>
      </w:pPr>
    </w:p>
    <w:bookmarkStart w:id="11" w:name="page12"/>
    <w:bookmarkEnd w:id="11"/>
    <w:p>
      <w:pPr>
        <w:ind w:left="273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Match Funded Debt. Under a match funding agreement that we entered into on December 20, 2001, we are eligible to sell advances on loans serviced for others up to a maximum debt balance of $200,000 at any one time. At December 31, 2002, we had $106,797 of bonds-match funded agreements outstanding under this facility, which, if not renewed, will mature in December 2003. This would preclude our ability to finance further advances through this facility. The sales of advances did not qualify as sales for accounting purposes since we retained effective control of the advances. Therefore, we report them as secured borrowings with pledges of collateral. We have accounted for additional sales under this facility in the same manner.</w:t>
      </w:r>
    </w:p>
    <w:p>
      <w:pPr>
        <w:spacing w:after="0" w:line="180"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Securities Sold Under Agreements to Repurchase. We also obtain funds pursuant to securities sold under reverse repurchase agreements. Under these agreements, we sell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our consolidated financial statements and are held in safekeeping by broker-dealers. We had no securities sold under agreements to repurchase at December 31, 2002.</w:t>
      </w:r>
    </w:p>
    <w:p>
      <w:pPr>
        <w:spacing w:after="0" w:line="180"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Other. Our borrowings also include notes, subordinated debentures and other interest-bearing obligations. Additional information on our sources of funds appears under the captions "Liquidity, Commitments and Off-Balance Sheet Risks" on pages 65 to 67, "Deposits" on page 57, "Note 12: Deposits" on pages 98 to 99, "Note 14: Bonds - Match Funded Agreements" on page 99, "Note 15: Lines of Credit and Other Short-Term Borrowings" on page 100, "Risks Related to Financing" on page 18 and "Note 16: Notes, Debentures and Other Interest-Bearing Obligations" on pages 101 to 102 of the 2002 Annual Report to Shareholders and is incorporated herein by reference.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There are a number of risk factors that relate to our business and that may directly or indirectly affect our results of operations and financial condition. A discussion of our principal risk factors appears under the caption "Overview of Risks and Related Critical Accounting Policies" on pages 16 to 20 of our 2002 Annual Report to Shareholders and is incorporated herein.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A discussion of competition as it relates to our primary core businesses appears under the captions "Risk Related to Mortgage Servicing Rights" and "Risks Associated With Technology" on pages 18 and 19 of our 2002 Annual Report to Shareholders and is incorporated herein by reference.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SUBSIDIARIES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 list of our significant subsidiaries is set forth in Exhibit 21.0.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As of December 31, 2002, we had a total of 1,871 employees, of which 1,028 were in our United States facilities and 843 were in our India operations centers. We have developed our India operations centers over the past two years in order to benefit from the cost savings opportunities and quality workforce available in that country.</w:t>
      </w:r>
    </w:p>
    <w:p>
      <w:pPr>
        <w:spacing w:after="0" w:line="178"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which had 474 employees as of December 31, 2002, and our operations center in Orlando, which had 534 staff members as of December 31, 2002. Our Orlando facility has the capacity to house 950 employees on a single shift. In addition, we had 20 employees at various other locations in the United States. At this time, we estimate that we will experience a modest reduction of our staff in the United States during 2003.</w:t>
      </w:r>
    </w:p>
    <w:p>
      <w:pPr>
        <w:spacing w:after="0" w:line="177"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843 members of the staff in India as of December 31, 2002, 566 were in Bangalore and 277 were in Mumbai. Our India workforce can be summarized by business as follows:</w:t>
      </w:r>
    </w:p>
    <w:p>
      <w:pPr>
        <w:spacing w:after="0" w:line="176" w:lineRule="exact"/>
        <w:rPr>
          <w:sz w:val="20"/>
          <w:szCs w:val="20"/>
          <w:color w:val="auto"/>
        </w:rPr>
      </w:pPr>
    </w:p>
    <w:p>
      <w:pPr>
        <w:ind w:left="790" w:right="379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 are engaged in activities for our Residential Loan Servicing business,</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support OTX and Technology Services,</w:t>
      </w: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work in various other business units and</w:t>
      </w:r>
    </w:p>
    <w:p>
      <w:pPr>
        <w:spacing w:after="0" w:line="4" w:lineRule="exact"/>
        <w:rPr>
          <w:rFonts w:ascii="Courier New" w:cs="Courier New" w:eastAsia="Courier New" w:hAnsi="Courier New"/>
          <w:sz w:val="15"/>
          <w:szCs w:val="15"/>
          <w:color w:val="auto"/>
        </w:rPr>
      </w:pPr>
    </w:p>
    <w:p>
      <w:pPr>
        <w:ind w:left="790" w:right="335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represent various support functions, including Human Resources and Corporate Services, Accounting and Risk Management.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project additional growth in our India staff during 2003. The extent of this growth is dependent upon the growth of several of our new business initiatives, primarily Global Outsourcing. Global Outsourcing is a developing new business focused on providing business process outsourcing services to third parties.</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Our employees are not represented by a collective bargaining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consider our employee relations to be satisfactory.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The Bank is regulated and examined primarily by the Office of Thrift Supervision, which has substantial enforcement authority over the Bank. Because the Bank accepts deposits that are insured by the Federal Deposit Insurance Corporation, the FDIC serves as a secondary federal banking regulator of the Bank. As such, it also has substantial enforcement authority over the Bank. These Federal banking regulators have the ability to assess civil monetary penalties, to issue cease-and-desist or removal orders and to initiate injunctive actions for violations of laws and regulations and unsafe or unsound practices. As a result, our business can be materially affected by changes in our regulatory environment.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Holding Company</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Savings and Loan Holding Company. We are a registered savings and loan holding company under the Home Owners' Loan Act ("HOLA"). As such, we have registered with the OTS and are subject to regulation, supervision and examination by the OTS. We are required to file periodic reports with the OTS on our business and activities. The OTS has the authority to review our activities and determine if any activity constitutes a serious risk to the financial soundness, safety, or stability of the Bank. If a determination is made by the OTS that these risks exist, the OTS may place restrictions on our activities or the activities of our subsidiaries or affiliates. These restrictions may impact the ability of the Bank to pay dividends, engage in transactions with us or our subsidiaries or affiliates and engage in other banking activities.</w:t>
      </w:r>
    </w:p>
    <w:p>
      <w:pPr>
        <w:spacing w:after="0" w:line="16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Restrictions on Acquisitions. Savings and loan holding companies and their affiliates are prohibited from acquiring more than 5% of the voting shares, or from acquiring control, of any other savings association or savings and loan holding company, without prior approval of the OTS.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General. The Bank is a federal savings bank organized under the HOLA. The Bank is subject to regulation, supervision and examination by the OTS and by the FDIC. The business and activities of the Bank are reported in periodic filings with the OTS. Regulations apply to, among other things, insurance of deposit accounts, capital requirements, payment of dividends, the nature and amount of the investments that the Bank may make, transactions with affiliates, community reinvestment, lending, internal policies and controls and changes in control of the Bank as well as subsidiaries established by the Bank.</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FDIC. The FDIC may terminate the deposit insurance of the Bank if the Bank engages in unsafe or unsound practices, is in an unsafe or unsound condition or has violated any applicable law, regulation, rule, order or condition imposed by the OTS or the FDIC. If insurance of accounts is terminated, the accounts at the institution at the time of the termination, less subsequent withdrawals, shall continue to be insured for a period of six months to two years, as determined by the FDIC. We are aware of no existing circumstances that would result in termination of the Bank's deposit insurance.</w:t>
      </w:r>
    </w:p>
    <w:p>
      <w:pPr>
        <w:spacing w:after="0" w:line="16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Regulatory Capital Requirements. Federal savings banks are subject to minimum capital requirements set forth by the OTS. The three capital requirements applicable to the Bank are discussed below.</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Tangible Capital Requirement. Tangible capital is core capital less all intangibles other than qualifying mortgage servicing rights. Federal savings banks are required to maintain tangible capital of at least 1.5% of their adjusted total assets.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Core Capital Requirement. Core capital includes common stockholders' equity, non-cumulative perpetual preferred stock and related surplus, minority interests in the equity accounts of fully consolidated subsidiaries and certain non-withdrawable accounts and pledged deposits. Deductions from core capital include certain intangibles, servicing assets and credit-enhancing interest-only strips.</w:t>
      </w:r>
    </w:p>
    <w:p>
      <w:pPr>
        <w:spacing w:after="0" w:line="176"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Risk-Based Capital Requirement. A savings bank is allowed to include both core capital and supplementary capital in the calculation of its total</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904" w:gutter="0" w:footer="0" w:header="0"/>
        </w:sectPr>
      </w:pPr>
    </w:p>
    <w:bookmarkStart w:id="13" w:name="page14"/>
    <w:bookmarkEnd w:id="13"/>
    <w:p>
      <w:pPr>
        <w:ind w:left="273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capital for purposes of the risk-based capital requirements, provided that the amount of supplementary capital included does not exceed the savings bank's core capital. Supplementary capital consists of certain capital instruments that do not qualify as core capital, including subordinated debt (such as the Bank's Debentures) that meets specified requirements and loan and lease loss allowances up to a maximum of 1.25% of risk-weighted assets. In determining the required amount of risk-based capital, total assets, as well as residual interests (including certain off-balance sheet items that are converted to on-balance sheet credit equivalents using a conversion factor of 0% to 100%), are multiplied by a risk weight based on the risks inherent in the type of assets. The risk weights assigned by the OTS for principal categories of assets currently range from 0% to 200%, depending on the type of asset.</w:t>
      </w:r>
    </w:p>
    <w:p>
      <w:pPr>
        <w:spacing w:after="0" w:line="182"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Following an examination by the OTS in late 1996 and early 1997, the Bank committed to the OTS to maintain a core capital ratio and a total risk-based capital ratio of at least 9% and 13%, respectively. The Bank continues to be in compliance with this commitment.</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Prompt Corrective Action. Federal banking regulators have the authority to take "prompt corrective action" to resolve the problems of undercapitalized institutions. The regulations establish five categories with varying degrees of regulators' powers: "well capitalized," "adequately capitalized," "undercapitalized," "significantly undercapitalized" or "critically undercapitalized." At December 31, 2002, the Bank was a "well capitalized" institution under the prompt corrective action regulations of the OTS; however, this classification is for limited purposes and may not be indicative of the Bank's financial condition. The regulations also permit the appropriate Federal banking regulator to downgrade an institution to the next lower category under certain circumstances. Depending upon the capital category of an institution, the regulators' corrective powers may affect capital and stock distributions, limits on asset growth, acquisitions and new lines of business, transactions with affiliates, the ability to accept brokered deposits and changes in officers and directors, among other things.</w:t>
      </w:r>
    </w:p>
    <w:p>
      <w:pPr>
        <w:spacing w:after="0" w:line="185"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4"/>
          <w:szCs w:val="14"/>
          <w:color w:val="auto"/>
        </w:rPr>
        <w:t>Qualified Thrift Lender Test. The Bank is required to meet the qualified thrift lender ("QTL") test set forth in the HOLA to avoid certain restrictions on their operations. Under the QTL test provisions, a savings institution must maintain at least 65% of portfolio assets in qualified thrift investments, which generally include loans, securities and other investments that are related to housing, small business and credit card lending. A savings bank that does not meet the QTL test must either convert to a bank charter or comply with the following restrictions on its operations:</w:t>
      </w:r>
    </w:p>
    <w:p>
      <w:pPr>
        <w:spacing w:after="0" w:line="167" w:lineRule="exact"/>
        <w:rPr>
          <w:sz w:val="20"/>
          <w:szCs w:val="20"/>
          <w:color w:val="auto"/>
        </w:rPr>
      </w:pPr>
    </w:p>
    <w:p>
      <w:pPr>
        <w:ind w:left="450" w:right="3359" w:hanging="450"/>
        <w:spacing w:after="0" w:line="23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association may not engage in any new activity or make any new investment, directly or indirectly, unless such activity or investment is permissible for a national bank;</w:t>
      </w:r>
    </w:p>
    <w:p>
      <w:pPr>
        <w:spacing w:after="0" w:line="5"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branching powers of the association shall be restricted to those of a national bank; and</w:t>
      </w:r>
    </w:p>
    <w:p>
      <w:pPr>
        <w:spacing w:after="0" w:line="6" w:lineRule="exact"/>
        <w:rPr>
          <w:rFonts w:ascii="Courier New" w:cs="Courier New" w:eastAsia="Courier New" w:hAnsi="Courier New"/>
          <w:sz w:val="15"/>
          <w:szCs w:val="15"/>
          <w:color w:val="auto"/>
        </w:rPr>
      </w:pPr>
    </w:p>
    <w:p>
      <w:pPr>
        <w:ind w:left="450" w:right="3699" w:hanging="450"/>
        <w:spacing w:after="0" w:line="235"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by the association shall be subject to the rules regarding payment of dividends by a national bank.</w:t>
      </w:r>
    </w:p>
    <w:p>
      <w:pPr>
        <w:spacing w:after="0" w:line="176" w:lineRule="exact"/>
        <w:rPr>
          <w:sz w:val="20"/>
          <w:szCs w:val="20"/>
          <w:color w:val="auto"/>
        </w:rPr>
      </w:pPr>
    </w:p>
    <w:p>
      <w:pPr>
        <w:ind w:left="10" w:right="3619" w:firstLine="793"/>
        <w:spacing w:after="0" w:line="235" w:lineRule="auto"/>
        <w:rPr>
          <w:sz w:val="20"/>
          <w:szCs w:val="20"/>
          <w:color w:val="auto"/>
        </w:rPr>
      </w:pPr>
      <w:r>
        <w:rPr>
          <w:rFonts w:ascii="Courier New" w:cs="Courier New" w:eastAsia="Courier New" w:hAnsi="Courier New"/>
          <w:sz w:val="15"/>
          <w:szCs w:val="15"/>
          <w:color w:val="auto"/>
        </w:rPr>
        <w:t>The Bank is currently and expects to remain in compliance with QTL standards.</w:t>
      </w:r>
    </w:p>
    <w:p>
      <w:pPr>
        <w:spacing w:after="0" w:line="176"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Restrictions on Capital Distributions. The Bank is required to file a notice with the OTS at least 30 days prior to paying a dividend, or making any payment to repurchase, redeem, retire or otherwise acquire debt instruments included in total risk-based capital (each a "capital distribution") if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capital distribution or (d) the proposed capital distribution would violate any applicable statute, regulation, or an agreement between the Bank and the OTS, or a condition imposed upon the Bank by an OTS-approved application or notice. The OTS may deny the Bank's application or disapprove our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 The Bank is and intends to remain in compliance with these restrictions.</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Loan-To-One Borrower. The amount of loans and extensions of credit that may be extended by the Bank to any one borrower, including related entities, generally may not exceed 15% of the unimpaired capital and unimpaired surplus of the institution. Loans in an amount equal to an additional 10% of unimpaired capital and unimpaired surplus may be made to a borrower if the loans are fully secured by readily marketable collateral, which does not include real estate collateral. An institution's "unimpaired capital and unimpaired surplus" includes, among other things, the amount of its core capital and supplementary capital included in its total capital under OTS regulations.</w:t>
      </w:r>
    </w:p>
    <w:p>
      <w:pPr>
        <w:spacing w:after="0" w:line="167" w:lineRule="exact"/>
        <w:rPr>
          <w:sz w:val="20"/>
          <w:szCs w:val="20"/>
          <w:color w:val="auto"/>
        </w:rPr>
      </w:pPr>
    </w:p>
    <w:p>
      <w:pPr>
        <w:ind w:left="10" w:right="3619" w:firstLine="793"/>
        <w:spacing w:after="0" w:line="235" w:lineRule="auto"/>
        <w:rPr>
          <w:sz w:val="20"/>
          <w:szCs w:val="20"/>
          <w:color w:val="auto"/>
        </w:rPr>
      </w:pPr>
      <w:r>
        <w:rPr>
          <w:rFonts w:ascii="Courier New" w:cs="Courier New" w:eastAsia="Courier New" w:hAnsi="Courier New"/>
          <w:sz w:val="15"/>
          <w:szCs w:val="15"/>
          <w:color w:val="auto"/>
        </w:rPr>
        <w:t>The Bank is currently and expects to remain in compliance with the loan-to-one borrower limitation.</w:t>
      </w:r>
    </w:p>
    <w:p>
      <w:pPr>
        <w:sectPr>
          <w:pgSz w:w="11900" w:h="16838" w:orient="portrait"/>
          <w:cols w:equalWidth="0" w:num="1">
            <w:col w:w="10229"/>
          </w:cols>
          <w:pgMar w:left="230" w:top="622" w:right="1440" w:bottom="0" w:gutter="0" w:footer="0" w:header="0"/>
        </w:sectPr>
      </w:pPr>
    </w:p>
    <w:bookmarkStart w:id="14" w:name="page15"/>
    <w:bookmarkEnd w:id="14"/>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136" w:right="1440" w:bottom="1440" w:gutter="0" w:footer="0" w:header="0"/>
        </w:sectPr>
      </w:pPr>
    </w:p>
    <w:bookmarkStart w:id="15" w:name="page16"/>
    <w:bookmarkEnd w:id="15"/>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Affiliate Transactions and Tying. Transactions between the Bank and Ocwen Financial Corporation, OAC, OTX and their non-bank subsidiaries are subject to quantitative and qualitative restrictions. Such transactions with any one affiliate may not exceed 10% of the Bank's capital and surplus and with all affiliates in the aggregate may not exceed 20% of the Bank's capital and surplus. Certain such transactions (e.g., loans and guarantees) must meet collateralization requirements. A transaction between the Bank and its affiliate must be on terms and conditions at least as favorable to the Bank as those prevailing at the time for comparable transactions with non-affiliated companies. Savings banks are required to make and retain detailed records of transactions with affiliates. Additionally, the Bank is not permitted to make a loan or extension of credit to any affiliate unless the affiliate is engaged only in activities the Federal Reserve Board has determined to be permissible for bank holding companies. The Bank is also prohibited from purchasing or investing in securities issued by an affiliate, other than shares of a subsidiary.</w:t>
      </w:r>
    </w:p>
    <w:p>
      <w:pPr>
        <w:spacing w:after="0" w:line="18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Also, subject to certain exceptions, savings banks are prohibited from conditioning the availability or pricing of their products or services on the requirement that a customer obtain another product or service from the savings bank or an affiliate, provide another product or service to the savings bank or an affiliate or refrain from obtaining another product or service from a competitor of the savings bank or an affiliate.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Insider Loans. Savings banks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Gramm-Leach-Bliley Act. Title V of the Gramm-Leach-Bliley Act imposes consumer financial privacy restrictions on savings banks. These restrictions require a savings bank to safeguard non-public personal information of consumers; provide notices to consumers about an institution's privacy policies and practices and the about the right of consumers to opt-out of certain information sharing by savings banks. Also, these laws provide consumers a right to prevent a savings bank from disclosing non-public personal information about the consumer to non-affiliated third parties, with exceptions.</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Federal Reserve Regulation. Under Federal Reserve Board regulations, the Bank is required to maintain a reserve against its transaction accounts, which increases the Bank's cost of funds. The Bank may borrow from the Federal Reserve Bank discount window, but the Federal Reserve Board's regulations require the Bank to exhaust other reasonable alternative sources before borrowing from the Federal Reserve Bank. Numerous other regulations promulgated by the Federal Reserve Board affect the business operations of the Bank. These include regulations relating to equal credit opportunity, electronic fund transfers, collection of checks, truth in lending, truth in savings and availability of funds.</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Federal Home Loan Bank System. The Federal Housing Finance Board is an agency of the federal government and is generally responsible for regulating the FHLB System. FHLBs are federally chartered but privately owned institutions created by Congress. The primary purpose of the FHLBs is to provide funding to their members for making housing loans as well as for affordable housing and community development lending. Generally, an institution is eligible to be a member of the FHLB for the district where the member's principal place of business is located. The Bank, whose home office is in Ft. Lee, New Jersey, is a member of the New York FHLB. As an FHLB member, we are required to own FHLB capital stock based upon the aggregate outstanding advances from the FHLB. In addition, there are risk-based and leverage capital requirements that must be met by FHLB members, which are similar to those currently in place for depository institutions.</w:t>
      </w:r>
    </w:p>
    <w:p>
      <w:pPr>
        <w:spacing w:after="0" w:line="1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Community Reinvestment Act. The Community Reinvestment Act ("CRA") requires financial institutions regulated by the federal banking agencies to ascertain and help meet the credit needs of their delineated communities, including low- to moderate-income neighborhoods within those communities, while maintaining safe and sound banking practices. The regulatory agency assigns one of four possible ratings to an institution's CRA performance: outstanding, satisfactory, needs to improve and substantial noncompliance. The institution's regulator must consider its financial capacity and size, legal impediments, local economic conditions and demographics, including the competitive environment in which it operates. In 2002, the Bank received a "satisfactory" CRA rating from the OTS.</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USA PATRIOT Act. Among other requirements, the USA PATRIOT Act requires savings banks to establish an anti-money laundering program and imposes limitations and due diligence requirements on private banking accounts and correspondent accounts with certain foreign nationals and foreign institutions. Also, the USA PATRIOT Act requires the federal banking agencies to adopt regulations that would require depository institutions, such as the Bank, to adopt customer identification programs. The federal banking agencies have not yet promulgated final customer identification program regulations.</w:t>
      </w:r>
    </w:p>
    <w:p>
      <w:pPr>
        <w:sectPr>
          <w:pgSz w:w="11900" w:h="16838" w:orient="portrait"/>
          <w:cols w:equalWidth="0" w:num="1">
            <w:col w:w="10219"/>
          </w:cols>
          <w:pgMar w:left="240" w:top="622" w:right="1440" w:bottom="0" w:gutter="0" w:footer="0" w:header="0"/>
        </w:sectPr>
      </w:pPr>
    </w:p>
    <w:bookmarkStart w:id="16" w:name="page17"/>
    <w:bookmarkEnd w:id="16"/>
    <w:p>
      <w:pPr>
        <w:ind w:left="2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136" w:right="1440" w:bottom="1440" w:gutter="0" w:footer="0" w:header="0"/>
        </w:sectPr>
      </w:pPr>
    </w:p>
    <w:bookmarkStart w:id="17" w:name="page18"/>
    <w:bookmarkEnd w:id="17"/>
    <w:p>
      <w:pPr>
        <w:ind w:left="273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44"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Sarbanes-Oxley Act of 2002. In response to the recent series of regulatory enactments in furtherance of the provisions of the Sarbanes-Oxley Act, we have taken actions including, but not limited to:</w:t>
      </w:r>
    </w:p>
    <w:p>
      <w:pPr>
        <w:spacing w:after="0" w:line="175"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the responsibilities and reporting practices of our auditors,</w:t>
      </w:r>
    </w:p>
    <w:p>
      <w:pPr>
        <w:spacing w:after="0" w:line="10" w:lineRule="exact"/>
        <w:rPr>
          <w:rFonts w:ascii="Courier New" w:cs="Courier New" w:eastAsia="Courier New" w:hAnsi="Courier New"/>
          <w:sz w:val="14"/>
          <w:szCs w:val="14"/>
          <w:color w:val="auto"/>
        </w:rPr>
      </w:pPr>
    </w:p>
    <w:p>
      <w:pPr>
        <w:ind w:left="790" w:right="379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questionnaires to identify potential conflicts of interest,</w:t>
      </w:r>
    </w:p>
    <w:p>
      <w:pPr>
        <w:spacing w:after="0" w:line="6" w:lineRule="exact"/>
        <w:rPr>
          <w:rFonts w:ascii="Courier New" w:cs="Courier New" w:eastAsia="Courier New" w:hAnsi="Courier New"/>
          <w:sz w:val="15"/>
          <w:szCs w:val="15"/>
          <w:color w:val="auto"/>
        </w:rPr>
      </w:pPr>
    </w:p>
    <w:p>
      <w:pPr>
        <w:ind w:left="790" w:right="413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Disclosure Review and Nomination/Governance Committees,</w:t>
      </w:r>
    </w:p>
    <w:p>
      <w:pPr>
        <w:spacing w:after="0" w:line="6" w:lineRule="exact"/>
        <w:rPr>
          <w:rFonts w:ascii="Courier New" w:cs="Courier New" w:eastAsia="Courier New" w:hAnsi="Courier New"/>
          <w:sz w:val="15"/>
          <w:szCs w:val="15"/>
          <w:color w:val="auto"/>
        </w:rPr>
      </w:pPr>
    </w:p>
    <w:p>
      <w:pPr>
        <w:jc w:val="both"/>
        <w:ind w:left="790" w:right="3439" w:hanging="790"/>
        <w:spacing w:after="0" w:line="237"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our procedures and policies with regard to independence of our board members serving on the Audit Committee and Audit Committee responsibilities consistent with Section 301 of the Act,</w:t>
      </w: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 Whistleblower Policy,</w:t>
      </w: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CEO and CFO certifications to accompany audit reports,</w:t>
      </w:r>
    </w:p>
    <w:p>
      <w:pPr>
        <w:spacing w:after="0" w:line="4" w:lineRule="exact"/>
        <w:rPr>
          <w:rFonts w:ascii="Courier New" w:cs="Courier New" w:eastAsia="Courier New" w:hAnsi="Courier New"/>
          <w:sz w:val="15"/>
          <w:szCs w:val="15"/>
          <w:color w:val="auto"/>
        </w:rPr>
      </w:pPr>
    </w:p>
    <w:p>
      <w:pPr>
        <w:ind w:left="790" w:right="379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procedures in place to avoid any improper influence on conduct of audits,</w:t>
      </w:r>
    </w:p>
    <w:p>
      <w:pPr>
        <w:spacing w:after="0" w:line="6" w:lineRule="exact"/>
        <w:rPr>
          <w:rFonts w:ascii="Courier New" w:cs="Courier New" w:eastAsia="Courier New" w:hAnsi="Courier New"/>
          <w:sz w:val="15"/>
          <w:szCs w:val="15"/>
          <w:color w:val="auto"/>
        </w:rPr>
      </w:pPr>
    </w:p>
    <w:p>
      <w:pPr>
        <w:ind w:left="790" w:right="335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disclosures in periodic reports to conform with Section 401 of the Act,</w:t>
      </w:r>
    </w:p>
    <w:p>
      <w:pPr>
        <w:spacing w:after="0" w:line="6" w:lineRule="exact"/>
        <w:rPr>
          <w:rFonts w:ascii="Courier New" w:cs="Courier New" w:eastAsia="Courier New" w:hAnsi="Courier New"/>
          <w:sz w:val="15"/>
          <w:szCs w:val="15"/>
          <w:color w:val="auto"/>
        </w:rPr>
      </w:pPr>
    </w:p>
    <w:p>
      <w:pPr>
        <w:ind w:left="790" w:right="361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ethics policies identifying prohibited activities under the Act,</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Expedite insider reporting of transactions,</w:t>
      </w: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internal controls by management,</w:t>
      </w:r>
    </w:p>
    <w:p>
      <w:pPr>
        <w:spacing w:after="0" w:line="4" w:lineRule="exact"/>
        <w:rPr>
          <w:rFonts w:ascii="Courier New" w:cs="Courier New" w:eastAsia="Courier New" w:hAnsi="Courier New"/>
          <w:sz w:val="15"/>
          <w:szCs w:val="15"/>
          <w:color w:val="auto"/>
        </w:rPr>
      </w:pPr>
    </w:p>
    <w:p>
      <w:pPr>
        <w:ind w:left="790" w:right="343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practices for real time disclosure of material events and</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procedures for document retention and control.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FEDERAL TAXATION</w:t>
      </w:r>
    </w:p>
    <w:p>
      <w:pPr>
        <w:spacing w:after="0" w:line="175" w:lineRule="exact"/>
        <w:rPr>
          <w:sz w:val="20"/>
          <w:szCs w:val="20"/>
          <w:color w:val="auto"/>
        </w:rPr>
      </w:pPr>
    </w:p>
    <w:p>
      <w:pPr>
        <w:ind w:left="10" w:right="3179" w:firstLine="793"/>
        <w:spacing w:after="0" w:line="259" w:lineRule="auto"/>
        <w:rPr>
          <w:sz w:val="20"/>
          <w:szCs w:val="20"/>
          <w:color w:val="auto"/>
        </w:rPr>
      </w:pPr>
      <w:r>
        <w:rPr>
          <w:rFonts w:ascii="Courier New" w:cs="Courier New" w:eastAsia="Courier New" w:hAnsi="Courier New"/>
          <w:sz w:val="14"/>
          <w:szCs w:val="14"/>
          <w:color w:val="auto"/>
        </w:rPr>
        <w:t>General. OCN and all of its domestic subsidiaries currently file, and expect to continue to file, a consolidated Federal income tax return based on a calendar year. Consolidated returns have the effect of eliminating inter-company transactions, including dividends, from the computation of taxable income.</w:t>
      </w:r>
    </w:p>
    <w:p>
      <w:pPr>
        <w:spacing w:after="0" w:line="163"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80"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Tax Residuals. From time to time, we acquired Real Estate Mortgage Investment Conduit ("REMIC") residuals or retained residual securities in REMICs that were formed by us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us in the first several years of the REMIC and equal amounts of tax deductions thereafter, although the amount and timing with which we must report taxable income or deductions may vary based on the particular experience of the mortgage collateral supporting each REMIC. The tax residuals may also generate excess inclusion income that could create a tax liability for us if we have not otherwise earned taxable Income in a particular year.</w:t>
      </w:r>
    </w:p>
    <w:p>
      <w:pPr>
        <w:spacing w:after="0" w:line="16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Investments in Affordable Housing Properties. For a discussion of the tax effects of investments in affordable housing properties, see "Segments-Affordable Housing."</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Examinations. The most recent examination by the IRS of our Federal income tax return was of the tax return filed for 1996. The statute of limitations has run with respect to 1997 and all prior tax years. Thus, the Federal income tax returns for the years 1998 (due to a waiver of the statute of limitations) and 1999 through 2001 are open for examination. The Internal Revenue Service currently is completing an examination of the Company's Federal income tax returns for the years 1998 and 1999 and reviewing the tax years 1995 through 1997 as result of carryback claims filed. We do not anticipate any material adjustments as a result of any examination, although there can be no assurances in this regard.</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2" w:right="1440" w:bottom="1440" w:gutter="0" w:footer="0" w:header="0"/>
        </w:sectPr>
      </w:pPr>
    </w:p>
    <w:bookmarkStart w:id="18" w:name="page19"/>
    <w:bookmarkEnd w:id="18"/>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TAXATION</w:t>
      </w:r>
    </w:p>
    <w:p>
      <w:pPr>
        <w:spacing w:after="0" w:line="175" w:lineRule="exact"/>
        <w:rPr>
          <w:sz w:val="20"/>
          <w:szCs w:val="20"/>
          <w:color w:val="auto"/>
        </w:rPr>
      </w:pPr>
    </w:p>
    <w:p>
      <w:pPr>
        <w:ind w:firstLine="793"/>
        <w:spacing w:after="0" w:line="257" w:lineRule="auto"/>
        <w:rPr>
          <w:sz w:val="20"/>
          <w:szCs w:val="20"/>
          <w:color w:val="auto"/>
        </w:rPr>
      </w:pPr>
      <w:r>
        <w:rPr>
          <w:rFonts w:ascii="Courier New" w:cs="Courier New" w:eastAsia="Courier New" w:hAnsi="Courier New"/>
          <w:sz w:val="14"/>
          <w:szCs w:val="14"/>
          <w:color w:val="auto"/>
        </w:rPr>
        <w:t>OCN's income is subject to tax by the States of Florida and California, which have statutory tax rates of 5.5% and 10.84%, respectively, and its taxable income in these states is determined based on certain apportionment factors. We are taxed in New Jersey on income, net of expenses, earned in New Jersey at a statutory rate of 3.0%. The State of Florida currently is completing an examination of the Company's State income tax return for the years 1999 through 2001. No other state return of ours has been examined, and we have received no notification from any other state that intends to examine any of our tax returns. We do not anticipate any material adjustments as a result of any examination, although there can be no assurances in this regard.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 (Dollars in thousands)</w:t>
      </w:r>
    </w:p>
    <w:p>
      <w:pPr>
        <w:spacing w:after="0" w:line="175" w:lineRule="exact"/>
        <w:rPr>
          <w:sz w:val="20"/>
          <w:szCs w:val="20"/>
          <w:color w:val="auto"/>
        </w:rPr>
      </w:pPr>
    </w:p>
    <w:p>
      <w:pPr>
        <w:ind w:right="180" w:firstLine="793"/>
        <w:spacing w:after="0" w:line="235" w:lineRule="auto"/>
        <w:rPr>
          <w:sz w:val="20"/>
          <w:szCs w:val="20"/>
          <w:color w:val="auto"/>
        </w:rPr>
      </w:pPr>
      <w:r>
        <w:rPr>
          <w:rFonts w:ascii="Courier New" w:cs="Courier New" w:eastAsia="Courier New" w:hAnsi="Courier New"/>
          <w:sz w:val="15"/>
          <w:szCs w:val="15"/>
          <w:color w:val="auto"/>
        </w:rPr>
        <w:t>The following table sets forth information relating to our facilities at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300" w:type="dxa"/>
            <w:vAlign w:val="bottom"/>
          </w:tcPr>
          <w:p>
            <w:pPr>
              <w:ind w:left="2220"/>
              <w:spacing w:after="0"/>
              <w:rPr>
                <w:sz w:val="20"/>
                <w:szCs w:val="20"/>
                <w:color w:val="auto"/>
              </w:rPr>
            </w:pPr>
            <w:r>
              <w:rPr>
                <w:rFonts w:ascii="Courier New" w:cs="Courier New" w:eastAsia="Courier New" w:hAnsi="Courier New"/>
                <w:sz w:val="15"/>
                <w:szCs w:val="15"/>
                <w:color w:val="auto"/>
              </w:rPr>
              <w:t>Location</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Owned/Leased</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Executive offices:</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1675 Palm Beach Lakes Boulevard</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West Palm Beach, FL...................................</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Bank main office:</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2400 Lemoine Ave</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Fort Lee, NJ..........................................</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Servicing center:</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12650 Ingenuity Drive</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Orlando, FL...........................................</w:t>
            </w:r>
          </w:p>
        </w:tc>
        <w:tc>
          <w:tcPr>
            <w:tcW w:w="1500" w:type="dxa"/>
            <w:vAlign w:val="bottom"/>
          </w:tcPr>
          <w:p>
            <w:pPr>
              <w:ind w:left="520"/>
              <w:spacing w:after="0"/>
              <w:rPr>
                <w:sz w:val="20"/>
                <w:szCs w:val="20"/>
                <w:color w:val="auto"/>
              </w:rPr>
            </w:pPr>
            <w:r>
              <w:rPr>
                <w:rFonts w:ascii="Courier New" w:cs="Courier New" w:eastAsia="Courier New" w:hAnsi="Courier New"/>
                <w:sz w:val="15"/>
                <w:szCs w:val="15"/>
                <w:color w:val="auto"/>
              </w:rPr>
              <w:t>Owned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Software development and servicing operations center:</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International Technology Park</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Bangalore, India......................................</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Spectrum Towers</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Mumbai, India.........................................</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OTX offices (1):</w:t>
            </w:r>
          </w:p>
        </w:tc>
        <w:tc>
          <w:tcPr>
            <w:tcW w:w="1500" w:type="dxa"/>
            <w:vAlign w:val="bottom"/>
          </w:tcPr>
          <w:p>
            <w:pPr>
              <w:spacing w:after="0"/>
              <w:rPr>
                <w:sz w:val="24"/>
                <w:szCs w:val="24"/>
                <w:color w:val="auto"/>
              </w:rPr>
            </w:pP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REALTrans office:</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5050 Avenida Encinas, Suite 200</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Carlsbad, CA..........................................</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REALServicing office:</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10 Research Parkway</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Wallingford, CT.......................................</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REALSynergy office:</w:t>
            </w:r>
          </w:p>
        </w:tc>
        <w:tc>
          <w:tcPr>
            <w:tcW w:w="1500" w:type="dxa"/>
            <w:vAlign w:val="bottom"/>
          </w:tcPr>
          <w:p>
            <w:pPr>
              <w:spacing w:after="0"/>
              <w:rPr>
                <w:sz w:val="24"/>
                <w:szCs w:val="2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Two Creekside Crossing</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10 Cadillac Drive, Suite 350</w:t>
            </w:r>
          </w:p>
        </w:tc>
        <w:tc>
          <w:tcPr>
            <w:tcW w:w="1500" w:type="dxa"/>
            <w:vAlign w:val="bottom"/>
          </w:tcPr>
          <w:p>
            <w:pPr>
              <w:spacing w:after="0"/>
              <w:rPr>
                <w:sz w:val="14"/>
                <w:szCs w:val="14"/>
                <w:color w:val="auto"/>
              </w:rPr>
            </w:pPr>
          </w:p>
        </w:tc>
      </w:tr>
      <w:tr>
        <w:trPr>
          <w:trHeight w:val="170"/>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w w:val="99"/>
              </w:rPr>
              <w:t>Brentwood, TN.........................................</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Leased</w:t>
            </w:r>
          </w:p>
        </w:tc>
      </w:tr>
    </w:tbl>
    <w:p>
      <w:pPr>
        <w:spacing w:after="0" w:line="344" w:lineRule="exact"/>
        <w:rPr>
          <w:sz w:val="20"/>
          <w:szCs w:val="20"/>
          <w:color w:val="auto"/>
        </w:rPr>
      </w:pPr>
    </w:p>
    <w:p>
      <w:pPr>
        <w:ind w:left="3420" w:right="1060" w:hanging="3077"/>
        <w:spacing w:after="0" w:line="471" w:lineRule="auto"/>
        <w:tabs>
          <w:tab w:leader="none" w:pos="77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OTX's main office is located in facilities provided by OCN.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Net Book Value of</w:t>
      </w:r>
    </w:p>
    <w:p>
      <w:pPr>
        <w:spacing w:after="0" w:line="5" w:lineRule="exact"/>
        <w:rPr>
          <w:sz w:val="20"/>
          <w:szCs w:val="20"/>
          <w:color w:val="auto"/>
        </w:rPr>
      </w:pPr>
    </w:p>
    <w:p>
      <w:pPr>
        <w:ind w:left="440" w:right="619" w:hanging="351"/>
        <w:spacing w:after="0" w:line="256" w:lineRule="auto"/>
        <w:rPr>
          <w:sz w:val="20"/>
          <w:szCs w:val="20"/>
          <w:color w:val="auto"/>
        </w:rPr>
      </w:pPr>
      <w:r>
        <w:rPr>
          <w:rFonts w:ascii="Courier New" w:cs="Courier New" w:eastAsia="Courier New" w:hAnsi="Courier New"/>
          <w:sz w:val="14"/>
          <w:szCs w:val="14"/>
          <w:color w:val="auto"/>
        </w:rPr>
        <w:t>Property or Leasehold Improvements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140" w:hanging="877"/>
        <w:spacing w:after="0"/>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2,249</w:t>
      </w:r>
    </w:p>
    <w:p>
      <w:pPr>
        <w:spacing w:after="0" w:line="200" w:lineRule="exact"/>
        <w:rPr>
          <w:sz w:val="20"/>
          <w:szCs w:val="20"/>
          <w:color w:val="auto"/>
        </w:rPr>
      </w:pPr>
    </w:p>
    <w:p>
      <w:pPr>
        <w:spacing w:after="0" w:line="308" w:lineRule="exact"/>
        <w:rPr>
          <w:sz w:val="20"/>
          <w:szCs w:val="20"/>
          <w:color w:val="auto"/>
        </w:rPr>
      </w:pPr>
    </w:p>
    <w:p>
      <w:pPr>
        <w:ind w:left="1500" w:hanging="1237"/>
        <w:spacing w:after="0"/>
        <w:tabs>
          <w:tab w:leader="none" w:pos="15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8" w:lineRule="exact"/>
        <w:rPr>
          <w:sz w:val="20"/>
          <w:szCs w:val="20"/>
          <w:color w:val="auto"/>
        </w:rPr>
      </w:pPr>
    </w:p>
    <w:p>
      <w:pPr>
        <w:ind w:left="1060" w:hanging="797"/>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21,925</w:t>
      </w:r>
    </w:p>
    <w:p>
      <w:pPr>
        <w:spacing w:after="0" w:line="200" w:lineRule="exact"/>
        <w:rPr>
          <w:sz w:val="20"/>
          <w:szCs w:val="20"/>
          <w:color w:val="auto"/>
        </w:rPr>
      </w:pPr>
    </w:p>
    <w:p>
      <w:pPr>
        <w:spacing w:after="0" w:line="308" w:lineRule="exact"/>
        <w:rPr>
          <w:sz w:val="20"/>
          <w:szCs w:val="20"/>
          <w:color w:val="auto"/>
        </w:rPr>
      </w:pPr>
    </w:p>
    <w:p>
      <w:pPr>
        <w:ind w:left="1400" w:hanging="1137"/>
        <w:spacing w:after="0"/>
        <w:tabs>
          <w:tab w:leader="none" w:pos="14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w:t>
      </w:r>
    </w:p>
    <w:p>
      <w:pPr>
        <w:spacing w:after="0" w:line="339" w:lineRule="exact"/>
        <w:rPr>
          <w:sz w:val="20"/>
          <w:szCs w:val="20"/>
          <w:color w:val="auto"/>
        </w:rPr>
      </w:pPr>
    </w:p>
    <w:p>
      <w:pPr>
        <w:ind w:left="1320" w:hanging="1057"/>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0" w:hanging="1137"/>
        <w:spacing w:after="0"/>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1400" w:hanging="1137"/>
        <w:spacing w:after="0"/>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1400" w:hanging="1137"/>
        <w:spacing w:after="0"/>
        <w:tabs>
          <w:tab w:leader="none" w:pos="14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w:t>
      </w:r>
    </w:p>
    <w:p>
      <w:pPr>
        <w:sectPr>
          <w:pgSz w:w="11900" w:h="16838" w:orient="portrait"/>
          <w:cols w:equalWidth="0" w:num="2">
            <w:col w:w="7040" w:space="620"/>
            <w:col w:w="2559"/>
          </w:cols>
          <w:pgMar w:left="240" w:top="622" w:right="1440" w:bottom="144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 (Dollars in thousands)</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A description of material pending or recently settled legal proceedings to which OCN or its subsidiaries are a party follows:</w:t>
      </w:r>
    </w:p>
    <w:p>
      <w:pPr>
        <w:spacing w:after="0" w:line="176"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On April 20, 1999, a complaint was filed on behalf of a putative class of public shareholders of the Company in the Circuit Court of the Fifteenth Judicial Circuit, Palm Beach County, Florida against OCN and OAC. On April 23, 1999, a complaint was filed on behalf of a putative class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were for damages for alleged breaches of common law fiduciary duties. In October 2001, the parties reached an agreement in principle, which provides for a payment to plaintiffs in the amount of $475 in complete settlement off all claims for damages and attorney's fees and costs. The agreement in principle also requires us to pay a share of certain additional administrative costs attendant to the settlement, in an amount not yet determined. The agreement in principle is subject to the approval of the Court. This matter is not expected to have a material impact on our financial statements.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On June 3, 1999, Walton Street Capital, L.L.C. ("Walton") filed suit against OAC and Ocwen Partnership, L.P. in the Circuit Court of Cook County, Illinois. Walton has alleged that OAC committed an anticipatory breach of contract with respect to the proposed sale by OAC of all of its interest in its commercial mortgage-backed securities portfolio to Walton. Walton has claimed damages in an amount in excess of $27,000 including prejudgment interest. As of October 20, 2000, both Walton and OAC filed motions for Summary Judgement. On December 21, 2000, the Circuit Court granted Walton's Limited Motion for Summary Judgement concerning liability. On February 20, 2001, Ocwen filed a motion for reconsideration requesting the Circuit Court vacate its order granting summary judgment to Walton. On January 29, 2002, after oral argument, the Circuit Court reversed its earlier ruling by vacating the order granting summary judgment. On October 25, 2002, the Circuit Court denied Walton's motion for summary judgement. The trial was scheduled to begin March 4, 2003. On March 3, 2003, the Parties entered into a settlement agreement under which defendants admitted no liability, and the case was dismissed with prejudice. The amount of the settlement was $2,250, which is included in the financial results of 2002 based on the applicable accounting rules.</w:t>
      </w:r>
    </w:p>
    <w:p>
      <w:pPr>
        <w:spacing w:after="0" w:line="33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former owners of Admiral Home Loan ("Claimants") filed a Demand for Arbitration against OCN and William C. Erbey claiming damages in the amount of $21,250 arising out of a 1997 acquisition agreement pursuant to which a subsidiary of OCN acquired all the assets of Admiral Home Loan. The Claimants amended their Demand to include a claim for Civil Theft under Florida statutes for which treble damages are sought. An evidentiary hearing on the matter was concluded before a three-person arbitration panel on February 24, 2003. On March 11, 2003, the Parties submitted post-hearing findings of fact and conclusions of law to the arbitration panel, which has taken the matter under advisement. Although litigation is always uncertain, we believe the claims asserted in the Admiral Home Loan matter are without merit, and we have defended them vigorously.</w:t>
      </w:r>
    </w:p>
    <w:p>
      <w:pPr>
        <w:spacing w:after="0" w:line="182"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We are also subject to various other ordinary routine pending litigation incidental to our business. Management is of the opinion that the resolution of these claims will not have a material adverse effect on the results of our operations or financial condition.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There were no matters submitted to a vote of stockholders during the quarter ended December 31, 2002.</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w:t>
      </w:r>
    </w:p>
    <w:p>
      <w:pPr>
        <w:spacing w:after="0" w:line="344" w:lineRule="exact"/>
        <w:rPr>
          <w:sz w:val="20"/>
          <w:szCs w:val="20"/>
          <w:color w:val="auto"/>
        </w:rPr>
      </w:pPr>
    </w:p>
    <w:p>
      <w:pPr>
        <w:ind w:left="700" w:right="3799" w:hanging="704"/>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Information required by this Item appears under the caption "Shareholder Information" on page 120 of our 2002 Annual Report to Shareholders and is incorporated herein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20" w:name="page21"/>
    <w:bookmarkEnd w:id="20"/>
    <w:p>
      <w:pPr>
        <w:ind w:left="2640"/>
        <w:spacing w:after="0"/>
        <w:rPr>
          <w:sz w:val="20"/>
          <w:szCs w:val="20"/>
          <w:color w:val="auto"/>
        </w:rPr>
      </w:pPr>
      <w:r>
        <w:rPr>
          <w:rFonts w:ascii="Courier New" w:cs="Courier New" w:eastAsia="Courier New" w:hAnsi="Courier New"/>
          <w:sz w:val="15"/>
          <w:szCs w:val="15"/>
          <w:color w:val="auto"/>
        </w:rPr>
        <w:t>PART II -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5"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12 to 15 of our 2002 Annual Report to Shareholders and is incorporated herein by reference. See Item 8 below and Part IV, Item 15 regarding our consolidated financial statements and notes.</w:t>
      </w:r>
    </w:p>
    <w:p>
      <w:pPr>
        <w:spacing w:after="0" w:line="163"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Information required by this Item appears under the caption "Management's Discussion and Analysis of Financial Condition and Results of Operations" on pages 16 to 67 of our 2002 Annual Report to Shareholders and is incorporated herein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Information required by this Item appears under the captions "Asset and Liability Management" on pages 59 to 64, "Note 1: Summary of Significant Accounting Policies" on pages 18 to 87 and "Note 19: Derivative Financial Instruments" on pages 104 to 105 of our 2002 Annual Report to Shareholders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539" w:firstLine="793"/>
        <w:spacing w:after="0" w:line="265" w:lineRule="auto"/>
        <w:rPr>
          <w:sz w:val="20"/>
          <w:szCs w:val="20"/>
          <w:color w:val="auto"/>
        </w:rPr>
      </w:pPr>
      <w:r>
        <w:rPr>
          <w:rFonts w:ascii="Courier New" w:cs="Courier New" w:eastAsia="Courier New" w:hAnsi="Courier New"/>
          <w:sz w:val="14"/>
          <w:szCs w:val="14"/>
          <w:color w:val="auto"/>
        </w:rPr>
        <w:t>Information required by this Item appears on pages 70 to 119 in our 2002 Annual Report to Shareholders and is incorporated herein by reference.</w:t>
      </w:r>
    </w:p>
    <w:p>
      <w:pPr>
        <w:spacing w:after="0" w:line="158" w:lineRule="exact"/>
        <w:rPr>
          <w:sz w:val="20"/>
          <w:szCs w:val="20"/>
          <w:color w:val="auto"/>
        </w:rPr>
      </w:pPr>
    </w:p>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information contained in our definitive Proxy Statement with respect to our Annual Meeting of Shareholders to be held on May 15, 2003 and as filed with the Commission on or about March 28, 2003 (the "2003 Proxy Statement") under the captions "Election of Directors - Nominees for Director," "Executive Officers Who Are Not Directors," and "Security Ownership of Certain Beneficial Owners - Section 16(a) Beneficial Ownership Reporting Compliance" is incorporated herein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539" w:firstLine="793"/>
        <w:spacing w:after="0" w:line="260" w:lineRule="auto"/>
        <w:rPr>
          <w:sz w:val="20"/>
          <w:szCs w:val="20"/>
          <w:color w:val="auto"/>
        </w:rPr>
      </w:pPr>
      <w:r>
        <w:rPr>
          <w:rFonts w:ascii="Courier New" w:cs="Courier New" w:eastAsia="Courier New" w:hAnsi="Courier New"/>
          <w:sz w:val="14"/>
          <w:szCs w:val="14"/>
          <w:color w:val="auto"/>
        </w:rPr>
        <w:t>The information contained in our 2003 Proxy Statement under the captions "Executive Compensation," "Board of Directors Compensation" and "Comparison of Cumulative Total Return" is incorporated herein by reference.</w:t>
      </w:r>
    </w:p>
    <w:p>
      <w:pPr>
        <w:spacing w:after="0" w:line="163" w:lineRule="exact"/>
        <w:rPr>
          <w:sz w:val="20"/>
          <w:szCs w:val="20"/>
          <w:color w:val="auto"/>
        </w:rPr>
      </w:pPr>
    </w:p>
    <w:p>
      <w:pPr>
        <w:ind w:left="780" w:right="3619" w:hanging="792"/>
        <w:spacing w:after="0" w:line="235"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information contained in our 2003 Proxy Statement under the caption "Security Ownership of Certain Beneficial Owners - Beneficial Ownership of Common Stock"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21" w:name="page22"/>
    <w:bookmarkEnd w:id="21"/>
    <w:p>
      <w:pPr>
        <w:ind w:left="2540"/>
        <w:spacing w:after="0"/>
        <w:rPr>
          <w:sz w:val="20"/>
          <w:szCs w:val="20"/>
          <w:color w:val="auto"/>
        </w:rPr>
      </w:pPr>
      <w:r>
        <w:rPr>
          <w:rFonts w:ascii="Courier New" w:cs="Courier New" w:eastAsia="Courier New" w:hAnsi="Courier New"/>
          <w:sz w:val="15"/>
          <w:szCs w:val="15"/>
          <w:color w:val="auto"/>
        </w:rPr>
        <w:t>PART III -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CONTROLS AND PROCEDURES</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maintain disclosure controls and procedures that are designed to ensure that material information required to be disclosed in our reports under the Securities Exchange Act of 1934 ("Exchange Act") is recorded, processed, summarized and reported within the time periods specified in the rules and forms of the Securities and Exchange Commission and that such information is accumulated and communicated to the management, including the Chief Executive Officer and Chief Financial Officer, as appropriate, to allow timely decisions regarding required disclosure.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Within 90 days prior to the date of filing of this Annual Report on Form 10-K and pursuant to Exchange Act Rule 13a - 15, we conducted an evaluation, under the supervision and with the participation of management, including the Chief Executive Officer and the Chief Financial Officer, of the effectiveness of the design and operation of our disclosure controls and procedures as defined in Exchange Act Rule 13a-14(c). Based upon the evaluation, the Chief Executive Officer along with the Chief Financial Officer concluded that our disclosure controls and procedures are effective, in all material respects, in timely alerting them to material information required to be included in our Exchange Act reports. Additionally, there have been no significant changes in our internal controls or in other factors that could significantly affect internal controls subsequent to the date we conducted the evaluation.</w:t>
      </w:r>
    </w:p>
    <w:p>
      <w:pPr>
        <w:spacing w:after="0" w:line="3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69" w:lineRule="exact"/>
        <w:rPr>
          <w:sz w:val="20"/>
          <w:szCs w:val="20"/>
          <w:color w:val="auto"/>
        </w:rPr>
      </w:pPr>
    </w:p>
    <w:p>
      <w:pPr>
        <w:ind w:left="260"/>
        <w:spacing w:after="0"/>
        <w:tabs>
          <w:tab w:leader="none" w:pos="1200" w:val="left"/>
        </w:tabs>
        <w:rPr>
          <w:sz w:val="20"/>
          <w:szCs w:val="20"/>
          <w:color w:val="auto"/>
        </w:rPr>
      </w:pPr>
      <w:r>
        <w:rPr>
          <w:rFonts w:ascii="Courier New" w:cs="Courier New" w:eastAsia="Courier New" w:hAnsi="Courier New"/>
          <w:sz w:val="15"/>
          <w:szCs w:val="15"/>
          <w:color w:val="auto"/>
        </w:rPr>
        <w:t>(a) 1 &amp; 2</w:t>
      </w:r>
      <w:r>
        <w:rPr>
          <w:sz w:val="20"/>
          <w:szCs w:val="20"/>
          <w:color w:val="auto"/>
        </w:rPr>
        <w:tab/>
      </w:r>
      <w:r>
        <w:rPr>
          <w:rFonts w:ascii="Courier New" w:cs="Courier New" w:eastAsia="Courier New" w:hAnsi="Courier New"/>
          <w:sz w:val="14"/>
          <w:szCs w:val="14"/>
          <w:color w:val="auto"/>
        </w:rPr>
        <w:t>Financial Statements and Schedules. The following</w:t>
      </w:r>
    </w:p>
    <w:p>
      <w:pPr>
        <w:ind w:left="1220"/>
        <w:spacing w:after="0"/>
        <w:rPr>
          <w:sz w:val="20"/>
          <w:szCs w:val="20"/>
          <w:color w:val="auto"/>
        </w:rPr>
      </w:pPr>
      <w:r>
        <w:rPr>
          <w:rFonts w:ascii="Courier New" w:cs="Courier New" w:eastAsia="Courier New" w:hAnsi="Courier New"/>
          <w:sz w:val="15"/>
          <w:szCs w:val="15"/>
          <w:color w:val="auto"/>
        </w:rPr>
        <w:t>Consolidated Financial Statements of Ocwen Financial Corporation</w:t>
      </w:r>
    </w:p>
    <w:p>
      <w:pPr>
        <w:ind w:left="1220"/>
        <w:spacing w:after="0"/>
        <w:rPr>
          <w:sz w:val="20"/>
          <w:szCs w:val="20"/>
          <w:color w:val="auto"/>
        </w:rPr>
      </w:pPr>
      <w:r>
        <w:rPr>
          <w:rFonts w:ascii="Courier New" w:cs="Courier New" w:eastAsia="Courier New" w:hAnsi="Courier New"/>
          <w:sz w:val="15"/>
          <w:szCs w:val="15"/>
          <w:color w:val="auto"/>
        </w:rPr>
        <w:t>and Report of PricewaterhouseCoopers LLP, Independent Certified</w:t>
      </w:r>
    </w:p>
    <w:p>
      <w:pPr>
        <w:ind w:left="1220"/>
        <w:spacing w:after="0" w:line="238" w:lineRule="auto"/>
        <w:rPr>
          <w:sz w:val="20"/>
          <w:szCs w:val="20"/>
          <w:color w:val="auto"/>
        </w:rPr>
      </w:pPr>
      <w:r>
        <w:rPr>
          <w:rFonts w:ascii="Courier New" w:cs="Courier New" w:eastAsia="Courier New" w:hAnsi="Courier New"/>
          <w:sz w:val="15"/>
          <w:szCs w:val="15"/>
          <w:color w:val="auto"/>
        </w:rPr>
        <w:t>Public Accountants, are incorporated herein by reference from</w:t>
      </w:r>
    </w:p>
    <w:p>
      <w:pPr>
        <w:ind w:left="1220"/>
        <w:spacing w:after="0"/>
        <w:rPr>
          <w:sz w:val="20"/>
          <w:szCs w:val="20"/>
          <w:color w:val="auto"/>
        </w:rPr>
      </w:pPr>
      <w:r>
        <w:rPr>
          <w:rFonts w:ascii="Courier New" w:cs="Courier New" w:eastAsia="Courier New" w:hAnsi="Courier New"/>
          <w:sz w:val="15"/>
          <w:szCs w:val="15"/>
          <w:color w:val="auto"/>
        </w:rPr>
        <w:t>pages 70 to 119 of our Annual Report to Shareholders: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75" w:lineRule="exact"/>
        <w:rPr>
          <w:sz w:val="20"/>
          <w:szCs w:val="20"/>
          <w:color w:val="auto"/>
        </w:rPr>
      </w:pPr>
    </w:p>
    <w:p>
      <w:pPr>
        <w:ind w:left="1220" w:right="3539"/>
        <w:spacing w:after="0" w:line="235" w:lineRule="auto"/>
        <w:rPr>
          <w:sz w:val="20"/>
          <w:szCs w:val="20"/>
          <w:color w:val="auto"/>
        </w:rPr>
      </w:pPr>
      <w:r>
        <w:rPr>
          <w:rFonts w:ascii="Courier New" w:cs="Courier New" w:eastAsia="Courier New" w:hAnsi="Courier New"/>
          <w:sz w:val="15"/>
          <w:szCs w:val="15"/>
          <w:color w:val="auto"/>
        </w:rPr>
        <w:t>Consolidated Statements of Financial Condition at December 31, 2002 and 2001</w:t>
      </w:r>
    </w:p>
    <w:p>
      <w:pPr>
        <w:spacing w:after="0" w:line="176" w:lineRule="exact"/>
        <w:rPr>
          <w:sz w:val="20"/>
          <w:szCs w:val="20"/>
          <w:color w:val="auto"/>
        </w:rPr>
      </w:pPr>
    </w:p>
    <w:p>
      <w:pPr>
        <w:ind w:left="1220" w:right="3259"/>
        <w:spacing w:after="0" w:line="235"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December 31, 2002</w:t>
      </w:r>
    </w:p>
    <w:p>
      <w:pPr>
        <w:spacing w:after="0" w:line="176" w:lineRule="exact"/>
        <w:rPr>
          <w:sz w:val="20"/>
          <w:szCs w:val="20"/>
          <w:color w:val="auto"/>
        </w:rPr>
      </w:pPr>
    </w:p>
    <w:p>
      <w:pPr>
        <w:ind w:left="1220" w:right="3539"/>
        <w:spacing w:after="0" w:line="265" w:lineRule="auto"/>
        <w:rPr>
          <w:sz w:val="20"/>
          <w:szCs w:val="20"/>
          <w:color w:val="auto"/>
        </w:rPr>
      </w:pPr>
      <w:r>
        <w:rPr>
          <w:rFonts w:ascii="Courier New" w:cs="Courier New" w:eastAsia="Courier New" w:hAnsi="Courier New"/>
          <w:sz w:val="14"/>
          <w:szCs w:val="14"/>
          <w:color w:val="auto"/>
        </w:rPr>
        <w:t>Consolidated Statements of Changes in Shareholders' Equity for each of the three years in the period ended December 31, 2002</w:t>
      </w:r>
    </w:p>
    <w:p>
      <w:pPr>
        <w:spacing w:after="0" w:line="158" w:lineRule="exact"/>
        <w:rPr>
          <w:sz w:val="20"/>
          <w:szCs w:val="20"/>
          <w:color w:val="auto"/>
        </w:rPr>
      </w:pPr>
    </w:p>
    <w:p>
      <w:pPr>
        <w:ind w:left="1220" w:right="3439"/>
        <w:spacing w:after="0" w:line="235" w:lineRule="auto"/>
        <w:rPr>
          <w:sz w:val="20"/>
          <w:szCs w:val="20"/>
          <w:color w:val="auto"/>
        </w:rPr>
      </w:pPr>
      <w:r>
        <w:rPr>
          <w:rFonts w:ascii="Courier New" w:cs="Courier New" w:eastAsia="Courier New" w:hAnsi="Courier New"/>
          <w:sz w:val="15"/>
          <w:szCs w:val="15"/>
          <w:color w:val="auto"/>
        </w:rPr>
        <w:t>Consolidated Statements of Comprehensive Income for each of the three years in the period ended December 31, 2002</w:t>
      </w:r>
    </w:p>
    <w:p>
      <w:pPr>
        <w:spacing w:after="0" w:line="176" w:lineRule="exact"/>
        <w:rPr>
          <w:sz w:val="20"/>
          <w:szCs w:val="20"/>
          <w:color w:val="auto"/>
        </w:rPr>
      </w:pPr>
    </w:p>
    <w:p>
      <w:pPr>
        <w:ind w:left="1220" w:right="3259"/>
        <w:spacing w:after="0" w:line="235"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December 31, 2002</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1220" w:right="3359"/>
        <w:spacing w:after="0" w:line="237" w:lineRule="auto"/>
        <w:rPr>
          <w:sz w:val="20"/>
          <w:szCs w:val="20"/>
          <w:color w:val="auto"/>
        </w:rPr>
      </w:pPr>
      <w:r>
        <w:rPr>
          <w:rFonts w:ascii="Courier New" w:cs="Courier New" w:eastAsia="Courier New" w:hAnsi="Courier New"/>
          <w:sz w:val="15"/>
          <w:szCs w:val="15"/>
          <w:color w:val="auto"/>
        </w:rPr>
        <w:t>Financial statement schedules have been omitted because they are not applicable or the required information is shown in the Consolidated Financial Statements or notes thereto.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2"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1020"/>
              <w:spacing w:after="0"/>
              <w:rPr>
                <w:sz w:val="20"/>
                <w:szCs w:val="20"/>
                <w:color w:val="auto"/>
              </w:rPr>
            </w:pPr>
            <w:r>
              <w:rPr>
                <w:rFonts w:ascii="Courier New" w:cs="Courier New" w:eastAsia="Courier New" w:hAnsi="Courier New"/>
                <w:sz w:val="15"/>
                <w:szCs w:val="15"/>
                <w:color w:val="auto"/>
              </w:rPr>
              <w:t>PART IV - (Continued)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(a) 3</w:t>
            </w:r>
          </w:p>
        </w:tc>
        <w:tc>
          <w:tcPr>
            <w:tcW w:w="6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Exhibits.</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9"/>
              </w:rPr>
              <w:t>Agreement of Merger dated as of July 25, 1999 among Ocwen</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Financial Corporation, Ocwen Asset Investment Corp. and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Ocwen Acquisition Company (1)</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Amended and Restated Articles of Incorporation (2)</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Amended and Restated Bylaws (3)</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Certificate of Common Stock (2)</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Indenture between OCN and Bank One, Columbus, NA</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as Trustee (2)</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Note due 2003 (included in Exhibit 4.1) (2)</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Certificate of Trust of Ocwen Capital Trust I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Amended and Restated Declaration of Trust of Ocwen Capital</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Trust I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Capital Security of Ocwen Capital Trust I</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(included in Exhibit 4.4)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9"/>
              </w:rPr>
              <w:t>Form of Indenture relating to 10.875% Junior Subordinated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Debentures due 2027 of OCN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Form of 10.875% Junior Subordinated Debentures due 2027 of</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OCN (included in Exhibit 4.6)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Guarantee of OCN relating to the Capital</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Securities of Ocwen Capital Trust I (4)</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Indenture between Ocwen Federal Bank FSB and The</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Bank of New York as Trustee (5)</w:t>
            </w:r>
          </w:p>
        </w:tc>
      </w:tr>
      <w:tr>
        <w:trPr>
          <w:trHeight w:val="170"/>
        </w:trPr>
        <w:tc>
          <w:tcPr>
            <w:tcW w:w="56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Debentures due 2005 (5)</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Ocwen Financial Corporation 1996 Stock Plan for Directors,</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as amended (6)</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Ocwen Financial Corporation 1998 Annual Incentive Plan (7)</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Compensation and Indemnification Agreement, dated as of</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9"/>
              </w:rPr>
              <w:t>May 6, 1999, between OAC and the independent committee of</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the Board of Directors (8)</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9"/>
              </w:rPr>
              <w:t>Indemnity agreement, dated August 24, 1999, among OCN and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OAC's directors (9)</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Amended Ocwen Financial Corporation 1991 Non-Qualified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Stock Option Plan, dated October 26, 1999 (9)</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First Amendment to Agreement, dated March 30, 2000 between</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HCT Investments, Inc. and OAIC Partnership I, L.P. (9)</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Form of Employment Agreement, dated as of April 1, 2001,</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by and between Ocwen Financial Corporation and Arthur 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Ringwald (10)</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Computation of earnings per share (11)</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Ratio of earnings to fixed charges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Excerpts from the Annual Report to Shareholders for the</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year ended December 31, 2002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Subsidiaries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Consent of PricewaterhouseCoopers LLP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Power of Attorney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99.1</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Certification of the Chief Executive Officer pursuant to</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18 U.S.C. Section 1350, as adopted pursuant to Section 906</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of the Sarbanes-Oxley Act of 2002 (filed herewith)</w:t>
            </w:r>
          </w:p>
        </w:tc>
      </w:tr>
      <w:tr>
        <w:trPr>
          <w:trHeight w:val="170"/>
        </w:trPr>
        <w:tc>
          <w:tcPr>
            <w:tcW w:w="5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99.2</w:t>
            </w: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Certification of the Chief Financial Officer pursuant to</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w w:val="97"/>
              </w:rPr>
              <w:t>18 U.S.C. Section 1350, as adopted pursuant to Section 906</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300"/>
              <w:spacing w:after="0"/>
              <w:rPr>
                <w:sz w:val="20"/>
                <w:szCs w:val="20"/>
                <w:color w:val="auto"/>
              </w:rPr>
            </w:pPr>
            <w:r>
              <w:rPr>
                <w:rFonts w:ascii="Courier New" w:cs="Courier New" w:eastAsia="Courier New" w:hAnsi="Courier New"/>
                <w:sz w:val="15"/>
                <w:szCs w:val="15"/>
                <w:color w:val="auto"/>
              </w:rPr>
              <w:t>of the Sarbanes-Oxley Act of 2002 (filed herewith)</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Incorporated by reference from a similarly described exhibit</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included with the Registrant's Current Report on Form 8-K</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filed with the Commission on July 26, 1999.</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filed in connection with the Registrant's</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S-1 (File No. 333-5153) as</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declared effective by the commission on September</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25, 1996.</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exhibit included with the Registrant's Annual Report on Form</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10-K for the year ended December 31, 1998.</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filed in connection with our Registration Statement</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on Form S-1 (File No. 333-28889), as amended, declared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effective by the Commission on August 6, 1997.</w:t>
            </w:r>
          </w:p>
        </w:tc>
      </w:tr>
      <w:tr>
        <w:trPr>
          <w:trHeight w:val="339"/>
        </w:trPr>
        <w:tc>
          <w:tcPr>
            <w:tcW w:w="5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exhibit filed in connection with Amendment No. 2 to Offering</w:t>
            </w:r>
          </w:p>
        </w:tc>
      </w:t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Circular on Form OC (on Form S-1) filed on June 7, 1995.</w:t>
            </w:r>
          </w:p>
        </w:tc>
      </w:tr>
      <w:tr>
        <w:trPr>
          <w:trHeight w:val="339"/>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20" w:type="dxa"/>
            <w:vAlign w:val="bottom"/>
          </w:tcPr>
          <w:p>
            <w:pPr>
              <w:ind w:left="1800"/>
              <w:spacing w:after="0"/>
              <w:rPr>
                <w:sz w:val="20"/>
                <w:szCs w:val="20"/>
                <w:color w:val="auto"/>
              </w:rPr>
            </w:pPr>
            <w:r>
              <w:rPr>
                <w:rFonts w:ascii="Courier New" w:cs="Courier New" w:eastAsia="Courier New" w:hAnsi="Courier New"/>
                <w:sz w:val="15"/>
                <w:szCs w:val="15"/>
                <w:color w:val="auto"/>
              </w:rPr>
              <w:t>19</w:t>
            </w:r>
          </w:p>
        </w:tc>
      </w:tr>
    </w:tbl>
    <w:p>
      <w:pPr>
        <w:sectPr>
          <w:pgSz w:w="11900" w:h="16838" w:orient="portrait"/>
          <w:cols w:equalWidth="0" w:num="1">
            <w:col w:w="9779"/>
          </w:cols>
          <w:pgMar w:left="680" w:top="622" w:right="1440" w:bottom="1440" w:gutter="0" w:footer="0" w:header="0"/>
        </w:sectPr>
      </w:pPr>
    </w:p>
    <w:bookmarkStart w:id="23" w:name="page24"/>
    <w:bookmarkEnd w:id="23"/>
    <w:p>
      <w:pPr>
        <w:ind w:left="2209"/>
        <w:spacing w:after="0"/>
        <w:rPr>
          <w:sz w:val="20"/>
          <w:szCs w:val="20"/>
          <w:color w:val="auto"/>
        </w:rPr>
      </w:pPr>
      <w:r>
        <w:rPr>
          <w:rFonts w:ascii="Courier New" w:cs="Courier New" w:eastAsia="Courier New" w:hAnsi="Courier New"/>
          <w:sz w:val="15"/>
          <w:szCs w:val="15"/>
          <w:color w:val="auto"/>
        </w:rPr>
        <w:t>PART IV - (Continued)</w:t>
      </w:r>
    </w:p>
    <w:p>
      <w:pPr>
        <w:spacing w:after="0" w:line="175" w:lineRule="exact"/>
        <w:rPr>
          <w:sz w:val="20"/>
          <w:szCs w:val="20"/>
          <w:color w:val="auto"/>
        </w:rPr>
      </w:pPr>
    </w:p>
    <w:p>
      <w:pPr>
        <w:ind w:left="1229" w:right="3179" w:hanging="524"/>
        <w:spacing w:after="0" w:line="259" w:lineRule="auto"/>
        <w:tabs>
          <w:tab w:leader="none" w:pos="122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 Form S-8 (File No. 333-44999), effective when filed with the Commission on January 28, 1998.</w:t>
      </w:r>
    </w:p>
    <w:p>
      <w:pPr>
        <w:spacing w:after="0" w:line="162" w:lineRule="exact"/>
        <w:rPr>
          <w:rFonts w:ascii="Courier New" w:cs="Courier New" w:eastAsia="Courier New" w:hAnsi="Courier New"/>
          <w:sz w:val="14"/>
          <w:szCs w:val="14"/>
          <w:color w:val="auto"/>
        </w:rPr>
      </w:pPr>
    </w:p>
    <w:p>
      <w:pPr>
        <w:ind w:left="1229" w:right="3179" w:hanging="524"/>
        <w:spacing w:after="0" w:line="237" w:lineRule="auto"/>
        <w:tabs>
          <w:tab w:leader="none" w:pos="122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to our definitive Proxy Statement with respect to our 1998 Annual Meeting of Shareholders as filed with the Commission on March 31, 1998.</w:t>
      </w:r>
    </w:p>
    <w:p>
      <w:pPr>
        <w:spacing w:after="0" w:line="176" w:lineRule="exact"/>
        <w:rPr>
          <w:rFonts w:ascii="Courier New" w:cs="Courier New" w:eastAsia="Courier New" w:hAnsi="Courier New"/>
          <w:sz w:val="15"/>
          <w:szCs w:val="15"/>
          <w:color w:val="auto"/>
        </w:rPr>
      </w:pPr>
    </w:p>
    <w:p>
      <w:pPr>
        <w:ind w:left="1229" w:right="3179" w:hanging="524"/>
        <w:spacing w:after="0" w:line="265" w:lineRule="auto"/>
        <w:tabs>
          <w:tab w:leader="none" w:pos="122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Quarterly Report on Form 10-Q for the quarterly period ended September 30, 1999.</w:t>
      </w:r>
    </w:p>
    <w:p>
      <w:pPr>
        <w:spacing w:after="0" w:line="158" w:lineRule="exact"/>
        <w:rPr>
          <w:rFonts w:ascii="Courier New" w:cs="Courier New" w:eastAsia="Courier New" w:hAnsi="Courier New"/>
          <w:sz w:val="14"/>
          <w:szCs w:val="14"/>
          <w:color w:val="auto"/>
        </w:rPr>
      </w:pPr>
    </w:p>
    <w:p>
      <w:pPr>
        <w:ind w:left="1229" w:right="3439" w:hanging="524"/>
        <w:spacing w:after="0" w:line="260" w:lineRule="auto"/>
        <w:tabs>
          <w:tab w:leader="none" w:pos="122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Quarterly Report on Form 10-Q for the quarterly period ended March 31, 2000.</w:t>
      </w:r>
    </w:p>
    <w:p>
      <w:pPr>
        <w:spacing w:after="0" w:line="162" w:lineRule="exact"/>
        <w:rPr>
          <w:rFonts w:ascii="Courier New" w:cs="Courier New" w:eastAsia="Courier New" w:hAnsi="Courier New"/>
          <w:sz w:val="14"/>
          <w:szCs w:val="14"/>
          <w:color w:val="auto"/>
        </w:rPr>
      </w:pPr>
    </w:p>
    <w:p>
      <w:pPr>
        <w:ind w:left="1229" w:right="3259" w:hanging="524"/>
        <w:spacing w:after="0" w:line="237" w:lineRule="auto"/>
        <w:tabs>
          <w:tab w:leader="none" w:pos="122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2001.</w:t>
      </w:r>
    </w:p>
    <w:p>
      <w:pPr>
        <w:spacing w:after="0" w:line="174" w:lineRule="exact"/>
        <w:rPr>
          <w:rFonts w:ascii="Courier New" w:cs="Courier New" w:eastAsia="Courier New" w:hAnsi="Courier New"/>
          <w:sz w:val="15"/>
          <w:szCs w:val="15"/>
          <w:color w:val="auto"/>
        </w:rPr>
      </w:pPr>
    </w:p>
    <w:p>
      <w:pPr>
        <w:ind w:left="1229" w:right="3259" w:hanging="524"/>
        <w:spacing w:after="0" w:line="237" w:lineRule="auto"/>
        <w:tabs>
          <w:tab w:leader="none" w:pos="122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"Note 18: Basic and Diluted Earnings per Share" on page 103 of our 2002 Annual Report to Shareholders.</w:t>
      </w:r>
    </w:p>
    <w:p>
      <w:pPr>
        <w:spacing w:after="0" w:line="174" w:lineRule="exact"/>
        <w:rPr>
          <w:rFonts w:ascii="Courier New" w:cs="Courier New" w:eastAsia="Courier New" w:hAnsi="Courier New"/>
          <w:sz w:val="15"/>
          <w:szCs w:val="15"/>
          <w:color w:val="auto"/>
        </w:rPr>
      </w:pPr>
    </w:p>
    <w:p>
      <w:pPr>
        <w:ind w:left="609" w:hanging="609"/>
        <w:spacing w:after="0"/>
        <w:tabs>
          <w:tab w:leader="none" w:pos="60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Quarter Ended December 31, 2002</w:t>
      </w:r>
    </w:p>
    <w:p>
      <w:pPr>
        <w:spacing w:after="0" w:line="180" w:lineRule="exact"/>
        <w:rPr>
          <w:rFonts w:ascii="Courier New" w:cs="Courier New" w:eastAsia="Courier New" w:hAnsi="Courier New"/>
          <w:sz w:val="14"/>
          <w:szCs w:val="14"/>
          <w:color w:val="auto"/>
        </w:rPr>
      </w:pPr>
    </w:p>
    <w:p>
      <w:pPr>
        <w:ind w:left="1229" w:right="3439" w:hanging="524"/>
        <w:spacing w:after="0" w:line="237" w:lineRule="auto"/>
        <w:tabs>
          <w:tab w:leader="none" w:pos="122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was filed by OCN on November 12, 2002 which contained a news release announcing our 2002 third quarter results and certain other information.</w:t>
      </w:r>
    </w:p>
    <w:p>
      <w:pPr>
        <w:spacing w:after="0" w:line="169"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88"/>
          </w:cols>
          <w:pgMar w:left="671" w:top="622" w:right="1440" w:bottom="1440" w:gutter="0" w:footer="0" w:header="0"/>
        </w:sectPr>
      </w:pPr>
    </w:p>
    <w:bookmarkStart w:id="24" w:name="page25"/>
    <w:bookmarkEnd w:id="24"/>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our behalf by the undersigned, thereunto duly authorized.</w:t>
      </w:r>
    </w:p>
    <w:p>
      <w:pPr>
        <w:spacing w:after="0" w:line="16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OCWEN FINANCIAL CORPORATION</w:t>
      </w:r>
    </w:p>
    <w:p>
      <w:pPr>
        <w:spacing w:after="0" w:line="16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By: /s/ WILLIAM C. ERBEY</w:t>
      </w:r>
    </w:p>
    <w:p>
      <w:pPr>
        <w:ind w:left="39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William C. Erbey</w:t>
      </w:r>
    </w:p>
    <w:p>
      <w:pPr>
        <w:ind w:left="3970"/>
        <w:spacing w:after="0" w:line="238" w:lineRule="auto"/>
        <w:rPr>
          <w:sz w:val="20"/>
          <w:szCs w:val="20"/>
          <w:color w:val="auto"/>
        </w:rPr>
      </w:pPr>
      <w:r>
        <w:rPr>
          <w:rFonts w:ascii="Courier New" w:cs="Courier New" w:eastAsia="Courier New" w:hAnsi="Courier New"/>
          <w:sz w:val="15"/>
          <w:szCs w:val="15"/>
          <w:color w:val="auto"/>
        </w:rPr>
        <w:t>Chairman of the Board and</w:t>
      </w:r>
    </w:p>
    <w:p>
      <w:pPr>
        <w:ind w:left="3970"/>
        <w:spacing w:after="0"/>
        <w:rPr>
          <w:sz w:val="20"/>
          <w:szCs w:val="20"/>
          <w:color w:val="auto"/>
        </w:rPr>
      </w:pPr>
      <w:r>
        <w:rPr>
          <w:rFonts w:ascii="Courier New" w:cs="Courier New" w:eastAsia="Courier New" w:hAnsi="Courier New"/>
          <w:sz w:val="15"/>
          <w:szCs w:val="15"/>
          <w:color w:val="auto"/>
        </w:rPr>
        <w:t>Chief Executive Officer</w:t>
      </w:r>
    </w:p>
    <w:p>
      <w:pPr>
        <w:jc w:val="center"/>
        <w:ind w:right="-349"/>
        <w:spacing w:after="0"/>
        <w:rPr>
          <w:sz w:val="20"/>
          <w:szCs w:val="20"/>
          <w:color w:val="auto"/>
        </w:rPr>
      </w:pPr>
      <w:r>
        <w:rPr>
          <w:rFonts w:ascii="Courier New" w:cs="Courier New" w:eastAsia="Courier New" w:hAnsi="Courier New"/>
          <w:sz w:val="15"/>
          <w:szCs w:val="15"/>
          <w:color w:val="auto"/>
        </w:rPr>
        <w:t>(duly authorized representative)</w:t>
      </w:r>
    </w:p>
    <w:p>
      <w:pPr>
        <w:spacing w:after="0" w:line="168"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March 28, 2003</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10" w:right="73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C. Erbey, Chairman of the Board and Chief Executive Officer (principal executive officer)</w:t>
      </w:r>
    </w:p>
    <w:p>
      <w:pPr>
        <w:spacing w:after="0" w:line="157"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W. C. MARTIN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HON. THOMAS F. LEWIS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Hon. Thomas F. Lewis,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W. MICHAEL LINN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Michael Linn,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HERBERT B. TASKER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2002</w:t>
      </w:r>
    </w:p>
    <w:p>
      <w:pPr>
        <w:ind w:left="170" w:hanging="170"/>
        <w:spacing w:after="0"/>
        <w:tabs>
          <w:tab w:leader="none" w:pos="1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Herbert B. Tasker,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WILLIAM H. LACY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Hon. William H. Lacy, Director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MARK S. ZEIDMAN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65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 S. Zeidman, Senior Vice President and Chief Financial Officer</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financial officer)</w:t>
      </w:r>
    </w:p>
    <w:p>
      <w:pPr>
        <w:spacing w:after="0" w:line="169" w:lineRule="exact"/>
        <w:rPr>
          <w:sz w:val="20"/>
          <w:szCs w:val="20"/>
          <w:color w:val="auto"/>
        </w:rPr>
      </w:pPr>
    </w:p>
    <w:p>
      <w:pPr>
        <w:ind w:left="10"/>
        <w:spacing w:after="0"/>
        <w:tabs>
          <w:tab w:leader="none" w:pos="4829" w:val="left"/>
          <w:tab w:leader="none" w:pos="5789" w:val="left"/>
        </w:tabs>
        <w:rPr>
          <w:sz w:val="20"/>
          <w:szCs w:val="20"/>
          <w:color w:val="auto"/>
        </w:rPr>
      </w:pPr>
      <w:r>
        <w:rPr>
          <w:rFonts w:ascii="Courier New" w:cs="Courier New" w:eastAsia="Courier New" w:hAnsi="Courier New"/>
          <w:sz w:val="15"/>
          <w:szCs w:val="15"/>
          <w:color w:val="auto"/>
        </w:rPr>
        <w:t>/s/ ROBERT J. LEIST, JR.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28, 2003</w:t>
      </w: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6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Leist, Jr., Vice President and Chief Accounting Officer</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accounting officer)</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sectPr>
      </w:pPr>
    </w:p>
    <w:bookmarkStart w:id="25" w:name="page26"/>
    <w:bookmarkEnd w:id="25"/>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William C. Erbey, certify that:</w:t>
      </w:r>
    </w:p>
    <w:p>
      <w:pPr>
        <w:spacing w:after="0" w:line="175" w:lineRule="exact"/>
        <w:rPr>
          <w:sz w:val="20"/>
          <w:szCs w:val="20"/>
          <w:color w:val="auto"/>
        </w:rPr>
      </w:pPr>
    </w:p>
    <w:p>
      <w:pPr>
        <w:ind w:left="450" w:right="3979" w:hanging="450"/>
        <w:spacing w:after="0" w:line="235"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ind w:left="450" w:right="3179" w:hanging="450"/>
        <w:spacing w:after="0" w:line="259" w:lineRule="auto"/>
        <w:tabs>
          <w:tab w:leader="none" w:pos="4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ind w:left="450" w:right="3179" w:hanging="450"/>
        <w:spacing w:after="0" w:line="256" w:lineRule="auto"/>
        <w:tabs>
          <w:tab w:leader="none" w:pos="4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ind w:left="890" w:right="325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8"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5"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6" w:lineRule="exact"/>
        <w:rPr>
          <w:rFonts w:ascii="Courier New" w:cs="Courier New" w:eastAsia="Courier New" w:hAnsi="Courier New"/>
          <w:sz w:val="15"/>
          <w:szCs w:val="15"/>
          <w:color w:val="auto"/>
        </w:rPr>
      </w:pPr>
    </w:p>
    <w:p>
      <w:pPr>
        <w:ind w:left="890" w:right="343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610"/>
        <w:spacing w:after="0"/>
        <w:tabs>
          <w:tab w:leader="none" w:pos="4289" w:val="left"/>
        </w:tabs>
        <w:rPr>
          <w:sz w:val="20"/>
          <w:szCs w:val="20"/>
          <w:color w:val="auto"/>
        </w:rPr>
      </w:pPr>
      <w:r>
        <w:rPr>
          <w:rFonts w:ascii="Courier New" w:cs="Courier New" w:eastAsia="Courier New" w:hAnsi="Courier New"/>
          <w:sz w:val="15"/>
          <w:szCs w:val="15"/>
          <w:color w:val="auto"/>
        </w:rPr>
        <w:t>Date: March 28, 2003</w:t>
      </w:r>
      <w:r>
        <w:rPr>
          <w:sz w:val="20"/>
          <w:szCs w:val="20"/>
          <w:color w:val="auto"/>
        </w:rPr>
        <w:tab/>
      </w:r>
      <w:r>
        <w:rPr>
          <w:rFonts w:ascii="Courier New" w:cs="Courier New" w:eastAsia="Courier New" w:hAnsi="Courier New"/>
          <w:sz w:val="14"/>
          <w:szCs w:val="14"/>
          <w:color w:val="auto"/>
        </w:rPr>
        <w:t>/s/ WILLIAM C ERBEY</w:t>
      </w:r>
    </w:p>
    <w:p>
      <w:pPr>
        <w:jc w:val="right"/>
        <w:ind w:right="3179"/>
        <w:spacing w:after="0"/>
        <w:rPr>
          <w:sz w:val="20"/>
          <w:szCs w:val="20"/>
          <w:color w:val="auto"/>
        </w:rPr>
      </w:pPr>
      <w:r>
        <w:rPr>
          <w:rFonts w:ascii="Courier New" w:cs="Courier New" w:eastAsia="Courier New" w:hAnsi="Courier New"/>
          <w:sz w:val="15"/>
          <w:szCs w:val="15"/>
          <w:color w:val="auto"/>
        </w:rPr>
        <w:t>-------------------------------</w:t>
      </w:r>
    </w:p>
    <w:p>
      <w:pPr>
        <w:ind w:left="4310"/>
        <w:spacing w:after="0"/>
        <w:rPr>
          <w:sz w:val="20"/>
          <w:szCs w:val="20"/>
          <w:color w:val="auto"/>
        </w:rPr>
      </w:pPr>
      <w:r>
        <w:rPr>
          <w:rFonts w:ascii="Courier New" w:cs="Courier New" w:eastAsia="Courier New" w:hAnsi="Courier New"/>
          <w:sz w:val="15"/>
          <w:szCs w:val="15"/>
          <w:color w:val="auto"/>
        </w:rPr>
        <w:t>William C. Erbey</w:t>
      </w:r>
    </w:p>
    <w:p>
      <w:pPr>
        <w:ind w:left="431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2" w:right="1440" w:bottom="1440" w:gutter="0" w:footer="0" w:header="0"/>
        </w:sectPr>
      </w:pPr>
    </w:p>
    <w:bookmarkStart w:id="26" w:name="page27"/>
    <w:bookmarkEnd w:id="26"/>
    <w:p>
      <w:pPr>
        <w:ind w:left="10"/>
        <w:spacing w:after="0"/>
        <w:rPr>
          <w:sz w:val="20"/>
          <w:szCs w:val="20"/>
          <w:color w:val="auto"/>
        </w:rPr>
      </w:pPr>
      <w:r>
        <w:rPr>
          <w:rFonts w:ascii="Courier New" w:cs="Courier New" w:eastAsia="Courier New" w:hAnsi="Courier New"/>
          <w:sz w:val="15"/>
          <w:szCs w:val="15"/>
          <w:color w:val="auto"/>
        </w:rPr>
        <w:t>I, Mark S. Zeidman, certify that:</w:t>
      </w:r>
    </w:p>
    <w:p>
      <w:pPr>
        <w:spacing w:after="0" w:line="175" w:lineRule="exact"/>
        <w:rPr>
          <w:sz w:val="20"/>
          <w:szCs w:val="20"/>
          <w:color w:val="auto"/>
        </w:rPr>
      </w:pPr>
    </w:p>
    <w:p>
      <w:pPr>
        <w:ind w:left="450" w:right="3979" w:hanging="450"/>
        <w:spacing w:after="0" w:line="235"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ind w:left="450" w:right="3179" w:hanging="450"/>
        <w:spacing w:after="0" w:line="259" w:lineRule="auto"/>
        <w:tabs>
          <w:tab w:leader="none" w:pos="4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ind w:left="450" w:right="3179" w:hanging="450"/>
        <w:spacing w:after="0" w:line="256" w:lineRule="auto"/>
        <w:tabs>
          <w:tab w:leader="none" w:pos="4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ind w:left="890" w:right="325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8"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5"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6" w:lineRule="exact"/>
        <w:rPr>
          <w:rFonts w:ascii="Courier New" w:cs="Courier New" w:eastAsia="Courier New" w:hAnsi="Courier New"/>
          <w:sz w:val="15"/>
          <w:szCs w:val="15"/>
          <w:color w:val="auto"/>
        </w:rPr>
      </w:pPr>
    </w:p>
    <w:p>
      <w:pPr>
        <w:ind w:left="890" w:right="343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8"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610"/>
        <w:spacing w:after="0"/>
        <w:tabs>
          <w:tab w:leader="none" w:pos="4289" w:val="left"/>
        </w:tabs>
        <w:rPr>
          <w:sz w:val="20"/>
          <w:szCs w:val="20"/>
          <w:color w:val="auto"/>
        </w:rPr>
      </w:pPr>
      <w:r>
        <w:rPr>
          <w:rFonts w:ascii="Courier New" w:cs="Courier New" w:eastAsia="Courier New" w:hAnsi="Courier New"/>
          <w:sz w:val="15"/>
          <w:szCs w:val="15"/>
          <w:color w:val="auto"/>
        </w:rPr>
        <w:t>Date: March 28, 2003</w:t>
      </w:r>
      <w:r>
        <w:rPr>
          <w:sz w:val="20"/>
          <w:szCs w:val="20"/>
          <w:color w:val="auto"/>
        </w:rPr>
        <w:tab/>
      </w:r>
      <w:r>
        <w:rPr>
          <w:rFonts w:ascii="Courier New" w:cs="Courier New" w:eastAsia="Courier New" w:hAnsi="Courier New"/>
          <w:sz w:val="14"/>
          <w:szCs w:val="14"/>
          <w:color w:val="auto"/>
        </w:rPr>
        <w:t>/s/ MARK S. ZEIDMAN</w:t>
      </w:r>
    </w:p>
    <w:p>
      <w:pPr>
        <w:jc w:val="right"/>
        <w:ind w:right="3179"/>
        <w:spacing w:after="0"/>
        <w:rPr>
          <w:sz w:val="20"/>
          <w:szCs w:val="20"/>
          <w:color w:val="auto"/>
        </w:rPr>
      </w:pPr>
      <w:r>
        <w:rPr>
          <w:rFonts w:ascii="Courier New" w:cs="Courier New" w:eastAsia="Courier New" w:hAnsi="Courier New"/>
          <w:sz w:val="15"/>
          <w:szCs w:val="15"/>
          <w:color w:val="auto"/>
        </w:rPr>
        <w:t>-------------------------------</w:t>
      </w:r>
    </w:p>
    <w:p>
      <w:pPr>
        <w:ind w:left="4310"/>
        <w:spacing w:after="0"/>
        <w:rPr>
          <w:sz w:val="20"/>
          <w:szCs w:val="20"/>
          <w:color w:val="auto"/>
        </w:rPr>
      </w:pPr>
      <w:r>
        <w:rPr>
          <w:rFonts w:ascii="Courier New" w:cs="Courier New" w:eastAsia="Courier New" w:hAnsi="Courier New"/>
          <w:sz w:val="15"/>
          <w:szCs w:val="15"/>
          <w:color w:val="auto"/>
        </w:rPr>
        <w:t>Mark S. Zeidman</w:t>
      </w:r>
    </w:p>
    <w:p>
      <w:pPr>
        <w:ind w:left="431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791" w:right="1440" w:bottom="1440" w:gutter="0" w:footer="0" w:header="0"/>
        </w:sectPr>
      </w:pPr>
    </w:p>
    <w:bookmarkStart w:id="27" w:name="page28"/>
    <w:bookmarkEnd w:id="27"/>
    <w:p>
      <w:pPr>
        <w:ind w:left="5990"/>
        <w:spacing w:after="0"/>
        <w:rPr>
          <w:sz w:val="20"/>
          <w:szCs w:val="20"/>
          <w:color w:val="auto"/>
        </w:rPr>
      </w:pPr>
      <w:r>
        <w:rPr>
          <w:rFonts w:ascii="Courier New" w:cs="Courier New" w:eastAsia="Courier New" w:hAnsi="Courier New"/>
          <w:sz w:val="15"/>
          <w:szCs w:val="15"/>
          <w:color w:val="auto"/>
        </w:rPr>
        <w:t>Exhibit 12.1</w:t>
      </w:r>
    </w:p>
    <w:p>
      <w:pPr>
        <w:spacing w:after="0" w:line="339" w:lineRule="exact"/>
        <w:rPr>
          <w:sz w:val="20"/>
          <w:szCs w:val="20"/>
          <w:color w:val="auto"/>
        </w:rPr>
      </w:pPr>
    </w:p>
    <w:p>
      <w:pPr>
        <w:jc w:val="center"/>
        <w:ind w:right="439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390"/>
        <w:spacing w:after="0"/>
        <w:rPr>
          <w:sz w:val="20"/>
          <w:szCs w:val="20"/>
          <w:color w:val="auto"/>
        </w:rPr>
      </w:pPr>
      <w:r>
        <w:rPr>
          <w:rFonts w:ascii="Courier New" w:cs="Courier New" w:eastAsia="Courier New" w:hAnsi="Courier New"/>
          <w:sz w:val="15"/>
          <w:szCs w:val="15"/>
          <w:color w:val="auto"/>
        </w:rPr>
        <w:t>COMPUTATION OF EARNINGS TO FIXED CHARGES</w:t>
      </w:r>
    </w:p>
    <w:p>
      <w:pPr>
        <w:jc w:val="center"/>
        <w:ind w:right="439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42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4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income taxes and effect of change in accounting</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principle ...............................................</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(82,057)</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(41,782)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21,139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23,293</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(32,366)</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(Losses) and undistributed income of equity investees ....</w:t>
            </w:r>
          </w:p>
        </w:tc>
        <w:tc>
          <w:tcPr>
            <w:tcW w:w="3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(5,280)</w:t>
            </w:r>
          </w:p>
        </w:tc>
        <w:tc>
          <w:tcPr>
            <w:tcW w:w="3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(9,154)</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Interest expensed and capitalized, except interest on</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deposits, and amortization of capitalized debt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expenses ...............................................</w:t>
            </w:r>
          </w:p>
        </w:tc>
        <w:tc>
          <w:tcPr>
            <w:tcW w:w="3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35,681</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42,738</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84,897</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72,765</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84,596</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on deposits .....................................</w:t>
            </w:r>
          </w:p>
        </w:tc>
        <w:tc>
          <w:tcPr>
            <w:tcW w:w="3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27,455</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59,967</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98,224</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98,370</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116,584</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component of rental expense .....................</w:t>
            </w:r>
          </w:p>
        </w:tc>
        <w:tc>
          <w:tcPr>
            <w:tcW w:w="3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1,108</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1,176</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1,124</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2,032</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2,135</w:t>
            </w:r>
          </w:p>
        </w:tc>
      </w:tr>
      <w:tr>
        <w:trPr>
          <w:trHeight w:val="170"/>
        </w:trPr>
        <w:tc>
          <w:tcPr>
            <w:tcW w:w="542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fixed charges (1) ..................................</w:t>
            </w:r>
          </w:p>
        </w:tc>
        <w:tc>
          <w:tcPr>
            <w:tcW w:w="3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64,244</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103,881</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184,245</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173,167</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203,315</w:t>
            </w:r>
          </w:p>
        </w:tc>
      </w:tr>
      <w:tr>
        <w:trPr>
          <w:trHeight w:val="170"/>
        </w:trPr>
        <w:tc>
          <w:tcPr>
            <w:tcW w:w="542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Earnings for computation purposes ..........................</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(17,813)</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210,664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205,614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170,510</w:t>
            </w:r>
          </w:p>
        </w:tc>
      </w:tr>
      <w:tr>
        <w:trPr>
          <w:trHeight w:val="170"/>
        </w:trPr>
        <w:tc>
          <w:tcPr>
            <w:tcW w:w="542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Including interest on deposits (2)........................</w:t>
            </w:r>
          </w:p>
        </w:tc>
        <w:tc>
          <w:tcPr>
            <w:tcW w:w="3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Excluding interest on deposits (2)........................</w:t>
            </w:r>
          </w:p>
        </w:tc>
        <w:tc>
          <w:tcPr>
            <w:tcW w:w="3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bl>
    <w:p>
      <w:pPr>
        <w:spacing w:after="0" w:line="200" w:lineRule="exact"/>
        <w:rPr>
          <w:sz w:val="20"/>
          <w:szCs w:val="20"/>
          <w:color w:val="auto"/>
        </w:rPr>
      </w:pPr>
    </w:p>
    <w:p>
      <w:pPr>
        <w:spacing w:after="0" w:line="314" w:lineRule="exact"/>
        <w:rPr>
          <w:sz w:val="20"/>
          <w:szCs w:val="20"/>
          <w:color w:val="auto"/>
        </w:rPr>
      </w:pPr>
    </w:p>
    <w:p>
      <w:pPr>
        <w:ind w:left="790" w:right="4480" w:hanging="790"/>
        <w:spacing w:after="0" w:line="237" w:lineRule="auto"/>
        <w:tabs>
          <w:tab w:leader="none" w:pos="7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charges represent total interest expensed and capitalized, including and excluding interest on deposits, amortization of capitalized debt expenses, as well as the interest component of rental expense.</w:t>
      </w:r>
    </w:p>
    <w:p>
      <w:pPr>
        <w:spacing w:after="0" w:line="176" w:lineRule="exact"/>
        <w:rPr>
          <w:rFonts w:ascii="Courier New" w:cs="Courier New" w:eastAsia="Courier New" w:hAnsi="Courier New"/>
          <w:sz w:val="15"/>
          <w:szCs w:val="15"/>
          <w:color w:val="auto"/>
        </w:rPr>
      </w:pPr>
    </w:p>
    <w:p>
      <w:pPr>
        <w:ind w:left="790" w:right="4580" w:hanging="790"/>
        <w:spacing w:after="0" w:line="259" w:lineRule="auto"/>
        <w:tabs>
          <w:tab w:leader="none" w:pos="79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ratios of earnings to fixed charges were computed by dividing (x) income from continuing operations before income taxes and effect of change in accounting principal, adjusted for losses and undistributed income of equity investees plus fixed charges by (y) fixed charges.</w:t>
      </w:r>
    </w:p>
    <w:p>
      <w:pPr>
        <w:spacing w:after="0" w:line="162" w:lineRule="exact"/>
        <w:rPr>
          <w:rFonts w:ascii="Courier New" w:cs="Courier New" w:eastAsia="Courier New" w:hAnsi="Courier New"/>
          <w:sz w:val="14"/>
          <w:szCs w:val="14"/>
          <w:color w:val="auto"/>
        </w:rPr>
      </w:pPr>
    </w:p>
    <w:p>
      <w:pPr>
        <w:ind w:left="790" w:right="4580" w:hanging="790"/>
        <w:spacing w:after="0" w:line="237" w:lineRule="auto"/>
        <w:tabs>
          <w:tab w:leader="none" w:pos="7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losses in 2002, 2001 and 1998, the ratio of earnings to fixed charges was less than 1:1. We would have had to have generated additional earnings of $82,057, $41,782 and $32,805, respectively, to achieve a coverage of 1:1.</w:t>
      </w:r>
    </w:p>
    <w:p>
      <w:pPr>
        <w:sectPr>
          <w:pgSz w:w="11900" w:h="16838" w:orient="portrait"/>
          <w:cols w:equalWidth="0" w:num="1">
            <w:col w:w="11450"/>
          </w:cols>
          <w:pgMar w:left="230" w:top="136"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FINANCIAL TABLE OF CONTENTS</w:t>
            </w:r>
          </w:p>
        </w:tc>
        <w:tc>
          <w:tcPr>
            <w:tcW w:w="26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EXHIBIT 13.1</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8"/>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SELECTED CONSOLIDATED FINANCIAL INFORMATION...............................</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FINANCIAL CONDITION AND RESULTS OF OPERATIONS.............................</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REPORT OF MANAGEMENT......................................................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REPORT OF INDEPENDENT CERTIFIED PUBLIC ACCOUNTANTS........................</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70</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CONSOLIDATED FINANCIAL STATEMENTS.........................................</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71</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4"/>
              </w:rPr>
              <w:t>SHAREHOLDER INFORMATION...................................................</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120</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8"/>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55"/>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SELECTED CONSOLIDATED FINANCIAL INFORMATION</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 except share data)</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634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The following tables present selected consolidated financial</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information of Ocwen Financial Corporation and its subsidiaries at the dates and</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for the years indicated. Our historical operations and balance sheet data at and</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for the years ended December 31, 2002, 2001, 2000, 1999, and 1998 have been</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derived from our audited financial statements. We have reclassified certain</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8"/>
              </w:rPr>
              <w:t>amounts included in the 2001, 2000, 1999 and 1998 selected consolidated</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8"/>
              </w:rPr>
              <w:t>financial information to conform to the 2002 presentation. The selected</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financial information should be read in conjunction with, and is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qualified in its entirety by reference to, the information we have provided in</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700" w:type="dxa"/>
            <w:vAlign w:val="bottom"/>
            <w:gridSpan w:val="5"/>
          </w:tcPr>
          <w:p>
            <w:pPr>
              <w:spacing w:after="0"/>
              <w:rPr>
                <w:sz w:val="20"/>
                <w:szCs w:val="20"/>
                <w:color w:val="auto"/>
              </w:rPr>
            </w:pPr>
            <w:r>
              <w:rPr>
                <w:rFonts w:ascii="Courier New" w:cs="Courier New" w:eastAsia="Courier New" w:hAnsi="Courier New"/>
                <w:sz w:val="15"/>
                <w:szCs w:val="15"/>
                <w:color w:val="auto"/>
              </w:rPr>
              <w:t>our Consolidated Financial Statements and the Notes to Consolidated Financial</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Statements on pages 69 to 119.</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gridSpan w:val="4"/>
          </w:tcPr>
          <w:p>
            <w:pPr>
              <w:jc w:val="right"/>
              <w:ind w:right="247"/>
              <w:spacing w:after="0"/>
              <w:rPr>
                <w:sz w:val="20"/>
                <w:szCs w:val="20"/>
                <w:color w:val="auto"/>
              </w:rPr>
            </w:pPr>
            <w:r>
              <w:rPr>
                <w:rFonts w:ascii="Courier New" w:cs="Courier New" w:eastAsia="Courier New" w:hAnsi="Courier New"/>
                <w:sz w:val="15"/>
                <w:szCs w:val="15"/>
                <w:color w:val="auto"/>
              </w:rPr>
              <w:t>At or For the Years Ended December 31,</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260" w:type="dxa"/>
            <w:vAlign w:val="bottom"/>
            <w:gridSpan w:val="7"/>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Balance Sheet Data</w:t>
            </w: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Total assets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$1,222,242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1,711,150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$2,249,420</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$3,281,674</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$3,301,083</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Trading securities, at fair value (2) (3)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58,895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226,249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390,242</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Securities available for sale, at fair value (3)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587,518</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593,347</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Affordable housing properties (2) (4)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15,319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102,069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142,812</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150,989</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144,164</w:t>
            </w:r>
          </w:p>
        </w:tc>
      </w:tr>
      <w:tr>
        <w:trPr>
          <w:trHeight w:val="170"/>
        </w:trPr>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Loans, net (2)</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76,857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185,293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640,052</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1,115,850</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1,434,670</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Match funded assets, net (5)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167,744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174,351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116,987</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157,794</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Investments in unconsolidated entities (6)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37,118</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86,893</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Real estate owned, net (2)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62,039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110,465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146,419</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167,506</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201,551</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Investments in real estate and real estate held for</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sale</w:t>
            </w:r>
          </w:p>
        </w:tc>
        <w:tc>
          <w:tcPr>
            <w:tcW w:w="4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(7)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58,676</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130,314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145,431</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268,241</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36,860</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Advances on loans and loans serviced for others (2)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266,356</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283,183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277,055</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162,548</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108,078</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Mortgage servicing rights (2)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171,611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101,107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51,426</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11,683</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7,060</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853,497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1,270,885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1,666,464</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2,662,232</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2,689,871</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Deposits and escrows (8)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510,956</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730,443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1,258,360</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1,814,647</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2,168,791</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Bonds-match funded agreements (9)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147,071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156,908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107,050</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141,515</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Obligations outstanding under lines of credit (10)....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78,511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84,304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32,933</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187,866</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179,285</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Notes, debentures and other interest-bearing</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5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obligations</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(11)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81,210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160,305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173,330</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317,573</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225,000</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Stockholders' equity (12)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310,718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379,106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503,426</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509,442</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436,376</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Average assets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$1,435,131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$1,983,5841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$3,108,367</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$3,187,683</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$3,574,780</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Average equity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347,092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448,752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495,354</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462,216</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427,512</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Return on average assets:</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Income (loss) before effect of change in accounting</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1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9"/>
              </w:rPr>
              <w:t>principle .........................................</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0.07%</w:t>
            </w:r>
          </w:p>
        </w:tc>
        <w:tc>
          <w:tcPr>
            <w:tcW w:w="56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0.62%</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(0.03)%</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Net income (loss) ....................................</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0.62</w:t>
            </w:r>
          </w:p>
        </w:tc>
        <w:tc>
          <w:tcPr>
            <w:tcW w:w="5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(0.03)</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Return on average equity:</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Income (loss) before effect of change in accounting</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1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9"/>
              </w:rPr>
              <w:t>principle .........................................</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(24.47)</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0.44</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w:t>
            </w:r>
          </w:p>
        </w:tc>
        <w:tc>
          <w:tcPr>
            <w:tcW w:w="5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(0.28)</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Net income (loss) ....................................</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0.44</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w:t>
            </w:r>
          </w:p>
        </w:tc>
        <w:tc>
          <w:tcPr>
            <w:tcW w:w="5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(0.28)</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Average equity to average assets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15.94</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14.50</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11.96</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Net interest spread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4.57</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3.90</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Net interest margin .....................................</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0.82</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w w:val="99"/>
              </w:rPr>
              <w:t>Efficiency ratio (13)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153.59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111.61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78.09</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81.90</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100.12</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Bank regulatory capital ratios at end of period:</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Tangible</w:t>
            </w:r>
          </w:p>
        </w:tc>
        <w:tc>
          <w:tcPr>
            <w:tcW w:w="4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13.83</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10.67</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w:t>
            </w:r>
          </w:p>
        </w:tc>
      </w:tr>
      <w:tr>
        <w:trPr>
          <w:trHeight w:val="170"/>
        </w:trPr>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Core (Leverage)</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13.83</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10.67</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w:t>
            </w:r>
          </w:p>
        </w:tc>
      </w:tr>
      <w:tr>
        <w:trPr>
          <w:trHeight w:val="170"/>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Risk-based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21.71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21.83</w:t>
            </w:r>
          </w:p>
        </w:tc>
        <w:tc>
          <w:tcPr>
            <w:tcW w:w="560" w:type="dxa"/>
            <w:vAlign w:val="bottom"/>
          </w:tcPr>
          <w:p>
            <w:pPr>
              <w:spacing w:after="0"/>
              <w:rPr>
                <w:sz w:val="14"/>
                <w:szCs w:val="14"/>
                <w:color w:val="auto"/>
              </w:rPr>
            </w:pPr>
          </w:p>
        </w:tc>
        <w:tc>
          <w:tcPr>
            <w:tcW w:w="6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19.12</w:t>
            </w:r>
          </w:p>
        </w:tc>
        <w:tc>
          <w:tcPr>
            <w:tcW w:w="5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17.26</w:t>
            </w:r>
          </w:p>
        </w:tc>
      </w:tr>
    </w:tbl>
    <w:p>
      <w:pPr>
        <w:spacing w:after="0" w:line="200" w:lineRule="exact"/>
        <w:rPr>
          <w:sz w:val="20"/>
          <w:szCs w:val="20"/>
          <w:color w:val="auto"/>
        </w:rPr>
      </w:pPr>
    </w:p>
    <w:p>
      <w:pPr>
        <w:sectPr>
          <w:pgSz w:w="11900" w:h="16838" w:orient="portrait"/>
          <w:cols w:equalWidth="0" w:num="1">
            <w:col w:w="11360"/>
          </w:cols>
          <w:pgMar w:left="240" w:top="136" w:right="299" w:bottom="735"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60"/>
          </w:cols>
          <w:pgMar w:left="240" w:top="136" w:right="299" w:bottom="735"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020" w:type="dxa"/>
            <w:vAlign w:val="bottom"/>
            <w:gridSpan w:val="1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gridSpan w:val="4"/>
          </w:tcPr>
          <w:p>
            <w:pPr>
              <w:spacing w:after="0"/>
              <w:rPr>
                <w:sz w:val="20"/>
                <w:szCs w:val="20"/>
                <w:color w:val="auto"/>
              </w:rPr>
            </w:pPr>
            <w:r>
              <w:rPr>
                <w:rFonts w:ascii="Courier New" w:cs="Courier New" w:eastAsia="Courier New" w:hAnsi="Courier New"/>
                <w:sz w:val="15"/>
                <w:szCs w:val="15"/>
                <w:color w:val="auto"/>
              </w:rPr>
              <w:t>Operations Data</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Net income (loss)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19,832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Net interest income (expense) (14) ...........................</w:t>
            </w:r>
          </w:p>
        </w:tc>
        <w:tc>
          <w:tcPr>
            <w:tcW w:w="1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(18,527)</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15,726</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97,682</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122,801</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Provision for loan losses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13,629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15,666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15,177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6,710</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18,509</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Total non-interest income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134,475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173,419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201,979</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140,500</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103,465</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Servicing and other fees (15)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141,991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134,597</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97,080</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76,018</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59,163</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Gain (loss) on interest-earning assets, net (16) ...........</w:t>
            </w:r>
          </w:p>
        </w:tc>
        <w:tc>
          <w:tcPr>
            <w:tcW w:w="1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(3,485)</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17,625</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44,298</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129,988</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Gain (loss) on trading and match funded securities,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9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5"/>
              </w:rPr>
              <w:t>net (3)</w:t>
            </w:r>
          </w:p>
        </w:tc>
        <w:tc>
          <w:tcPr>
            <w:tcW w:w="80" w:type="dxa"/>
            <w:vAlign w:val="bottom"/>
          </w:tcPr>
          <w:p>
            <w:pPr>
              <w:spacing w:after="0"/>
              <w:rPr>
                <w:sz w:val="14"/>
                <w:szCs w:val="14"/>
                <w:color w:val="auto"/>
              </w:rPr>
            </w:pP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7,012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16,330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Impairment charges on securities available for sale (3).....</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(11,597)</w:t>
            </w:r>
          </w:p>
        </w:tc>
        <w:tc>
          <w:tcPr>
            <w:tcW w:w="1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(58,777)</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(129,714)</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Gain (loss) on other non-interest earning assets,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600" w:type="dxa"/>
            <w:vAlign w:val="bottom"/>
          </w:tcPr>
          <w:p>
            <w:pPr>
              <w:ind w:left="340"/>
              <w:spacing w:after="0"/>
              <w:rPr>
                <w:sz w:val="20"/>
                <w:szCs w:val="20"/>
                <w:color w:val="auto"/>
              </w:rPr>
            </w:pPr>
            <w:r>
              <w:rPr>
                <w:rFonts w:ascii="Courier New" w:cs="Courier New" w:eastAsia="Courier New" w:hAnsi="Courier New"/>
                <w:sz w:val="15"/>
                <w:szCs w:val="15"/>
                <w:color w:val="auto"/>
                <w:w w:val="88"/>
              </w:rPr>
              <w:t>net</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1,122</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45,517</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58,693</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17,702</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Net operating gains (losses) on investments in real</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estate</w:t>
            </w:r>
          </w:p>
        </w:tc>
        <w:tc>
          <w:tcPr>
            <w:tcW w:w="4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(18) ..............................................</w:t>
            </w:r>
          </w:p>
        </w:tc>
        <w:tc>
          <w:tcPr>
            <w:tcW w:w="1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27,579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820</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(1,112)</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Amortization of excess of net assets acquired over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purchase price (19)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14,112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3,201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Gain (loss) on repurchase debt (11) ........................</w:t>
            </w:r>
          </w:p>
        </w:tc>
        <w:tc>
          <w:tcPr>
            <w:tcW w:w="1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29,703</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8,474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Equity in income (losses) of investments in unconsolidated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10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4"/>
              </w:rPr>
              <w:t>entities</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9"/>
              </w:rPr>
              <w:t>(6)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(5,249)</w:t>
            </w:r>
          </w:p>
        </w:tc>
        <w:tc>
          <w:tcPr>
            <w:tcW w:w="1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(12,616)</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(7,985)</w:t>
            </w:r>
          </w:p>
        </w:tc>
      </w:tr>
      <w:tr>
        <w:trPr>
          <w:trHeight w:val="339"/>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Total non-interest expense (20) ..............................</w:t>
            </w:r>
          </w:p>
        </w:tc>
        <w:tc>
          <w:tcPr>
            <w:tcW w:w="14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178,089</w:t>
            </w:r>
          </w:p>
        </w:tc>
        <w:tc>
          <w:tcPr>
            <w:tcW w:w="1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182,446</w:t>
            </w:r>
          </w:p>
        </w:tc>
        <w:tc>
          <w:tcPr>
            <w:tcW w:w="1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170,009</w:t>
            </w:r>
          </w:p>
        </w:tc>
        <w:tc>
          <w:tcPr>
            <w:tcW w:w="180" w:type="dxa"/>
            <w:vAlign w:val="bottom"/>
          </w:tcPr>
          <w:p>
            <w:pPr>
              <w:spacing w:after="0"/>
              <w:rPr>
                <w:sz w:val="24"/>
                <w:szCs w:val="2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195,068</w:t>
            </w:r>
          </w:p>
        </w:tc>
        <w:tc>
          <w:tcPr>
            <w:tcW w:w="160" w:type="dxa"/>
            <w:vAlign w:val="bottom"/>
          </w:tcPr>
          <w:p>
            <w:pPr>
              <w:spacing w:after="0"/>
              <w:rPr>
                <w:sz w:val="24"/>
                <w:szCs w:val="2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226,529</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Income tax expense (benefit) (21)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2,983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83,000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18,947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4,099</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(30,699)</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Effect of change in accounting principle (19) ................</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16,166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gridSpan w:val="4"/>
          </w:tcPr>
          <w:p>
            <w:pPr>
              <w:spacing w:after="0"/>
              <w:rPr>
                <w:sz w:val="20"/>
                <w:szCs w:val="20"/>
                <w:color w:val="auto"/>
              </w:rPr>
            </w:pPr>
            <w:r>
              <w:rPr>
                <w:rFonts w:ascii="Courier New" w:cs="Courier New" w:eastAsia="Courier New" w:hAnsi="Courier New"/>
                <w:sz w:val="15"/>
                <w:szCs w:val="15"/>
                <w:color w:val="auto"/>
              </w:rPr>
              <w:t>Earnings (loss) per share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Basic and Diluted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Net income (loss) before effect of accounting change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(0.02)</w:t>
            </w:r>
          </w:p>
        </w:tc>
      </w:tr>
      <w:tr>
        <w:trPr>
          <w:trHeight w:val="170"/>
        </w:trPr>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Effect of change in accounting principle, net of tax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4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Net income (loss)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(0.02)</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1040" w:type="dxa"/>
            <w:vAlign w:val="bottom"/>
            <w:gridSpan w:val="3"/>
          </w:tcPr>
          <w:p>
            <w:pPr>
              <w:ind w:left="340"/>
              <w:spacing w:after="0"/>
              <w:rPr>
                <w:sz w:val="20"/>
                <w:szCs w:val="20"/>
                <w:color w:val="auto"/>
              </w:rPr>
            </w:pPr>
            <w:r>
              <w:rPr>
                <w:rFonts w:ascii="Courier New" w:cs="Courier New" w:eastAsia="Courier New" w:hAnsi="Courier New"/>
                <w:sz w:val="2"/>
                <w:szCs w:val="2"/>
                <w:color w:val="auto"/>
                <w:w w:val="97"/>
              </w:rPr>
              <w:t>Basic ....................................................</w:t>
            </w: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67,321,299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67,227,058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67,427,662</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63,051,015</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60,736,950</w:t>
            </w:r>
          </w:p>
        </w:tc>
      </w:tr>
      <w:tr>
        <w:trPr>
          <w:trHeight w:val="170"/>
        </w:trPr>
        <w:tc>
          <w:tcPr>
            <w:tcW w:w="9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5"/>
              </w:rPr>
              <w:t>Diluted</w:t>
            </w:r>
          </w:p>
        </w:tc>
        <w:tc>
          <w:tcPr>
            <w:tcW w:w="80" w:type="dxa"/>
            <w:vAlign w:val="bottom"/>
          </w:tcPr>
          <w:p>
            <w:pPr>
              <w:spacing w:after="0"/>
              <w:rPr>
                <w:sz w:val="14"/>
                <w:szCs w:val="14"/>
                <w:color w:val="auto"/>
              </w:rPr>
            </w:pP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67,321,299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67,227,058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67,464,043</w:t>
            </w:r>
          </w:p>
        </w:tc>
        <w:tc>
          <w:tcPr>
            <w:tcW w:w="1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63,090,282</w:t>
            </w:r>
          </w:p>
        </w:tc>
        <w:tc>
          <w:tcPr>
            <w:tcW w:w="16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60,736,950</w:t>
            </w:r>
          </w:p>
        </w:tc>
      </w:tr>
      <w:tr>
        <w:trPr>
          <w:trHeight w:val="509"/>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520"/>
          </w:cols>
          <w:pgMar w:left="240" w:top="622" w:right="139" w:bottom="1440" w:gutter="0" w:footer="0" w:header="0"/>
        </w:sectPr>
      </w:pPr>
    </w:p>
    <w:bookmarkStart w:id="30" w:name="page31"/>
    <w:bookmarkEnd w:id="30"/>
    <w:p>
      <w:pPr>
        <w:ind w:left="10"/>
        <w:spacing w:after="0"/>
        <w:rPr>
          <w:sz w:val="20"/>
          <w:szCs w:val="20"/>
          <w:color w:val="auto"/>
        </w:rPr>
      </w:pPr>
      <w:r>
        <w:rPr>
          <w:rFonts w:ascii="Courier New" w:cs="Courier New" w:eastAsia="Courier New" w:hAnsi="Courier New"/>
          <w:sz w:val="15"/>
          <w:szCs w:val="15"/>
          <w:color w:val="auto"/>
        </w:rPr>
        <w:t>SELECTED CONSOLIDATED FINANCIAL INFORMATION</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70" w:hanging="170"/>
        <w:spacing w:after="0"/>
        <w:tabs>
          <w:tab w:leader="none" w:pos="17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 to Selected Consolidated Financial Information</w:t>
      </w:r>
    </w:p>
    <w:p>
      <w:pPr>
        <w:spacing w:after="0" w:line="175" w:lineRule="exact"/>
        <w:rPr>
          <w:sz w:val="20"/>
          <w:szCs w:val="20"/>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we have presented for 1999 and 1998 included our wholly-owned UK subsidiary, Ocwen UK Limited, formerly known as Ocwen UK plc ("Ocwen UK"). Ocwen UK was engaged in the subprime mortgage loan origination and servicing business, began operations on April 24, 1998 and was sold on September 30, 1999. Beginning in 1999, the financial data presented also included Ocwen Asset Investment Corp. ("OAC") which was acquired in October 1999. Previously, we accounted for our investment in OAC and its operating partnership subsidiary, Ocwen Partnership L.P. ("OPLP"), under the equity method.</w:t>
      </w:r>
    </w:p>
    <w:p>
      <w:pPr>
        <w:spacing w:after="0" w:line="178"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late 1999 and early 2000, we ceased conducting the origination and acquisition of loans, real estate owned, investments in real estate, residual and subordinate trading securities and affordable housing properties. Since then, our results reflect the ongoing management and resolution of these assets. At the same time we shifted our focus toward growing fee-based businesses, primarily residential loan servicing and Ocwen Technology Xchange ("OTX"), our technology solutions business. As a result, our investment in mortgage servicing rights and servicing advances has grown, as well as the related residential servicing fees. Additionally, we have incurred losses in the development and marketing of OTX products. Those losses (pre-tax) amounted to $(24,144), $(36,392) and $(33,951) during 2002, 2001 and 2000, respectively. See "Overview of Risks and Related Critical Accounting Policies" and "Results of Operations - Segment Profitability".</w:t>
      </w:r>
    </w:p>
    <w:p>
      <w:pPr>
        <w:spacing w:after="0" w:line="184"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2000 we changed our policy for securities available for sale and match funded securities to account for these securities as trading. For these securities, changes in fair value are reported in income in the period of change. Previously, we accounted for our securities as available for sale, and the unrealized gains and losses for these securities were reported as a separate component of accumulated other comprehensive income in stockholders' equity.</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at December 31, 2002, 2001 and 2000 included $4,458, $49,893 and $93,210, respectively, of affordable housing properties that we have entered into agreements to sell. Although these agreements resulted in the transfer of tax credits and operating results for these properties to the purchaser, they did not qualify as sales for accounting purposes. See "Changes in Financial Condition - Affordable Housing Properties".</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assets at December 31, 1999 and 2000 were comprised solely of securitized loans and securities. Match funded assets at December 31, 2002 and 2001 also included $121,702 and $101,963 of loan servicing advances which were sold but did not qualify as a sale for accounting purposes. We have accounted for these transactions as secured borrowings with pledges of collateral. We acquired the match funded loans as a result of our acquisition of OAC. See "Changes in Financial Condition - Match Funded Assets".</w:t>
      </w:r>
    </w:p>
    <w:p>
      <w:pPr>
        <w:spacing w:after="0" w:line="177" w:lineRule="exact"/>
        <w:rPr>
          <w:rFonts w:ascii="Courier New" w:cs="Courier New" w:eastAsia="Courier New" w:hAnsi="Courier New"/>
          <w:sz w:val="15"/>
          <w:szCs w:val="15"/>
          <w:color w:val="auto"/>
        </w:rPr>
      </w:pPr>
    </w:p>
    <w:p>
      <w:pPr>
        <w:ind w:left="790" w:right="3259" w:hanging="790"/>
        <w:spacing w:after="0" w:line="259" w:lineRule="auto"/>
        <w:tabs>
          <w:tab w:leader="none" w:pos="79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we incurred for 2000 related primarily to our investment in Kensington Group PLC (Kensington) in 1999. Losses for 1999 and 1998 related primarily to our investment in Kensington and our equity investments in OAC and OPLP, before their acquisition in October 1999.</w:t>
      </w:r>
    </w:p>
    <w:p>
      <w:pPr>
        <w:spacing w:after="0" w:line="162" w:lineRule="exact"/>
        <w:rPr>
          <w:rFonts w:ascii="Courier New" w:cs="Courier New" w:eastAsia="Courier New" w:hAnsi="Courier New"/>
          <w:sz w:val="14"/>
          <w:szCs w:val="14"/>
          <w:color w:val="auto"/>
        </w:rPr>
      </w:pPr>
    </w:p>
    <w:p>
      <w:pPr>
        <w:ind w:left="790" w:right="3439" w:hanging="790"/>
        <w:spacing w:after="0" w:line="237"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at December 31, 2002, 2001, 2000 and 1999 included $51,588, $78,544, $75,080 and $252,604, respectively, of properties that we acquired as a result of our acquisition of OAC. See "Changes in Financial Condition - Investments in Real Estate".</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2000, we have been reducing our reliance on brokered certificates of deposit as a source of funding. The amount of such deposits outstanding amounted to $198,248, $484,698 and $968,432 at December 31, 2002, 2001 and 2000 respectively. We plan to maintain non-brokered deposits as a source of funding. See "Banking Operations" and "Liquidity, Commitments and Off-balance Sheet Risks".</w:t>
      </w:r>
    </w:p>
    <w:p>
      <w:pPr>
        <w:spacing w:after="0" w:line="175"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included bonds-match funded agreements we assumed as a result of our acquisition of OAC in 1999. At December 31, 2002 and 2001 the balance also included $106,797 and $91,766, respectively, collateralized by loan servicing advances. See "Changes in Financial Condition - Bonds-Match Funded Agreements".</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1999 included $159,170 of lines of credit we acquired in connection with our acquisition of OAC. During 2000 we paid down these lines significantly as a result of real estate sales. See "Changes in Financial Condition - Obligations Outstanding Under Lines of Credit".</w:t>
      </w:r>
    </w:p>
    <w:p>
      <w:pPr>
        <w:spacing w:after="0" w:line="178" w:lineRule="exact"/>
        <w:rPr>
          <w:rFonts w:ascii="Courier New" w:cs="Courier New" w:eastAsia="Courier New" w:hAnsi="Courier New"/>
          <w:sz w:val="15"/>
          <w:szCs w:val="15"/>
          <w:color w:val="auto"/>
        </w:rPr>
      </w:pPr>
    </w:p>
    <w:p>
      <w:pPr>
        <w:ind w:left="790" w:right="3259" w:hanging="790"/>
        <w:spacing w:after="0" w:line="258" w:lineRule="auto"/>
        <w:tabs>
          <w:tab w:leader="none" w:pos="79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December 31, 1999 included $140,487 of 11.5% Notes we acquired in connection with our acquisition of OAC. During 2000, we repurchased these Notes. During 2002, 2001, 2000 and 1999 we repurchased $77,095, $13,025, $146,755 and $54,150, respectively, of fixed rate debt with high interest rates. See "Changes in Financial Condition - Notes, Debentures and Other Interest-Bearing Obligations".</w:t>
      </w:r>
    </w:p>
    <w:p>
      <w:pPr>
        <w:spacing w:after="0" w:line="158"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includes our issuance of 12,371,750 shares of</w:t>
      </w:r>
    </w:p>
    <w:p>
      <w:pPr>
        <w:sectPr>
          <w:pgSz w:w="11900" w:h="16838" w:orient="portrait"/>
          <w:cols w:equalWidth="0" w:num="1">
            <w:col w:w="10229"/>
          </w:cols>
          <w:pgMar w:left="230" w:top="622" w:right="1440" w:bottom="0" w:gutter="0" w:footer="0" w:header="0"/>
        </w:sectPr>
      </w:pPr>
    </w:p>
    <w:bookmarkStart w:id="31" w:name="page32"/>
    <w:bookmarkEnd w:id="31"/>
    <w:p>
      <w:pPr>
        <w:ind w:left="790" w:right="3359"/>
        <w:spacing w:after="0" w:line="259" w:lineRule="auto"/>
        <w:rPr>
          <w:sz w:val="20"/>
          <w:szCs w:val="20"/>
          <w:color w:val="auto"/>
        </w:rPr>
      </w:pPr>
      <w:r>
        <w:rPr>
          <w:rFonts w:ascii="Courier New" w:cs="Courier New" w:eastAsia="Courier New" w:hAnsi="Courier New"/>
          <w:sz w:val="14"/>
          <w:szCs w:val="14"/>
          <w:color w:val="auto"/>
        </w:rPr>
        <w:t>common stock in the amount of $96,809 in connection with our acquisition of OAC in 1999. We repurchased 1,388,300 shares of common stock for an aggregate of $8,996 and 4,611,700 of common stock shares for an aggregate of $30,691 during 2000 and 1999, respectively.</w:t>
      </w:r>
    </w:p>
    <w:p>
      <w:pPr>
        <w:spacing w:after="0" w:line="163" w:lineRule="exact"/>
        <w:rPr>
          <w:sz w:val="20"/>
          <w:szCs w:val="20"/>
          <w:color w:val="auto"/>
        </w:rPr>
      </w:pPr>
    </w:p>
    <w:p>
      <w:pPr>
        <w:ind w:left="790" w:right="3179" w:hanging="790"/>
        <w:spacing w:after="0" w:line="237" w:lineRule="auto"/>
        <w:tabs>
          <w:tab w:leader="none" w:pos="79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 of net interest income before provision for loan losses and non-interest income.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141" w:right="1440" w:bottom="1440" w:gutter="0" w:footer="0" w:header="0"/>
        </w:sectPr>
      </w:pPr>
    </w:p>
    <w:bookmarkStart w:id="32" w:name="page33"/>
    <w:bookmarkEnd w:id="32"/>
    <w:p>
      <w:pPr>
        <w:ind w:left="10"/>
        <w:spacing w:after="0"/>
        <w:rPr>
          <w:sz w:val="20"/>
          <w:szCs w:val="20"/>
          <w:color w:val="auto"/>
        </w:rPr>
      </w:pPr>
      <w:r>
        <w:rPr>
          <w:rFonts w:ascii="Courier New" w:cs="Courier New" w:eastAsia="Courier New" w:hAnsi="Courier New"/>
          <w:sz w:val="15"/>
          <w:szCs w:val="15"/>
          <w:color w:val="auto"/>
        </w:rPr>
        <w:t>SELECTED CONSOLIDATED FINANCIAL INFORMATION</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790" w:right="3539" w:hanging="790"/>
        <w:spacing w:after="0" w:line="235" w:lineRule="auto"/>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income for 1999 and 1998 included $21,827 and $12,048, respectively, earned by Ocwen UK prior to its sale.</w:t>
      </w:r>
    </w:p>
    <w:p>
      <w:pPr>
        <w:spacing w:after="0" w:line="175" w:lineRule="exact"/>
        <w:rPr>
          <w:rFonts w:ascii="Courier New" w:cs="Courier New" w:eastAsia="Courier New" w:hAnsi="Courier New"/>
          <w:sz w:val="15"/>
          <w:szCs w:val="15"/>
          <w:color w:val="auto"/>
        </w:rPr>
      </w:pPr>
    </w:p>
    <w:p>
      <w:pPr>
        <w:ind w:left="790" w:right="3439" w:hanging="790"/>
        <w:spacing w:after="0" w:line="265" w:lineRule="auto"/>
        <w:tabs>
          <w:tab w:leader="none" w:pos="79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Servicing and other fees earned during 1999 and 1998 included $9,691 and $8,359, respectively, attributed to Ocwen UK prior to its sale.</w:t>
      </w:r>
    </w:p>
    <w:p>
      <w:pPr>
        <w:spacing w:after="0" w:line="158" w:lineRule="exact"/>
        <w:rPr>
          <w:rFonts w:ascii="Courier New" w:cs="Courier New" w:eastAsia="Courier New" w:hAnsi="Courier New"/>
          <w:sz w:val="14"/>
          <w:szCs w:val="14"/>
          <w:color w:val="auto"/>
        </w:rPr>
      </w:pPr>
    </w:p>
    <w:p>
      <w:pPr>
        <w:ind w:left="790" w:right="3259" w:hanging="790"/>
        <w:spacing w:after="0" w:line="238" w:lineRule="auto"/>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recognized $36,804 and $109,601 of net gains in connection with the securitization of loans during 1999 and 1998, respectively. During the third quarter of 1999, we decided to structure future securitizations as financing transactions, thereby precluding our use of gain-on-sale accounting. The gains we earned from loan sales during 1999 and 1998 included $8,940 and $26,331, respectively, from Ocwen UK prior to its sale.</w:t>
      </w:r>
    </w:p>
    <w:p>
      <w:pPr>
        <w:spacing w:after="0" w:line="176"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gains earned in 1999 included a $50,371 gain from the sale of Ocwen UK. Net gains for 2000 included a gain of $20,025 from the sale of our unconsolidated investment in Kensington on November 22, 2000. Kensington was engaged in the subprime mortgage loan origination business in the UK.</w:t>
      </w:r>
    </w:p>
    <w:p>
      <w:pPr>
        <w:spacing w:after="0" w:line="178" w:lineRule="exact"/>
        <w:rPr>
          <w:rFonts w:ascii="Courier New" w:cs="Courier New" w:eastAsia="Courier New" w:hAnsi="Courier New"/>
          <w:sz w:val="15"/>
          <w:szCs w:val="15"/>
          <w:color w:val="auto"/>
        </w:rPr>
      </w:pPr>
    </w:p>
    <w:p>
      <w:pPr>
        <w:ind w:left="790" w:right="3259" w:hanging="790"/>
        <w:spacing w:after="0" w:line="256" w:lineRule="auto"/>
        <w:tabs>
          <w:tab w:leader="none" w:pos="79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2002, 2001 and 2000, and to a lesser extent 1999, included operating income from real estate properties acquired as a result of our acquisition of OAC. Only two properties remain at December 31,</w:t>
      </w:r>
    </w:p>
    <w:p>
      <w:pPr>
        <w:ind w:left="79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2002. Results for 2002, 2001 and 2000 also included equity in earnings related to certain loans acquired during the first quarter of 2000 which we account for as investments in real estate under the equity method. See "Results of Operations - Net Operating Gains on Investments in Real Estate".</w:t>
      </w:r>
    </w:p>
    <w:p>
      <w:pPr>
        <w:spacing w:after="0" w:line="178" w:lineRule="exact"/>
        <w:rPr>
          <w:rFonts w:ascii="Courier New" w:cs="Courier New" w:eastAsia="Courier New" w:hAnsi="Courier New"/>
          <w:sz w:val="14"/>
          <w:szCs w:val="14"/>
          <w:color w:val="auto"/>
        </w:rPr>
      </w:pPr>
    </w:p>
    <w:p>
      <w:pPr>
        <w:ind w:left="790" w:right="3179" w:hanging="790"/>
        <w:spacing w:after="0" w:line="258" w:lineRule="auto"/>
        <w:tabs>
          <w:tab w:leader="none" w:pos="79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adoption of SFAS No. 142 effective January 1, 2002 we reversed the unamortized balance of the excess of net assets acquired over purchase price of $18,333 and recorded $3,333 of impairment charges on goodwill and intangible assets. These amounts have been reported as the effect of a change in accounting principle, net of an income tax benefit of $1,166. See Note 1 to our Consolidated Financial Statements.</w:t>
      </w:r>
    </w:p>
    <w:p>
      <w:pPr>
        <w:spacing w:after="0" w:line="163" w:lineRule="exact"/>
        <w:rPr>
          <w:rFonts w:ascii="Courier New" w:cs="Courier New" w:eastAsia="Courier New" w:hAnsi="Courier New"/>
          <w:sz w:val="14"/>
          <w:szCs w:val="14"/>
          <w:color w:val="auto"/>
        </w:rPr>
      </w:pPr>
    </w:p>
    <w:p>
      <w:pPr>
        <w:ind w:left="790" w:right="3359" w:hanging="790"/>
        <w:spacing w:after="0" w:line="235" w:lineRule="auto"/>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expenses for 1999 and 1998 included $36,114 and $41,277, respectively, attributed to Ocwen UK prior to its sale.</w:t>
      </w:r>
    </w:p>
    <w:p>
      <w:pPr>
        <w:spacing w:after="0" w:line="175"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we recorded for 2001, 2000 and 1999 included $83,000, $17,500 and $2,500, respectively, of net provisions to increase the valuation allowance on prior years' deferred tax assets. No such provision was required for 2002. See "Results of Operations - Income Tax Expense (Benefit)".</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2" w:right="1440" w:bottom="1440" w:gutter="0" w:footer="0" w:header="0"/>
        </w:sectPr>
      </w:pPr>
    </w:p>
    <w:bookmarkStart w:id="33" w:name="page34"/>
    <w:bookmarkEnd w:id="33"/>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The following discussion of our results of operations, consolidated financial condition and capital resources and liquidity should be read in conjunction with our Selected Consolidated Financial Information, Consolidated Financial Statements and the related notes, all included elsewhere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Risks and Related Critical Accounting Policies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For the past several years, we have been undergoing a fundamental transition in the nature of our business. In late 1999 and early 2000, we began the execution of our overall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However, we continued to actively manage and resolve the remaining assets in these segments. As of December 31, 2002, our core and non-core businesses were as follows:</w:t>
      </w:r>
    </w:p>
    <w:p>
      <w:pPr>
        <w:sectPr>
          <w:pgSz w:w="11900" w:h="16838" w:orient="portrait"/>
          <w:cols w:equalWidth="0" w:num="1">
            <w:col w:w="10219"/>
          </w:cols>
          <w:pgMar w:left="240" w:top="627" w:right="1440" w:bottom="1440" w:gutter="0" w:footer="0" w:header="0"/>
        </w:sectPr>
      </w:pP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Core Businesses</w:t>
      </w:r>
    </w:p>
    <w:p>
      <w:pPr>
        <w:ind w:left="780"/>
        <w:spacing w:after="0"/>
        <w:rPr>
          <w:sz w:val="20"/>
          <w:szCs w:val="20"/>
          <w:color w:val="auto"/>
        </w:rPr>
      </w:pPr>
      <w:r>
        <w:rPr>
          <w:rFonts w:ascii="Courier New" w:cs="Courier New" w:eastAsia="Courier New" w:hAnsi="Courier New"/>
          <w:sz w:val="15"/>
          <w:szCs w:val="15"/>
          <w:color w:val="auto"/>
        </w:rPr>
        <w:t>---------------</w:t>
      </w:r>
    </w:p>
    <w:p>
      <w:pPr>
        <w:ind w:left="780"/>
        <w:spacing w:after="0"/>
        <w:rPr>
          <w:sz w:val="20"/>
          <w:szCs w:val="20"/>
          <w:color w:val="auto"/>
        </w:rPr>
      </w:pPr>
      <w:r>
        <w:rPr>
          <w:rFonts w:ascii="Courier New" w:cs="Courier New" w:eastAsia="Courier New" w:hAnsi="Courier New"/>
          <w:sz w:val="15"/>
          <w:szCs w:val="15"/>
          <w:color w:val="auto"/>
        </w:rPr>
        <w:t>Residential Loan Servicing</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Ocwen Technology Xchange ("OTX")</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Ocwen Realty Advisors ("ORA")</w:t>
      </w:r>
    </w:p>
    <w:p>
      <w:pPr>
        <w:ind w:left="780"/>
        <w:spacing w:after="0"/>
        <w:rPr>
          <w:sz w:val="20"/>
          <w:szCs w:val="20"/>
          <w:color w:val="auto"/>
        </w:rPr>
      </w:pPr>
      <w:r>
        <w:rPr>
          <w:rFonts w:ascii="Courier New" w:cs="Courier New" w:eastAsia="Courier New" w:hAnsi="Courier New"/>
          <w:sz w:val="15"/>
          <w:szCs w:val="15"/>
          <w:color w:val="auto"/>
        </w:rPr>
        <w:t>Unsecured Collections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Non-Core Businesses</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Discount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Finance</w:t>
      </w:r>
    </w:p>
    <w:p>
      <w:pPr>
        <w:spacing w:after="0"/>
        <w:rPr>
          <w:sz w:val="20"/>
          <w:szCs w:val="20"/>
          <w:color w:val="auto"/>
        </w:rPr>
      </w:pPr>
      <w:r>
        <w:rPr>
          <w:rFonts w:ascii="Courier New" w:cs="Courier New" w:eastAsia="Courier New" w:hAnsi="Courier New"/>
          <w:sz w:val="15"/>
          <w:szCs w:val="15"/>
          <w:color w:val="auto"/>
        </w:rPr>
        <w:t>Subprime Finance</w:t>
      </w:r>
    </w:p>
    <w:p>
      <w:pPr>
        <w:spacing w:after="0"/>
        <w:rPr>
          <w:sz w:val="20"/>
          <w:szCs w:val="20"/>
          <w:color w:val="auto"/>
        </w:rPr>
      </w:pPr>
      <w:r>
        <w:rPr>
          <w:rFonts w:ascii="Courier New" w:cs="Courier New" w:eastAsia="Courier New" w:hAnsi="Courier New"/>
          <w:sz w:val="15"/>
          <w:szCs w:val="15"/>
          <w:color w:val="auto"/>
        </w:rPr>
        <w:t>Affordable Housing</w:t>
      </w:r>
    </w:p>
    <w:p>
      <w:pPr>
        <w:spacing w:after="0" w:line="174" w:lineRule="exact"/>
        <w:rPr>
          <w:sz w:val="20"/>
          <w:szCs w:val="20"/>
          <w:color w:val="auto"/>
        </w:rPr>
      </w:pPr>
    </w:p>
    <w:p>
      <w:pPr>
        <w:sectPr>
          <w:pgSz w:w="11900" w:h="16838" w:orient="portrait"/>
          <w:cols w:equalWidth="0" w:num="2">
            <w:col w:w="3940" w:space="720"/>
            <w:col w:w="5559"/>
          </w:cols>
          <w:pgMar w:left="240" w:top="627" w:right="1440" w:bottom="1440" w:gutter="0" w:footer="0" w:header="0"/>
          <w:type w:val="continuous"/>
        </w:sect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Additionally, we account for certain items of revenue and expense that are not directly related to a business unit in our Corporate Items and Other segment. Included in our Corporate Items and Other segment is interest income on short-term investments of cash and the related costs of financing these investments, certain unallocated costs of our Technology Services Division, gains and losses on the early retirement of debt and amortization of negative goodwill recorded from the acquisition of OAC.</w:t>
      </w:r>
    </w:p>
    <w:p>
      <w:pPr>
        <w:spacing w:after="0" w:line="177"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Principal Risk Factors. The following is a discussion of the principal risk factors that relate to our businesses and that may affect future results.</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Potential for Inconsistent Earnings. Our corporate strategy focuses on the growth of the servicing of assets owned by others and the development of exportable loan servicing technology for the mortgage and real estate industries Our past financial performance may not be considered a reliable indicator of future performance and historical trends may not be reliable indicators of anticipated results or trends in future periods. In addition, there can be no assurance that we will be able to accomplish our strategic objectives as a result of changes in the nature of our operations over time or that such changes will not have a material adverse effect from time to time or generally on our business, financial condition or results of operations.</w:t>
      </w:r>
    </w:p>
    <w:p>
      <w:pPr>
        <w:spacing w:after="0" w:line="180"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 addition to inconsistency in results caused by our entry into or exit from businesses in recent years, the consistency of our operating results has been and may continue to be significantly affected by inter-period variations in our current operations, including:</w:t>
      </w:r>
    </w:p>
    <w:p>
      <w:pPr>
        <w:spacing w:after="0" w:line="171" w:lineRule="exact"/>
        <w:rPr>
          <w:sz w:val="20"/>
          <w:szCs w:val="20"/>
          <w:color w:val="auto"/>
        </w:rPr>
      </w:pPr>
    </w:p>
    <w:p>
      <w:pPr>
        <w:ind w:left="780" w:hanging="437"/>
        <w:spacing w:after="0"/>
        <w:tabs>
          <w:tab w:leader="none" w:pos="7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servicing rights acquired;</w:t>
      </w:r>
    </w:p>
    <w:p>
      <w:pPr>
        <w:spacing w:after="0" w:line="174" w:lineRule="exact"/>
        <w:rPr>
          <w:rFonts w:ascii="Courier New" w:cs="Courier New" w:eastAsia="Courier New" w:hAnsi="Courier New"/>
          <w:sz w:val="15"/>
          <w:szCs w:val="15"/>
          <w:color w:val="auto"/>
        </w:rPr>
      </w:pPr>
    </w:p>
    <w:p>
      <w:pPr>
        <w:ind w:left="780" w:right="3699" w:hanging="437"/>
        <w:spacing w:after="0" w:line="265" w:lineRule="auto"/>
        <w:tabs>
          <w:tab w:leader="none" w:pos="7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resolutions of discounted loans, particularly large multi-family residential and commercial real estate loans;</w:t>
      </w:r>
    </w:p>
    <w:p>
      <w:pPr>
        <w:spacing w:after="0" w:line="158" w:lineRule="exact"/>
        <w:rPr>
          <w:rFonts w:ascii="Courier New" w:cs="Courier New" w:eastAsia="Courier New" w:hAnsi="Courier New"/>
          <w:sz w:val="14"/>
          <w:szCs w:val="14"/>
          <w:color w:val="auto"/>
        </w:rPr>
      </w:pPr>
    </w:p>
    <w:p>
      <w:pPr>
        <w:ind w:left="780" w:right="3179" w:hanging="437"/>
        <w:spacing w:after="0" w:line="235" w:lineRule="auto"/>
        <w:tabs>
          <w:tab w:leader="none" w:pos="7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us of loans and/or securities acquired from our securitization of loans in prior years.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 addition, our operating results have been significantly affected by certain non-recurring items. Items reported by us in prior periods may not be repeated in future periods, and we may experience substantial inter-period variations in our operating results.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Investment Risks. A component of our previous business strategy in the Residential Discount Loan and Subprime Finance non-core business lines was the acquisition, origination and securitization of residential mortgage loans. We had historically retained subordinate and residual interests in connection with the securitization of our loans and had acquired other residual interests in connection with our acquisition of OAC. The performance of these securities in prior years was negatively impacted by higher than expected prepayment speeds and credit losses experienced on the mortgage loans collateralizing the securities. We have reduced our exposure to loss on these investments by selling most of the portfolio. However, we remain subject to the risk of loss on our remaining securities primarily to the extent that future credit losses exceed expected credit losses.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type w:val="continuous"/>
        </w:sectPr>
      </w:pPr>
    </w:p>
    <w:bookmarkStart w:id="34" w:name="page35"/>
    <w:bookmarkEnd w:id="34"/>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continue to own loans and match funded loans relating to our non-core businesses. We believe that we have established adequate allowances for losses for each of our loans and match funded loans in accordance with generally accepted accounting principles. Future additions to these allowances, in the form of provisions for losses on loans and match funded loans, may be necessary, however, due to changes in economic conditions and the performance of these portfolios. There can be no assurance that we will not determine to further increase our allowances for losses on loans or adjust the carrying value of our real estate owned or other assets. Increases in our provisions for losses on loans would adversely affect our results of operations.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International Operations. We conduct business in the United States, and we have established two software development and servicing operations centers in India. Through a joint venture, we have begun operations in Japan and Taiwan and are exploring additional international opportunities. Our foreign operations are subject to risks beyond those associated with our United States operations, including the following:</w:t>
      </w:r>
    </w:p>
    <w:p>
      <w:pPr>
        <w:spacing w:after="0" w:line="170" w:lineRule="exact"/>
        <w:rPr>
          <w:sz w:val="20"/>
          <w:szCs w:val="20"/>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local regulatory requirements,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trade protection laws,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managing and staffing international operations,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adaptability problems,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enhanced accounting and control expenses,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 of complying with foreign laws,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social, political, labor or economic conditions,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foreign currency exchange rates, and</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limited international experience.</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Although we implement hedging strategies to limit the effects of currency exchange rate fluctuations on our results of operations, there is no assurance that our strategies will achieve their intended purpose. Further, we may be unable to effectively manage the risks listed above in order to realize the benefits of international operations.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Retained Risk of Loans Sold. Historically, we purchased and originated loans that were subsequently pooled and securitized. While we no longer purchase, originate or securitize loans, we retain some degree of risk on substantially all loans sold. If it is later discovered that we breached a representation or warranty made at the time the loans were sold, we may be required to repurchase loans at a price equal to the then outstanding principal balance of the loan and any accrued and unpaid interest thereon. Additionally, we may be required to advance funds to the securitization trusts or to indemnify the trustee or the underwriters of a securitization under specific circumstances.</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Importance of the Chief Executive Officer. William C. Erbey, our Chairman and Chief Executive Officer, has had and will continue to have a significant role in the development and management of our business. The loss of his services could have an adverse effect on us. We do not have an employment agreement with Mr. Erbey, and we currently do not maintain key man life insurance relating to Mr. Erbey or any of our other officers.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Control by Shareholders. As of March 14, 2003, our directors and executive officers and their affiliates collectively owned or controlled 42.03% of our outstanding common stock. This includes 28.30% owned or controlled by our Chairman and Chief Executive Officer, William C. Erbey, and 13.39% owned or controlled by our director and former Chairman, Barry N. Wish. As a result, these shareholders could influence or control virtually all matters requiring shareholder approval, including amendment of our Articles of Incorporation, the approval of mergers or similar transactions and the election of all directors.</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Dependence on Proprietary Information. Our success is in part dependent upon our proprietary information and technology. We rely on a combination of copyright, trade secret and contract protection to establish and protect our proprietary rights in our products and technology. We generally enter into confidentiality agreements with our management and technical staff and limit access to and distribution of our proprietary information. We cannot be sure that we have taken adequate steps to deter misappropriation of our proprietary rights or information. Independent third parties may develop products and technology substantially similar to ours. Although we believe that our products and technology do not infringe any proprietary rights of others, we could be subject to claims of infringement in the future.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565" w:gutter="0" w:footer="0" w:header="0"/>
        </w:sectPr>
      </w:pPr>
    </w:p>
    <w:bookmarkStart w:id="35" w:name="page36"/>
    <w:bookmarkEnd w:id="35"/>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Risks Related to Mortgage Servicing Rights. The primary risk associated with mortgage servicing rights is that they will lose a portion of their value as a result of higher than anticipated prepayments occasioned by declining interest rates or because of higher than anticipated delinquency rates occasioned by deteriorating credit conditions. Both our initial and ongoing valuations and the rate of amortization of mortgage servicing rights are significantly affected by interest rates, prepayment speeds and the payment performance of the underlying loans. In general, the value of mortgage servicing assets is affected by increased mortgage refinance activity which is influenced by changes in borrowers' credit ratings, shifts in value in the housing market and interest rates. While such assets tend to decrease in value as interest rates decrease, they tend to increase in value as interest rates increase. Adverse changes in general economic conditions could have an adverse effect on the value of our servicing rights and could impair our ability to successfully resolve loans. As of December 31, 2002, we held $171,611 of mortgage servicing rights.</w:t>
      </w:r>
    </w:p>
    <w:p>
      <w:pPr>
        <w:spacing w:after="0" w:line="35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acquire servicing rights principally from mortgage origination companies and investment banks. Servicing rights are typically acquired based upon a competitive bidding process. A number of our competitors have access to greater capital resources, which may provide them with a competitive advantage if they seek to increase their market share. Although the market for the acquisition of servicing rights to subprime mortgage loans has grown in recent years, we may be unable to acquire the desired amount and type of servicing rights in future periods. In addition, the volume of servicing rights acquired by us may vary over time resulting in significant inter-period variations in our results of operations.</w:t>
      </w:r>
    </w:p>
    <w:p>
      <w:pPr>
        <w:spacing w:after="0" w:line="180"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In determining the purchase price for servicing rights, management makes assumptions regarding the following, among other things:</w:t>
      </w:r>
    </w:p>
    <w:p>
      <w:pPr>
        <w:spacing w:after="0" w:line="170" w:lineRule="exact"/>
        <w:rPr>
          <w:sz w:val="20"/>
          <w:szCs w:val="20"/>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rates of prepayment and repayment within the pools,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rates of delinquencies and defaults,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cost to service the loans,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of future servicing advances,</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ancillary fee income,</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service and resolve loans successfully, and</w:t>
      </w:r>
    </w:p>
    <w:p>
      <w:pPr>
        <w:spacing w:after="0" w:line="169"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interest rates.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If these assumptions are inaccurate or the bases for the assumptions change, the price we pay for servicing rights may be too high. This could result in reduced revenue or a loss to us. Therefore, our success is highly dependent upon accuracy in our pricing of servicing rights, as well as general economic conditions in the geographic areas in which we service loans.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Risks Related to Financing. Our financing strategy includes the use of leverage. Accordingly, our ability to remain in business and finance our operations rests in part on our ability to borrow money. Our ability to borrow money depends on a variety of factors, including:</w:t>
      </w:r>
    </w:p>
    <w:p>
      <w:pPr>
        <w:spacing w:after="0" w:line="176" w:lineRule="exact"/>
        <w:rPr>
          <w:sz w:val="20"/>
          <w:szCs w:val="20"/>
          <w:color w:val="auto"/>
        </w:rPr>
      </w:pPr>
    </w:p>
    <w:p>
      <w:pPr>
        <w:ind w:left="1220" w:right="3439" w:hanging="436"/>
        <w:spacing w:after="0" w:line="235" w:lineRule="auto"/>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meet our current debt service obligations on our existing debt,</w:t>
      </w:r>
    </w:p>
    <w:p>
      <w:pPr>
        <w:spacing w:after="0" w:line="175" w:lineRule="exact"/>
        <w:rPr>
          <w:rFonts w:ascii="Courier New" w:cs="Courier New" w:eastAsia="Courier New" w:hAnsi="Courier New"/>
          <w:sz w:val="15"/>
          <w:szCs w:val="15"/>
          <w:color w:val="auto"/>
        </w:rPr>
      </w:pPr>
    </w:p>
    <w:p>
      <w:pPr>
        <w:ind w:left="1220" w:right="3179" w:hanging="436"/>
        <w:spacing w:after="0" w:line="237" w:lineRule="auto"/>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corporate credit rating as evaluated from time to time by rating agencies and the occasion of any changes to their published ratings,</w:t>
      </w:r>
    </w:p>
    <w:p>
      <w:pPr>
        <w:spacing w:after="0" w:line="174" w:lineRule="exact"/>
        <w:rPr>
          <w:rFonts w:ascii="Courier New" w:cs="Courier New" w:eastAsia="Courier New" w:hAnsi="Courier New"/>
          <w:sz w:val="15"/>
          <w:szCs w:val="15"/>
          <w:color w:val="auto"/>
        </w:rPr>
      </w:pPr>
    </w:p>
    <w:p>
      <w:pPr>
        <w:ind w:left="1220" w:right="3539" w:hanging="436"/>
        <w:spacing w:after="0" w:line="235" w:lineRule="auto"/>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performance and the perception that existing and potential lenders have of our financial strength,</w:t>
      </w:r>
    </w:p>
    <w:p>
      <w:pPr>
        <w:spacing w:after="0" w:line="170"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compete with other banks for deposits,</w:t>
      </w:r>
    </w:p>
    <w:p>
      <w:pPr>
        <w:spacing w:after="0" w:line="174" w:lineRule="exact"/>
        <w:rPr>
          <w:rFonts w:ascii="Courier New" w:cs="Courier New" w:eastAsia="Courier New" w:hAnsi="Courier New"/>
          <w:sz w:val="15"/>
          <w:szCs w:val="15"/>
          <w:color w:val="auto"/>
        </w:rPr>
      </w:pPr>
    </w:p>
    <w:p>
      <w:pPr>
        <w:ind w:left="1220" w:right="3359" w:hanging="436"/>
        <w:spacing w:after="0" w:line="237" w:lineRule="auto"/>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imposed on us by regulatory agencies and/or existing lending agreements that limit our ability to raise additional debt, and</w:t>
      </w:r>
    </w:p>
    <w:p>
      <w:pPr>
        <w:spacing w:after="0" w:line="174" w:lineRule="exact"/>
        <w:rPr>
          <w:rFonts w:ascii="Courier New" w:cs="Courier New" w:eastAsia="Courier New" w:hAnsi="Courier New"/>
          <w:sz w:val="15"/>
          <w:szCs w:val="15"/>
          <w:color w:val="auto"/>
        </w:rPr>
      </w:pPr>
    </w:p>
    <w:p>
      <w:pPr>
        <w:ind w:left="1220" w:right="3799" w:hanging="436"/>
        <w:spacing w:after="0" w:line="235" w:lineRule="auto"/>
        <w:tabs>
          <w:tab w:leader="none" w:pos="12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and the impact they have on the availability of credit.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 event of default, a negative ratings action by a rating agency, the perception of financial weakness resulting from continuing operating losses, a material increase in the cost of competing for deposits, an action by a regulatory authority or a restriction imposed on us as a function of a debt covenant that serves to limit our ability to borrow money, or a general deterioration in the economy that constricts the availability of credit may increase our cost of funds and make it difficult for us to renew existing credit facilities and obtain new lines of credit.</w:t>
      </w:r>
    </w:p>
    <w:p>
      <w:pPr>
        <w:spacing w:after="0" w:line="178"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Risks Associated with Technology. The software industry is characterized by rapid change and uncertainty due to new and emerging technologies. OTX's ability to grow is dependent upon its ability to develop and introduce new products and enhance existing products to satisfy consumer demand</w:t>
      </w:r>
    </w:p>
    <w:p>
      <w:pPr>
        <w:sectPr>
          <w:pgSz w:w="11900" w:h="16838" w:orient="portrait"/>
          <w:cols w:equalWidth="0" w:num="1">
            <w:col w:w="10219"/>
          </w:cols>
          <w:pgMar w:left="240" w:top="627" w:right="1440" w:bottom="0" w:gutter="0" w:footer="0" w:header="0"/>
        </w:sectPr>
      </w:pPr>
    </w:p>
    <w:bookmarkStart w:id="36" w:name="page37"/>
    <w:bookmarkEnd w:id="36"/>
    <w:p>
      <w:pPr>
        <w:ind w:right="3179"/>
        <w:spacing w:after="0" w:line="235" w:lineRule="auto"/>
        <w:rPr>
          <w:sz w:val="20"/>
          <w:szCs w:val="20"/>
          <w:color w:val="auto"/>
        </w:rPr>
      </w:pPr>
      <w:r>
        <w:rPr>
          <w:rFonts w:ascii="Courier New" w:cs="Courier New" w:eastAsia="Courier New" w:hAnsi="Courier New"/>
          <w:sz w:val="15"/>
          <w:szCs w:val="15"/>
          <w:color w:val="auto"/>
        </w:rPr>
        <w:t>for new technologies. Because the pace of change continues to accelerate and new opportunities for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41" w:right="1440" w:bottom="1440" w:gutter="0" w:footer="0" w:header="0"/>
        </w:sectPr>
      </w:pPr>
    </w:p>
    <w:bookmarkStart w:id="37" w:name="page38"/>
    <w:bookmarkEnd w:id="37"/>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competitors arise, OTX's business planning is subject to substantial uncertainty. If we do not successfully identify new product opportunities and develop and bring new products to market in a timely and efficient manner, our OTX business will suffer. New platforms and products may gain popularity with customers, vendors and loan originators, reducing or eliminating the potential for OTX's future revenue.</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There is fierce competition in the software industry; however, our OTX products compete in a limited market. While we believe REALServicing, REALTrans and REALSynergy each present greater functionality and a better value than competing products in the market, our products may not realize any competitive advantage. Competitors may arrive at a technology that creates a new market altogether and renders our product offerings obsolete. We may not be successful in introducing the products to the market on a commercial basis or in translating the products' business, marketing and pricing models into revenue sufficient to produce net income.</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software industry is inherently complex. New products and product enhancements can require long development and testing periods. While we believe OTX's products are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OTX may experience future difficulties that could delay or prevent the successful development, introduction or marketing of its products. Further, our products and product enhancements may not meet the requirements of the marketplace and achieve market acceptance. If OTX is unable to develop and introduce products of acceptable quality in a timely manner in response to changing market conditions or customer requirements, our business could be adversely affected.</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Critical Accounting Policies. Our strategies to exit non-core businesses and grow core businesses are affected by risks in the marketplace. Further, our ability to measure and report our operating results and financial position is heavily influenced by the need to estimate the impact or outcome of these risks or other future events. Our critical accounting policies are those that relate to the estimation and measurement of these risks; an understanding of these policies is fundamental to understanding Management's Discussion and Analysis of Results of Operations and Financial Condition. Our significant accounting policies are discussed in detail in Note 1 of our Consolidated Financial Statements (which are incorporated herein by reference). The following is a summary of our more subjective and complex accounting policies, as they relate to our overall business strategy.</w:t>
      </w:r>
    </w:p>
    <w:p>
      <w:pPr>
        <w:spacing w:after="0" w:line="182"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Our exit from our capital intensive discount loan, real estate and affordable housing businesses is largely focused on the orderly disposition or resolution of the assets associated with these lines of business. The critical accounting policies that affect the measurement of these businesses are those that determine the valuation of real estate and affordable housing assets as well as the determination of the allowance for loan losses.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Real estate-related assets include real estate owned, investments in real estate and investments in affordable housing properties. These assets are carried at different bases by asset class and at different amounts within each asset class. In addition, all of these assets are subject to ongoing impairment tests using various impairment methodologies that differ by asset class. In general, none of the assets have readily determinable fair values based on quoted market prices. In certain cases, we utilize appraisals or other market value estimates, in conjunction with estimates of completion costs or costs of disposition, to determine asset values. In other cases, we value these assets based on analyses of future cash flows. These cash flow analyses involve assumptions such as discount rates, anticipated rents received, etc. that are highly subject to management judgment and estimation. Our task of estimation is even more challenging given the current risks in the economic environment, which can result in material and sometimes rapid changes in valuation estimates. Individual assumptions between and within asset classes can vary significantly, with variances in assumptions resulting in substantially different asset values.</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allowance for loan losses is established and maintained at levels we deem adequate to cover losses resulting from the inability of borrowers to make contractually required loan payments. Estimates for loan losses are developed by analyzing historical loan losses, current trends in delinquencies and charge offs, plans for problem loan administration and resolution, the views of our regulators, changes in the size and composition of the loan portfolio, and peer group information. Where there is a question as to the impairment of specific loans, we obtain valuations of the property or other collateral securing the loan, and, if applicable, the borrower's current financial information. We also include in our estimates of inherent probable loan losses the impact of economic events, the outcome of which are uncertain. These events may include, but are not limited to, deterioration in general economic conditions, increases or decreases in overall lending rates, political conditions, legislation that directly and indirectly affects the banking industry, and regional economic conditions affecting specific geographical areas in which we conduct business.</w:t>
      </w:r>
    </w:p>
    <w:p>
      <w:pPr>
        <w:spacing w:after="0" w:line="186"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Our most significant area of growth during the past year has been our residential loan servicing business, with increased transaction volumes during the past two years. Inherent in our growth of this business has been an increase in purchased mortgage servicing rights, an intangible asset representing the present value of the right to service loans in a portfolio. Therefore, the most</w:t>
      </w:r>
    </w:p>
    <w:p>
      <w:pPr>
        <w:sectPr>
          <w:pgSz w:w="11900" w:h="16838" w:orient="portrait"/>
          <w:cols w:equalWidth="0" w:num="1">
            <w:col w:w="10219"/>
          </w:cols>
          <w:pgMar w:left="240" w:top="627"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critical</w:t>
      </w:r>
    </w:p>
    <w:p>
      <w:pPr>
        <w:spacing w:after="0" w:line="169"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136" w:right="1440" w:bottom="1440" w:gutter="0" w:footer="0" w:header="0"/>
        </w:sectPr>
      </w:pPr>
    </w:p>
    <w:bookmarkStart w:id="39" w:name="page40"/>
    <w:bookmarkEnd w:id="39"/>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accounting policy for this business line is the methodology we use to determine the value of mortgage servicing rights. Application of this methodology requires the development of a number of estimates, including anticipated amortization and periodic revaluation. Both our initial and ongoing valuations and the rate of amortization of mortgage servicing rights are significantly affected by interest rates, prepayment speeds and the payment performance of the underlying loans. In general, during periods of declining interest rates, the value of mortgage servicing assets declines due to increasing prepayments attributable to increased mortgage refinance activity. 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w:t>
      </w:r>
    </w:p>
    <w:p>
      <w:pPr>
        <w:spacing w:after="0" w:line="18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Our other significant core business line is OTX, our technology solutions business. At December 31, 2001 we had goodwill and intellectual property recorded as a result of the acquisitions of three predecessor technology companies, as well as capitalized software development costs for the period of early development, which ended in 1999. These assets are subject to periodic impairment tests, under which the determination of realization is dependent upon projected future income. The realizability of these assets is based primarily on product-by-product projections of future income, which involve a comparison of the projected undiscounted cash flows of the underlying software products to the carrying amounts of the assets. Effective January 1, 2002 we adopted Statement of Financial Accounting Standards ("SFAS") No. 142, Goodwill and Other Intangibles. SFAS 142 prescribed a new methodology for performing the impairment analyses for goodwill and other intangibles, which is an approach based on fair value of the assets rather than undiscounted cash flows as used prior to adoption. The determination of market discount rates that are used in such an analysis is also subjective and may vary by product based on the type of product, stage of development and sales to date. As a result of our analysis of goodwill and tangible assets using the methodology prescribed by SFAS No. 142, we recorded impairment charges of $3,333 concurrent with our adoption of SFAS No. 142. This impairment was reported as part of the effect of a change in accounting principle, net of a tax benefit of $1,166. In addition, we conducted further impairment tests of goodwill at the end of 2002, which resulted in our recording additional impairment of $2,231.</w:t>
      </w:r>
    </w:p>
    <w:p>
      <w:pPr>
        <w:spacing w:after="0" w:line="34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Another accounting policy that requires the use of estimates and the application of judgment is the determination of our overall tax provision and evaluating the realizability of the gross deferred tax assets in the near term. During 2001 we recorded an $83,000 provision to increase the valuation allowance on our prior years' deferred tax assets. During 2002, we provided an additional valuation allowance equal to the amount of any deferred tax assets recorded during the year. As of December 31, 2002, our remaining net deferred tax asset amounted to $8,387. The evaluation of the need for a valuation allowance takes into consideration our recent earnings history, current tax position and estimates of taxable income in the near term. The tax character (ordinary versus capital) and the carryforward periods of certain tax attributes (e.g., capital losses and tax credits) must also be considered. Significant judgment is required in considering the relative impact of negative and positive evidence related to realizability of the deferred tax assets. The determination of the amount of the aggregate valuation allowance is based on scenario analyses of the projected results of operations by line of business resulting in a range of potential valuation allowances, within which a final amount is determined.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Banking Operations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Ocwen Federal Bank FSB ("the Bank"), a wholly owned subsidiary, is a federally chartered savings bank. As such, it is subject to regulation, examination and supervision by the Office of Thrift Supervision ("OTS") and the Federal Deposit Insurance Corporation ("FDIC").</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operate one bank branch in Fort Lee, New Jersey. This location, which provides most of our retail banking services, is primarily focused on the issuance of retail certificates of deposit that serve as a supplementary source of financing for us. We do not conduct loan origination activities in the Fort Lee branch. In prior years, we had also issued brokered certificates of deposit from our offices in West Palm Beach, Florida. However, we ceased the issuance of brokered deposits in the summer of 2000 and have since paid off our maturing brokered deposits as they have come due.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currently operate several of our core businesses primarily in the Bank: Residential Loan Servicing, ORA and portions of Unsecured Collections. In addition, our non-core Affordable Housing business operates in the Bank, as does a portion of our non-core Commercial Finance business. Despite the reduction in our reliance on brokered certificates of deposit as a funding source, the retail deposits issued by our banking operation continue to provide an important source of financing for these business activities. See "Liquidity, Commitments and Off-Balance Sheet Risks" for additional discussion of brokered and non-brokered deposits as a source of funding.</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have an active ongoing dialogue with the OTS regarding our various businesses and business plans, and we continue to be subject to a number of restrictions with respect to our future operations. Following the completion of the annual safety and soundness examination of the OTS in 2000, we submitted a written business plan and budget to the OTS regarding our plans for the business, primarily that of the Bank, over the next several years. The primary focus of that plan was the reduction in our non-core business activities and the</w:t>
      </w:r>
    </w:p>
    <w:p>
      <w:pPr>
        <w:sectPr>
          <w:pgSz w:w="11900" w:h="16838" w:orient="portrait"/>
          <w:cols w:equalWidth="0" w:num="1">
            <w:col w:w="10219"/>
          </w:cols>
          <w:pgMar w:left="240" w:top="627" w:right="1440" w:bottom="0" w:gutter="0" w:footer="0" w:header="0"/>
        </w:sectPr>
      </w:pPr>
    </w:p>
    <w:bookmarkStart w:id="40" w:name="page41"/>
    <w:bookmarkEnd w:id="40"/>
    <w:p>
      <w:pPr>
        <w:ind w:right="3799"/>
        <w:spacing w:after="0" w:line="235" w:lineRule="auto"/>
        <w:rPr>
          <w:sz w:val="20"/>
          <w:szCs w:val="20"/>
          <w:color w:val="auto"/>
        </w:rPr>
      </w:pPr>
      <w:r>
        <w:rPr>
          <w:rFonts w:ascii="Courier New" w:cs="Courier New" w:eastAsia="Courier New" w:hAnsi="Courier New"/>
          <w:sz w:val="15"/>
          <w:szCs w:val="15"/>
          <w:color w:val="auto"/>
        </w:rPr>
        <w:t>reduction of our deposit liabilities and long-term debt obligations as we focused on the growth of our fee-based business activities.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42" w:right="1440" w:bottom="1440" w:gutter="0" w:footer="0" w:header="0"/>
        </w:sectPr>
      </w:pPr>
    </w:p>
    <w:bookmarkStart w:id="41" w:name="page42"/>
    <w:bookmarkEnd w:id="41"/>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initial plan was approved by the OTS in February 2001. Since that time, we submitted a revised plan to the OTS in April of 2002. Based on discussions with the OTS regarding the revised plan, we have committed to maintain our investment in mortgage servicing rights at approximately 60% of core capital (before any deduction thereto for servicing rights) at the Bank and 50% of stockholders' equity on a consolidated basis. We regularly review actual results as compared to our plan with the OTS on a less formal basis. At this time, we remain substantially in compliance with the plan as modified over time.</w:t>
      </w:r>
    </w:p>
    <w:p>
      <w:pPr>
        <w:spacing w:after="0" w:line="167" w:lineRule="exact"/>
        <w:rPr>
          <w:sz w:val="20"/>
          <w:szCs w:val="20"/>
          <w:color w:val="auto"/>
        </w:rPr>
      </w:pPr>
    </w:p>
    <w:p>
      <w:pPr>
        <w:jc w:val="both"/>
        <w:ind w:right="3259" w:firstLine="793"/>
        <w:spacing w:after="0" w:line="237" w:lineRule="auto"/>
        <w:rPr>
          <w:sz w:val="20"/>
          <w:szCs w:val="20"/>
          <w:color w:val="auto"/>
        </w:rPr>
      </w:pPr>
      <w:r>
        <w:rPr>
          <w:rFonts w:ascii="Courier New" w:cs="Courier New" w:eastAsia="Courier New" w:hAnsi="Courier New"/>
          <w:sz w:val="15"/>
          <w:szCs w:val="15"/>
          <w:color w:val="auto"/>
        </w:rPr>
        <w:t>Although the plan is consistent with our current operating strategies, future compliance is subject to the uncertainties and risks associated with our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Workforce and Operational Capacity</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As of December 31, 2002, we had a total of 1,871 employees, of which 1,028 were in our United States facilities and 843 were in our India operations centers. We have developed our India operations centers over the past two years in order to benefit from the cost savings opportunities and quality workforce available in that country.</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which had 474 employees as of December 31, 2002, and our operations center in Orlando, which had 534 staff members as of December 31, 2002. Our Orlando facility has the capacity to house 950 employees on a single shift. In addition, we had 20 employees at various other locations in the United States. At this time, we estimate that we will experience a modest reduction of our staff in the United States during 2003.</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843 members of the staff in India as of December 31, 2002, 566 were in Bangalore and 277 were in Mumbai. Our India workforce can be summarized by business as follows:</w:t>
      </w:r>
    </w:p>
    <w:p>
      <w:pPr>
        <w:spacing w:after="0" w:line="176" w:lineRule="exact"/>
        <w:rPr>
          <w:sz w:val="20"/>
          <w:szCs w:val="20"/>
          <w:color w:val="auto"/>
        </w:rPr>
      </w:pPr>
    </w:p>
    <w:p>
      <w:pPr>
        <w:ind w:left="780" w:right="3799" w:hanging="437"/>
        <w:spacing w:after="0" w:line="235" w:lineRule="auto"/>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 are engaged in activities for our Residential Loan Servicing business,</w:t>
      </w:r>
    </w:p>
    <w:p>
      <w:pPr>
        <w:spacing w:after="0" w:line="170"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support OTX and Technology Services,</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work in various other business units, and</w:t>
      </w:r>
    </w:p>
    <w:p>
      <w:pPr>
        <w:spacing w:after="0" w:line="174" w:lineRule="exact"/>
        <w:rPr>
          <w:rFonts w:ascii="Courier New" w:cs="Courier New" w:eastAsia="Courier New" w:hAnsi="Courier New"/>
          <w:sz w:val="15"/>
          <w:szCs w:val="15"/>
          <w:color w:val="auto"/>
        </w:rPr>
      </w:pPr>
    </w:p>
    <w:p>
      <w:pPr>
        <w:ind w:left="780" w:right="3359" w:hanging="437"/>
        <w:spacing w:after="0" w:line="235" w:lineRule="auto"/>
        <w:tabs>
          <w:tab w:leader="none" w:pos="7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represent various support functions, including Human Resources and Corporate Services, Accounting and Risk Management.</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project additional growth in our India staff during 2003. The extent of this growth is dependent upon the growth of several of our new business initiatives, primarily Global Outsourcing. Global Outsourcing is a developing new business focused on providing business process outsourcing services to third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General. We recorded a net loss of $(68,775) for 2002, as compared to a net loss of ($124,782) for 2001 and net income of $2,192 for 2000. Our loss per share was $(1.02) for 2002, as compared with $(1.86) for 2001 and earnings per share of $0.03 for 2000. As discussed in "Overview of Risks and Related Critical Accounting Policies", during 2002 we continued our transition in business strategy from non-core businesses to core businesses.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Among the significant factors contributing to the decrease in our net loss between 2002 and 2001 was a decrease in income tax expense from $83,000 to $2,983. This decline in expense occurred because we determined during 2002 that we did not need to provide for an increase in the valuation allowance on prior years' deferred tax assets. In 2001, however, we recorded an $83,000 increase in the valuation allowance for this purpose. The $83,000 recorded in 2001 for this purpose compares to $17,500 recorded in 2000 and is a principal factor in the decrease in net income (loss) between these years. Increases in servicing and other fees, decreases in net interest income (expense), declines in gain (loss) on other interest-bearing assets and lower net operating gains (losses) our investments in real estate are all consequences of our change in business strategy. These changes in our operating results for the past three years reflect significant transaction volume growth in our residential loan servicing businesses, continued investment in the development of our technology products, cessation of loan origination and acquisition activities, continuing sales of those assets not associated with our core business segments, our acquisition of OAC in 1999 and our final exit from our UK operations in 2000. We discuss these changes in greater detail in our review of segment profitability, which follows.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42" w:name="page43"/>
    <w:bookmarkEnd w:id="42"/>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Segment Profitability. In general, we have ceased conducting any new business activities related to our non-core businesses, although we are actively engaged in the sale or other resolution of the remaining non-core assets. These assets are comprised of loans, real estate owned (REO), investments in real estate, securities held in our residual and subordinate trading portfolio and affordable housing properties. As of December 31, 2002, we held $250,230 of non-core assets, compared to $593,199 and $1,178,944 of non-core assets at December 31, 2001 and 2000, respectively. The combined pre-tax results of our core business segments improved significantly in both 2002 and 2001. Pre-tax operating results of our non-core segments have declined on a combined basis during the past two years largely because of impairment charges and increased reserve levels on commercial and affordable housing assets. Losses in our Corporate Items segment have increased in the past two years largely due to nonrecurring gains in earlier periods, decreases in interest income on corporate assets and increased corporate expenses in 2002.</w:t>
      </w:r>
    </w:p>
    <w:p>
      <w:pPr>
        <w:spacing w:after="0" w:line="18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The following tables present the pre-tax income (loss) and total assets for each of our reportable segments at and for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Pre-Tax Income (Loss)</w:t>
            </w:r>
          </w:p>
        </w:tc>
        <w:tc>
          <w:tcPr>
            <w:tcW w:w="8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3420" w:type="dxa"/>
            <w:vAlign w:val="bottom"/>
          </w:tcPr>
          <w:p>
            <w:pPr>
              <w:spacing w:after="0"/>
              <w:rPr>
                <w:sz w:val="14"/>
                <w:szCs w:val="14"/>
                <w:color w:val="auto"/>
              </w:rPr>
            </w:pPr>
          </w:p>
        </w:tc>
        <w:tc>
          <w:tcPr>
            <w:tcW w:w="35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22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Core businesses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 Servicing.......</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19,188</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OTX..............................</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(24,144)</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(36,392)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(33,951)</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Ocwen Realty Advisors............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2,597</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Unsecured Collections............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4,006</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(14,398)</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14,433</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(5,877)</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(29,247)</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Residential Discount Loans.......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763</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(4,002)</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21,140</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Finance...............</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(51,947)</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(21,014)</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17,178</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Affordable Housing...............</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(31,521)</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(29,917)</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(23,664)</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Subprime Finance.................</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14,536</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13,155</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(24,519)</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(68,169)</w:t>
            </w: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(41,778)</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(9,865)</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(28,321)</w:t>
            </w:r>
          </w:p>
        </w:tc>
        <w:tc>
          <w:tcPr>
            <w:tcW w:w="2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5,873</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60,251</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(82,057)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21,139</w:t>
            </w:r>
          </w:p>
        </w:tc>
      </w:tr>
      <w:tr>
        <w:trPr>
          <w:trHeight w:val="170"/>
        </w:trPr>
        <w:tc>
          <w:tcPr>
            <w:tcW w:w="34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Total Assets</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Core businesses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Residential Loan Servicing.....................</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$ 579,114</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$492,561</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OTX............................................</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6,172</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13,231</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Ocwen Realty Advisors..........................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1,351</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Unsecured Collections..........................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586,114</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507,143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Residential Discount Loans.....................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44,833</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117,051</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Commercial Finance.............................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196,269</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364,013</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Affordable Housing.............................</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62,093</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132,724</w:t>
            </w:r>
          </w:p>
        </w:tc>
      </w:tr>
      <w:tr>
        <w:trPr>
          <w:trHeight w:val="170"/>
        </w:trPr>
        <w:tc>
          <w:tcPr>
            <w:tcW w:w="37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80"/>
              </w:rPr>
              <w:t>Subprime Finance...............................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41,949</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82,325</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345,144</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696,113</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81"/>
              </w:rPr>
              <w:t>Corporate Items and Other..........................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290,984</w:t>
            </w:r>
          </w:p>
        </w:tc>
        <w:tc>
          <w:tcPr>
            <w:tcW w:w="26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570,894</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$1,222,242</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$1,711,150</w:t>
            </w:r>
          </w:p>
        </w:tc>
      </w:t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4"/>
                <w:szCs w:val="2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43" w:name="page44"/>
    <w:bookmarkEnd w:id="43"/>
    <w:p>
      <w:pPr>
        <w:ind w:left="10"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4060" w:firstLine="793"/>
        <w:spacing w:after="0" w:line="265" w:lineRule="auto"/>
        <w:rPr>
          <w:sz w:val="20"/>
          <w:szCs w:val="20"/>
          <w:color w:val="auto"/>
        </w:rPr>
      </w:pPr>
      <w:r>
        <w:rPr>
          <w:rFonts w:ascii="Courier New" w:cs="Courier New" w:eastAsia="Courier New" w:hAnsi="Courier New"/>
          <w:sz w:val="14"/>
          <w:szCs w:val="14"/>
          <w:color w:val="auto"/>
        </w:rPr>
        <w:t>The following table summarizes our remaining investment in non-core assets, which are included in the total asset amounts presented above:</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Non-Core Assets</w:t>
            </w:r>
          </w:p>
        </w:tc>
      </w:tr>
      <w:tr>
        <w:trPr>
          <w:trHeight w:val="170"/>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0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80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Residential Discount Loans......................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4,633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$ 56,329</w:t>
            </w: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Commercial Finance..............................</w:t>
            </w:r>
          </w:p>
        </w:tc>
        <w:tc>
          <w:tcPr>
            <w:tcW w:w="4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190,602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356,736</w:t>
            </w: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Affordable Housing (1)..........................</w:t>
            </w:r>
          </w:p>
        </w:tc>
        <w:tc>
          <w:tcPr>
            <w:tcW w:w="4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21,548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119,284</w:t>
            </w:r>
          </w:p>
        </w:tc>
      </w:tr>
      <w:tr>
        <w:trPr>
          <w:trHeight w:val="170"/>
        </w:trPr>
        <w:tc>
          <w:tcPr>
            <w:tcW w:w="4800" w:type="dxa"/>
            <w:vAlign w:val="bottom"/>
          </w:tcPr>
          <w:p>
            <w:pPr>
              <w:ind w:left="340"/>
              <w:spacing w:after="0"/>
              <w:rPr>
                <w:sz w:val="20"/>
                <w:szCs w:val="20"/>
                <w:color w:val="auto"/>
              </w:rPr>
            </w:pPr>
            <w:r>
              <w:rPr>
                <w:rFonts w:ascii="Courier New" w:cs="Courier New" w:eastAsia="Courier New" w:hAnsi="Courier New"/>
                <w:sz w:val="15"/>
                <w:szCs w:val="15"/>
                <w:color w:val="auto"/>
              </w:rPr>
              <w:t>Subprime Finance................................</w:t>
            </w:r>
          </w:p>
        </w:tc>
        <w:tc>
          <w:tcPr>
            <w:tcW w:w="4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33,447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60,850</w:t>
            </w:r>
          </w:p>
        </w:tc>
      </w:tr>
      <w:tr>
        <w:trPr>
          <w:trHeight w:val="170"/>
        </w:trPr>
        <w:tc>
          <w:tcPr>
            <w:tcW w:w="480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250,230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$593,199</w:t>
            </w:r>
          </w:p>
        </w:tc>
      </w:tr>
      <w:tr>
        <w:trPr>
          <w:trHeight w:val="170"/>
        </w:trPr>
        <w:tc>
          <w:tcPr>
            <w:tcW w:w="480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790" w:hanging="790"/>
        <w:spacing w:after="0"/>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2002 and 2001, properties with a carrying value of</w:t>
      </w:r>
    </w:p>
    <w:p>
      <w:pPr>
        <w:spacing w:after="0" w:line="5" w:lineRule="exact"/>
        <w:rPr>
          <w:rFonts w:ascii="Courier New" w:cs="Courier New" w:eastAsia="Courier New" w:hAnsi="Courier New"/>
          <w:sz w:val="15"/>
          <w:szCs w:val="15"/>
          <w:color w:val="auto"/>
        </w:rPr>
      </w:pPr>
    </w:p>
    <w:p>
      <w:pPr>
        <w:ind w:left="790" w:right="38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$4,458 and $49,893, respectively, are subject to sales contracts that have not yet met the accounting criteria for sales treatment.</w:t>
      </w:r>
    </w:p>
    <w:p>
      <w:pPr>
        <w:spacing w:after="0" w:line="176" w:lineRule="exact"/>
        <w:rPr>
          <w:sz w:val="20"/>
          <w:szCs w:val="20"/>
          <w:color w:val="auto"/>
        </w:rPr>
      </w:pPr>
    </w:p>
    <w:p>
      <w:pPr>
        <w:ind w:left="10" w:right="3780" w:firstLine="793"/>
        <w:spacing w:after="0" w:line="235" w:lineRule="auto"/>
        <w:rPr>
          <w:sz w:val="20"/>
          <w:szCs w:val="20"/>
          <w:color w:val="auto"/>
        </w:rPr>
      </w:pPr>
      <w:r>
        <w:rPr>
          <w:rFonts w:ascii="Courier New" w:cs="Courier New" w:eastAsia="Courier New" w:hAnsi="Courier New"/>
          <w:sz w:val="15"/>
          <w:szCs w:val="15"/>
          <w:color w:val="auto"/>
        </w:rPr>
        <w:t>The following is a discussion of the pre-tax income (loss) for each of our reportable business segments.</w:t>
      </w:r>
    </w:p>
    <w:p>
      <w:pPr>
        <w:spacing w:after="0" w:line="176"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Residential Loan Servicing. Through this core business we provide loan servicing, including asset management and resolution services, to third party owners of subprime residential mortgage and "high loan to value" loans for a fee. We acquire the rights to service loans and obtain such rights by purchasing them outright or by entering into sub-servicing contracts. Results for the past three years reflect significant growth in the volume of mortgage loans serviced as shown in the table below.</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 of loans at December 31................................................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336,033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301,344</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164,451</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Unpaid principal balance at December 31....................................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$30,733,677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$21,943,417</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$10,494,684</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Average unpaid principal balance...........................................</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$26,533,826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$15,727,659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$ 9,835,132</w:t>
            </w:r>
          </w:p>
        </w:tc>
      </w:tr>
      <w:tr>
        <w:trPr>
          <w:trHeight w:val="509"/>
        </w:trPr>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56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6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interest expense.......................................................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18,304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16,529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5,756</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Servicing and other fees...................................................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118,250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117,583</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82,020</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69,746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68,383</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59,215</w:t>
            </w:r>
          </w:p>
        </w:tc>
      </w:tr>
      <w:tr>
        <w:trPr>
          <w:trHeight w:val="509"/>
        </w:trPr>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The trend of increasing net interest expense reflects increases in the</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average balance of advances and servicing rights, which do not earn</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interest. See ""Results of Operations - Net interest Income" for</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additional information regarding average balances.</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In spite of the volume growth, pre-tax income declined in 2002 as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compared to 2001 largely because of lower earnings on custodial account</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or float balances as a result of falling short-term interest rates.</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Earnings on float balances would have been approximately $8,900 higher</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w w:val="99"/>
              </w:rPr>
              <w:t>in 2002 as compared to 2001 had the average annual rate earned remained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equal to that of 2001.</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w w:val="99"/>
              </w:rPr>
              <w:t>Non-interest expense increased by only $1,363 or 2% in 2002 as compared</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to 2001 despite the fact that the number of assets we serviced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increased. This in large part reflects reduced labor costs resulting</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from our expanding India operations. At December 31, 2002 we had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w w:val="99"/>
              </w:rPr>
              <w:t>approximately 621 active servicing staff in India as compared to 187 at</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December 31, 2001. Staffing levels in the United States for this</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segment declined by 487 during 2002. Non-interest expense for 2002</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included a provision of $1,000 recorded during the first quarter</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related to the settlement of a class action litigation claim.</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600" w:type="dxa"/>
            <w:vAlign w:val="bottom"/>
          </w:tcPr>
          <w:p>
            <w:pPr>
              <w:spacing w:after="0"/>
              <w:rPr>
                <w:sz w:val="24"/>
                <w:szCs w:val="24"/>
                <w:color w:val="auto"/>
              </w:rPr>
            </w:pPr>
          </w:p>
        </w:tc>
        <w:tc>
          <w:tcPr>
            <w:tcW w:w="6580" w:type="dxa"/>
            <w:vAlign w:val="bottom"/>
          </w:tcPr>
          <w:p>
            <w:pPr>
              <w:ind w:left="2820"/>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750"/>
          </w:cols>
          <w:pgMar w:left="230" w:top="627" w:right="919" w:bottom="1440" w:gutter="0" w:footer="0" w:header="0"/>
        </w:sectPr>
      </w:pPr>
    </w:p>
    <w:bookmarkStart w:id="44" w:name="page45"/>
    <w:bookmarkEnd w:id="44"/>
    <w:p>
      <w:pPr>
        <w:ind w:right="512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OTX. Through this core segment we provide technology solutions for the</w:t>
      </w: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mortgage</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and real estate industries. OTX products include a residential loan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servicing system (REALServicing), a commercial loan servicing system</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(REALSynergy) and an internet-based mortgage loan processing application and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vendor management system (REALTrans). The losses incurred by this segment, which</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began its operations in 1998, are a result of our continuing investment in the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development and marketing of these technology products. The decline in the loss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incurred for 2002 as compared to 2001 is largely the result of ongoing cost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reduction efforts, including expanded use of our India resources.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7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6,522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2,149</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2,424</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30,667</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38,542</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35,655</w:t>
            </w:r>
          </w:p>
        </w:tc>
      </w:tr>
      <w:tr>
        <w:trPr>
          <w:trHeight w:val="50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The $4,373 or 203% increase in non-interest income is primarily the</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result of intercompany revenue for REALServicing totaling $3,490. Also</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contributing to the increase in 2002 was a $1,177 increase in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transaction fees resulting from an increase in REALTrans transaction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volumes.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The $7,875 or 20% decline in non-interest expenses in 2002 as compared</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to 2001 primarily reflects a $7,632 decline in compensation and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employee benefit costs. Non-interest expense for 2002 and 2001 also</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included payments of $1,068 and $3,185, respectively, related to the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w w:val="99"/>
              </w:rPr>
              <w:t>acquisition of a subsidiary in 1997. The payments in 2002 are the final</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payments related to this acquisition.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With the adoption of SFAS No. 142 effective January 1, 2002, we no longer</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amortize goodwill. We are, however, required to test goodwill for impairment at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least annually. As a result of our annual impairment test in 2002, we wrote-off</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the remaining $2,231 balance of goodwill associated with our REALServicing</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product. While we remain positive about the future sales potential of</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REALServicing, given the absence of sales in 2002, we concluded that this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write-off was appropriate under the guidelines of SFAS No. 142.</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740" w:type="dxa"/>
            <w:vAlign w:val="bottom"/>
          </w:tcPr>
          <w:p>
            <w:pPr>
              <w:spacing w:after="0"/>
              <w:rPr>
                <w:sz w:val="24"/>
                <w:szCs w:val="2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Ocwen Realty Advisors. Through ORA we provide residential property</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valuation services, including for those loans that we service for others.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Results for 2002 reflect an improvement in pre-tax profit of $685 or 73% over</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6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24"/>
                <w:szCs w:val="24"/>
                <w:color w:val="auto"/>
              </w:rPr>
            </w:pPr>
          </w:p>
        </w:tc>
        <w:tc>
          <w:tcPr>
            <w:tcW w:w="30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14,080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11,913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12,738</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11,483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10,968</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12,824</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increase profitability reflects two key factors:</w:t>
      </w:r>
    </w:p>
    <w:p>
      <w:pPr>
        <w:spacing w:after="0" w:line="175" w:lineRule="exact"/>
        <w:rPr>
          <w:sz w:val="20"/>
          <w:szCs w:val="20"/>
          <w:color w:val="auto"/>
        </w:rPr>
      </w:pPr>
    </w:p>
    <w:p>
      <w:pPr>
        <w:ind w:left="780" w:right="3980" w:hanging="437"/>
        <w:spacing w:after="0" w:line="235" w:lineRule="auto"/>
        <w:tabs>
          <w:tab w:leader="none" w:pos="7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improved gross margin as valuation expenses declined from 71% of revenues in 2001 to 67% in 2002</w:t>
      </w:r>
    </w:p>
    <w:p>
      <w:pPr>
        <w:spacing w:after="0" w:line="175" w:lineRule="exact"/>
        <w:rPr>
          <w:rFonts w:ascii="Courier New" w:cs="Courier New" w:eastAsia="Courier New" w:hAnsi="Courier New"/>
          <w:sz w:val="15"/>
          <w:szCs w:val="15"/>
          <w:color w:val="auto"/>
        </w:rPr>
      </w:pPr>
    </w:p>
    <w:p>
      <w:pPr>
        <w:ind w:left="780" w:right="4140" w:hanging="437"/>
        <w:spacing w:after="0" w:line="235" w:lineRule="auto"/>
        <w:tabs>
          <w:tab w:leader="none" w:pos="7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21% reduction in other operating costs achieved in part through expanded use of our India locations.</w:t>
      </w:r>
    </w:p>
    <w:p>
      <w:pPr>
        <w:spacing w:after="0" w:line="176" w:lineRule="exact"/>
        <w:rPr>
          <w:sz w:val="20"/>
          <w:szCs w:val="20"/>
          <w:color w:val="auto"/>
        </w:rPr>
      </w:pPr>
    </w:p>
    <w:p>
      <w:pPr>
        <w:ind w:right="3700" w:firstLine="793"/>
        <w:spacing w:after="0" w:line="238" w:lineRule="auto"/>
        <w:rPr>
          <w:sz w:val="20"/>
          <w:szCs w:val="20"/>
          <w:color w:val="auto"/>
        </w:rPr>
      </w:pPr>
      <w:r>
        <w:rPr>
          <w:rFonts w:ascii="Courier New" w:cs="Courier New" w:eastAsia="Courier New" w:hAnsi="Courier New"/>
          <w:sz w:val="15"/>
          <w:szCs w:val="15"/>
          <w:color w:val="auto"/>
        </w:rPr>
        <w:t>Unsecured Collections. This core business conducts collection activities for third party owners of unsecured receivables and for a portfolio of unsecured credit card receivables that we acquired at a discount in 1999 and 2000. We accounted for our collections of our unsecured credit card receivables portfolio under the cost recovery method through the end of 2001, when we reduced the net book value of our unsecured receivables to zero as a result of collections and additional reserves.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6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Provision for loan losses..................................................</w:t>
            </w:r>
          </w:p>
        </w:tc>
        <w:tc>
          <w:tcPr>
            <w:tcW w:w="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6,867</w:t>
            </w: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10,652</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3,058</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1,480</w:t>
            </w: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4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6,925</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7,042</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8,908</w:t>
            </w:r>
          </w:p>
        </w:tc>
      </w:tr>
      <w:tr>
        <w:trPr>
          <w:trHeight w:val="509"/>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 interest income includes the following:</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520" w:type="dxa"/>
            <w:vAlign w:val="bottom"/>
          </w:tcPr>
          <w:p>
            <w:pPr>
              <w:ind w:left="180"/>
              <w:spacing w:after="0"/>
              <w:rPr>
                <w:sz w:val="20"/>
                <w:szCs w:val="20"/>
                <w:color w:val="auto"/>
              </w:rPr>
            </w:pPr>
            <w:r>
              <w:rPr>
                <w:rFonts w:ascii="Courier New" w:cs="Courier New" w:eastAsia="Courier New" w:hAnsi="Courier New"/>
                <w:sz w:val="15"/>
                <w:szCs w:val="15"/>
                <w:color w:val="auto"/>
              </w:rPr>
              <w:t>Collections of $4,191 in 2002 on our unsecured receivable portfolio</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660"/>
          </w:cols>
          <w:pgMar w:left="240" w:top="627" w:right="999" w:bottom="0" w:gutter="0" w:footer="0" w:header="0"/>
        </w:sectPr>
      </w:pPr>
    </w:p>
    <w:bookmarkStart w:id="45" w:name="page46"/>
    <w:bookmarkEnd w:id="45"/>
    <w:p>
      <w:pPr>
        <w:ind w:left="437" w:right="3539" w:hanging="437"/>
        <w:spacing w:after="0" w:line="235" w:lineRule="auto"/>
        <w:tabs>
          <w:tab w:leader="none" w:pos="43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fees of $6,461, $2,500 and $1,485 during 2002, 2001 and 2000, respectively.</w:t>
      </w:r>
    </w:p>
    <w:p>
      <w:pPr>
        <w:spacing w:after="0" w:line="170" w:lineRule="exact"/>
        <w:rPr>
          <w:sz w:val="20"/>
          <w:szCs w:val="20"/>
          <w:color w:val="auto"/>
        </w:rPr>
      </w:pPr>
    </w:p>
    <w:p>
      <w:pPr>
        <w:ind w:left="307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876"/>
          </w:cols>
          <w:pgMar w:left="583" w:top="311" w:right="1440" w:bottom="1440" w:gutter="0" w:footer="0" w:header="0"/>
        </w:sectPr>
      </w:pPr>
    </w:p>
    <w:bookmarkStart w:id="46" w:name="page47"/>
    <w:bookmarkEnd w:id="46"/>
    <w:p>
      <w:pPr>
        <w:ind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Residential Discount Loans. Results for this non-core segment reflect</w:t>
      </w: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the sale</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and resolution of loans and real estate owned as part of our ongoing</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strategy to exit capital-intensive businesses. This segment consisted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operations to acquire at a discount and subsequently resolve sub-performing and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non-performing residential mortgage loans. We completed our last acquisition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residential discount loans in 2000. See "Changes in Financial Condition - Loans,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Net." This business held non-core assets of $4,633 at December 31, 2002</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including $1,246 of loans, $1,838 of real estate owned and $1,549 of subordinate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7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5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interest income after provisions for loan losses.......................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8,367</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9,065</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25,186</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Gain (loss) on interest earning assets, net..............................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(2,720)</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(644)</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15,725</w:t>
            </w: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Gain (loss) on real estate owned, net....................................</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(6,623)</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(11,164)</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5,250</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8,333</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11,771</w:t>
            </w:r>
          </w:p>
        </w:tc>
      </w:tr>
      <w:tr>
        <w:trPr>
          <w:trHeight w:val="50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Net interest income after provision for loan losses has declined</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consistent with the decline in loans and securities as a result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sales, repayments and resolutions.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Gain (loss) on interest earning assets is primarily comprised of gains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(losses) from the sale of loans.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w w:val="99"/>
              </w:rPr>
              <w:t>The number of REO properties held has fallen to 49 at December 31, 2002</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as compared to 380 and 1,287 properties at December 31, 2001 and 2000,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respectively. Gain (loss) on REO, net, included provisions for losses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w w:val="99"/>
              </w:rPr>
              <w:t>in fair value of $1,648, $9,689 and $17,508 during 2002, 2001 and 2000,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respectively. See "Changes in Financial Condition - Real Estate Owned,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40" w:type="dxa"/>
            <w:vAlign w:val="bottom"/>
          </w:tcPr>
          <w:p>
            <w:pPr>
              <w:spacing w:after="0"/>
              <w:rPr>
                <w:sz w:val="24"/>
                <w:szCs w:val="2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Commercial Finance. Results for this non-core segment reflect our</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continuing exit from our loan and real estate businesses. We have not purchased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any commercial assets since 2000. With the exception of loans made to facilitate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the sale of our own assets, we have also not originated any loans since 2000.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See "Changes in Financial Condition - Loans, Net." Since then, this business has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consisted of the management, repositioning, and resolution of the remaining</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non-core assets. At December 31, 2002, the $190,602 of non-core assets remaining</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in this business consisted of 18 loan and real estate assets and an unrated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subordinate security with a fair value of $2,577. These 18 assets consisted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seven loans totaling $69,196, six REO properties totaling $60,153 and five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 real estate totaling $58,676. Of the 18 remaining assets, the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five largest amount to $138,799, or 74%, of the total. While we believe that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additional sales will occur during 2003, it is probable that some properties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will not be sold until 2004 or later.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40" w:type="dxa"/>
            <w:vAlign w:val="bottom"/>
          </w:tcPr>
          <w:p>
            <w:pPr>
              <w:spacing w:after="0"/>
              <w:rPr>
                <w:sz w:val="24"/>
                <w:szCs w:val="24"/>
                <w:color w:val="auto"/>
              </w:rPr>
            </w:pPr>
          </w:p>
        </w:tc>
        <w:tc>
          <w:tcPr>
            <w:tcW w:w="6440" w:type="dxa"/>
            <w:vAlign w:val="bottom"/>
          </w:tcPr>
          <w:p>
            <w:pPr>
              <w:ind w:left="40"/>
              <w:spacing w:after="0"/>
              <w:rPr>
                <w:sz w:val="20"/>
                <w:szCs w:val="20"/>
                <w:color w:val="auto"/>
              </w:rPr>
            </w:pPr>
            <w:r>
              <w:rPr>
                <w:rFonts w:ascii="Courier New" w:cs="Courier New" w:eastAsia="Courier New" w:hAnsi="Courier New"/>
                <w:sz w:val="15"/>
                <w:szCs w:val="15"/>
                <w:color w:val="auto"/>
              </w:rPr>
              <w:t>We regularly assess the value of our remaining assets and provide</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additional loss reserves or impairment charges as appropriate. During 2002, we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recorded a total of $46,126 of impairment charges and loss provisions as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compared to $19,583 in 2001. Combined reserves on our remaining commercial loans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and REO balances at December 31, 2002 amounted to 24% of the book value of such</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assets as compared to 9% at December 31, 2001.</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7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5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interest expenses......................................................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7,627</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8,203</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Provision for loan losses..................................................</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12,814</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7,223</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9,195</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Gain (loss) on interest earning assets, net..............................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(3,487)</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1,210</w:t>
            </w: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(Loss) on real estate owned, net.........................................</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(15,831)</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(2,143)</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(1,869)</w:t>
            </w: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Gain on other non-interest earning assets, net...........................</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22,949</w:t>
            </w:r>
          </w:p>
        </w:tc>
      </w:tr>
      <w:tr>
        <w:trPr>
          <w:trHeight w:val="170"/>
        </w:trPr>
        <w:tc>
          <w:tcPr>
            <w:tcW w:w="7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Net operating gains (losses) on investments in real estate...............</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(8,315)</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5,666</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27,282</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11,636</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13,941</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19,503</w:t>
            </w:r>
          </w:p>
        </w:tc>
      </w:tr>
      <w:tr>
        <w:trPr>
          <w:trHeight w:val="509"/>
        </w:trPr>
        <w:tc>
          <w:tcPr>
            <w:tcW w:w="740" w:type="dxa"/>
            <w:vAlign w:val="bottom"/>
          </w:tcPr>
          <w:p>
            <w:pPr>
              <w:spacing w:after="0"/>
              <w:rPr>
                <w:sz w:val="24"/>
                <w:szCs w:val="24"/>
                <w:color w:val="auto"/>
              </w:rPr>
            </w:pPr>
          </w:p>
        </w:tc>
        <w:tc>
          <w:tcPr>
            <w:tcW w:w="6440" w:type="dxa"/>
            <w:vAlign w:val="bottom"/>
          </w:tcPr>
          <w:p>
            <w:pPr>
              <w:ind w:left="2680"/>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740"/>
          </w:cols>
          <w:pgMar w:left="240" w:top="627" w:right="919" w:bottom="1440" w:gutter="0" w:footer="0" w:header="0"/>
        </w:sectPr>
      </w:pPr>
    </w:p>
    <w:bookmarkStart w:id="47" w:name="page48"/>
    <w:bookmarkEnd w:id="47"/>
    <w:p>
      <w:pPr>
        <w:ind w:left="10"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50" w:right="4060" w:hanging="450"/>
        <w:spacing w:after="0" w:line="260" w:lineRule="auto"/>
        <w:tabs>
          <w:tab w:leader="none" w:pos="4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net interest expense is consistent with the decline in loans as a result of sales, repayments and resolutions as well as the growing proportion of assets in this segment that do not earn interest.</w:t>
      </w:r>
    </w:p>
    <w:p>
      <w:pPr>
        <w:spacing w:after="0" w:line="162" w:lineRule="exact"/>
        <w:rPr>
          <w:rFonts w:ascii="Courier New" w:cs="Courier New" w:eastAsia="Courier New" w:hAnsi="Courier New"/>
          <w:sz w:val="14"/>
          <w:szCs w:val="14"/>
          <w:color w:val="auto"/>
        </w:rPr>
      </w:pPr>
    </w:p>
    <w:p>
      <w:pPr>
        <w:ind w:left="450" w:right="4320" w:hanging="450"/>
        <w:spacing w:after="0" w:line="235"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loan losses also increased in 2002, reflecting the increase in reserves on remaining assets noted earlier.</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on REO included provisions for losses in fair value of $17,945,</w:t>
      </w:r>
    </w:p>
    <w:p>
      <w:pPr>
        <w:spacing w:after="0" w:line="5" w:lineRule="exact"/>
        <w:rPr>
          <w:rFonts w:ascii="Courier New" w:cs="Courier New" w:eastAsia="Courier New" w:hAnsi="Courier New"/>
          <w:sz w:val="15"/>
          <w:szCs w:val="15"/>
          <w:color w:val="auto"/>
        </w:rPr>
      </w:pPr>
    </w:p>
    <w:p>
      <w:pPr>
        <w:ind w:left="450" w:right="3700"/>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$7,845 and $7,761 during 2002, 2001 and 2000, respectively. Reserves on our six remaining commercial REO properties at December 31, 2002 amounted to</w:t>
      </w:r>
    </w:p>
    <w:p>
      <w:pPr>
        <w:ind w:left="450" w:right="37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of book value. This compares to reserve levels of 15% of book value at December 31, 2001.</w:t>
      </w:r>
    </w:p>
    <w:p>
      <w:pPr>
        <w:spacing w:after="0" w:line="175" w:lineRule="exact"/>
        <w:rPr>
          <w:rFonts w:ascii="Courier New" w:cs="Courier New" w:eastAsia="Courier New" w:hAnsi="Courier New"/>
          <w:sz w:val="15"/>
          <w:szCs w:val="15"/>
          <w:color w:val="auto"/>
        </w:rPr>
      </w:pPr>
    </w:p>
    <w:p>
      <w:pPr>
        <w:ind w:left="450" w:right="3700" w:hanging="450"/>
        <w:spacing w:after="0" w:line="258" w:lineRule="auto"/>
        <w:tabs>
          <w:tab w:leader="none" w:pos="4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on other non-interest earning assets earned in 2002 was primarily comprised of $838 of gains resulting from the resolution of loans accounted for as investments in real estate. Gains recorded in 2000 consisted primarily of $20,806 resulting from the sale of four office buildings we had acquired in connection with our acquisition of OAC in 1999.</w:t>
      </w:r>
    </w:p>
    <w:p>
      <w:pPr>
        <w:spacing w:after="0" w:line="164" w:lineRule="exact"/>
        <w:rPr>
          <w:rFonts w:ascii="Courier New" w:cs="Courier New" w:eastAsia="Courier New" w:hAnsi="Courier New"/>
          <w:sz w:val="14"/>
          <w:szCs w:val="14"/>
          <w:color w:val="auto"/>
        </w:rPr>
      </w:pPr>
    </w:p>
    <w:p>
      <w:pPr>
        <w:ind w:left="450" w:right="3700"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sales and impairment charges, net operating gains on investments in real estate have declined. Impairment charges we recorded to reduce our investments in real estate to net realizable value amounted to $15,317, $4,515 and $704 during 2002, 2001 and 2000, respectively. See "Changes in Financial Condition - Investments in Real Estate".</w:t>
      </w:r>
    </w:p>
    <w:p>
      <w:pPr>
        <w:spacing w:after="0" w:line="178" w:lineRule="exact"/>
        <w:rPr>
          <w:rFonts w:ascii="Courier New" w:cs="Courier New" w:eastAsia="Courier New" w:hAnsi="Courier New"/>
          <w:sz w:val="15"/>
          <w:szCs w:val="15"/>
          <w:color w:val="auto"/>
        </w:rPr>
      </w:pPr>
    </w:p>
    <w:p>
      <w:pPr>
        <w:ind w:left="450" w:right="3700"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in 2002 included a provision of $2,250 recorded during the fourth quarter to provide for the settlement of a lawsuit on March 3, 2003. See Note 28 to our Consolidated Financial Statements for additional information regarding this settlement.</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Affordable Housing. Historically, we invested in affordable housing</w:t>
      </w:r>
    </w:p>
    <w:p>
      <w:pPr>
        <w:ind w:left="10"/>
        <w:spacing w:after="0"/>
        <w:rPr>
          <w:sz w:val="20"/>
          <w:szCs w:val="20"/>
          <w:color w:val="auto"/>
        </w:rPr>
      </w:pPr>
      <w:r>
        <w:rPr>
          <w:rFonts w:ascii="Courier New" w:cs="Courier New" w:eastAsia="Courier New" w:hAnsi="Courier New"/>
          <w:sz w:val="15"/>
          <w:szCs w:val="15"/>
          <w:color w:val="auto"/>
        </w:rPr>
        <w:t>properties primarily through a series of limited partnerships. Except to</w:t>
      </w:r>
    </w:p>
    <w:p>
      <w:pPr>
        <w:ind w:left="10"/>
        <w:spacing w:after="0"/>
        <w:rPr>
          <w:sz w:val="20"/>
          <w:szCs w:val="20"/>
          <w:color w:val="auto"/>
        </w:rPr>
      </w:pPr>
      <w:r>
        <w:rPr>
          <w:rFonts w:ascii="Courier New" w:cs="Courier New" w:eastAsia="Courier New" w:hAnsi="Courier New"/>
          <w:sz w:val="15"/>
          <w:szCs w:val="15"/>
          <w:color w:val="auto"/>
        </w:rPr>
        <w:t>complete those projects in which an investment had already been made, we ceased</w:t>
      </w:r>
    </w:p>
    <w:p>
      <w:pPr>
        <w:ind w:left="10"/>
        <w:spacing w:after="0" w:line="238" w:lineRule="auto"/>
        <w:rPr>
          <w:sz w:val="20"/>
          <w:szCs w:val="20"/>
          <w:color w:val="auto"/>
        </w:rPr>
      </w:pPr>
      <w:r>
        <w:rPr>
          <w:rFonts w:ascii="Courier New" w:cs="Courier New" w:eastAsia="Courier New" w:hAnsi="Courier New"/>
          <w:sz w:val="15"/>
          <w:szCs w:val="15"/>
          <w:color w:val="auto"/>
        </w:rPr>
        <w:t>making investments in properties in 2000 as part of our shift in strategy to</w:t>
      </w:r>
    </w:p>
    <w:p>
      <w:pPr>
        <w:ind w:left="10"/>
        <w:spacing w:after="0"/>
        <w:rPr>
          <w:sz w:val="20"/>
          <w:szCs w:val="20"/>
          <w:color w:val="auto"/>
        </w:rPr>
      </w:pPr>
      <w:r>
        <w:rPr>
          <w:rFonts w:ascii="Courier New" w:cs="Courier New" w:eastAsia="Courier New" w:hAnsi="Courier New"/>
          <w:sz w:val="15"/>
          <w:szCs w:val="15"/>
          <w:color w:val="auto"/>
        </w:rPr>
        <w:t>fee-based businesses and because the volume of tax credits being generated was</w:t>
      </w:r>
    </w:p>
    <w:p>
      <w:pPr>
        <w:ind w:left="10"/>
        <w:spacing w:after="0"/>
        <w:rPr>
          <w:sz w:val="20"/>
          <w:szCs w:val="20"/>
          <w:color w:val="auto"/>
        </w:rPr>
      </w:pPr>
      <w:r>
        <w:rPr>
          <w:rFonts w:ascii="Courier New" w:cs="Courier New" w:eastAsia="Courier New" w:hAnsi="Courier New"/>
          <w:sz w:val="15"/>
          <w:szCs w:val="15"/>
          <w:color w:val="auto"/>
        </w:rPr>
        <w:t>exceeding our ability to utilize them effectively. Since that time, we began</w:t>
      </w:r>
    </w:p>
    <w:p>
      <w:pPr>
        <w:ind w:left="10"/>
        <w:spacing w:after="0" w:line="238" w:lineRule="auto"/>
        <w:rPr>
          <w:sz w:val="20"/>
          <w:szCs w:val="20"/>
          <w:color w:val="auto"/>
        </w:rPr>
      </w:pPr>
      <w:r>
        <w:rPr>
          <w:rFonts w:ascii="Courier New" w:cs="Courier New" w:eastAsia="Courier New" w:hAnsi="Courier New"/>
          <w:sz w:val="15"/>
          <w:szCs w:val="15"/>
          <w:color w:val="auto"/>
        </w:rPr>
        <w:t>marketing each of these properties for sale. As a result of sales and increased</w:t>
      </w:r>
    </w:p>
    <w:p>
      <w:pPr>
        <w:ind w:left="10"/>
        <w:spacing w:after="0"/>
        <w:rPr>
          <w:sz w:val="20"/>
          <w:szCs w:val="20"/>
          <w:color w:val="auto"/>
        </w:rPr>
      </w:pPr>
      <w:r>
        <w:rPr>
          <w:rFonts w:ascii="Courier New" w:cs="Courier New" w:eastAsia="Courier New" w:hAnsi="Courier New"/>
          <w:sz w:val="15"/>
          <w:szCs w:val="15"/>
          <w:color w:val="auto"/>
        </w:rPr>
        <w:t>reserve levels, our investment in affordable housing properties had been reduced</w:t>
      </w:r>
    </w:p>
    <w:p>
      <w:pPr>
        <w:ind w:left="10"/>
        <w:spacing w:after="0"/>
        <w:rPr>
          <w:sz w:val="20"/>
          <w:szCs w:val="20"/>
          <w:color w:val="auto"/>
        </w:rPr>
      </w:pPr>
      <w:r>
        <w:rPr>
          <w:rFonts w:ascii="Courier New" w:cs="Courier New" w:eastAsia="Courier New" w:hAnsi="Courier New"/>
          <w:sz w:val="15"/>
          <w:szCs w:val="15"/>
          <w:color w:val="auto"/>
        </w:rPr>
        <w:t>to $15,319 at December 31, 2002 from $102,069 at December 31, 2001. Of the</w:t>
      </w:r>
    </w:p>
    <w:p>
      <w:pPr>
        <w:ind w:left="10"/>
        <w:spacing w:after="0"/>
        <w:rPr>
          <w:sz w:val="20"/>
          <w:szCs w:val="20"/>
          <w:color w:val="auto"/>
        </w:rPr>
      </w:pPr>
      <w:r>
        <w:rPr>
          <w:rFonts w:ascii="Courier New" w:cs="Courier New" w:eastAsia="Courier New" w:hAnsi="Courier New"/>
          <w:sz w:val="15"/>
          <w:szCs w:val="15"/>
          <w:color w:val="auto"/>
        </w:rPr>
        <w:t>remaining balance, $4,458 are subject to sales contracts that have not yet met</w:t>
      </w:r>
    </w:p>
    <w:p>
      <w:pPr>
        <w:ind w:left="10"/>
        <w:spacing w:after="0" w:line="238" w:lineRule="auto"/>
        <w:rPr>
          <w:sz w:val="20"/>
          <w:szCs w:val="20"/>
          <w:color w:val="auto"/>
        </w:rPr>
      </w:pPr>
      <w:r>
        <w:rPr>
          <w:rFonts w:ascii="Courier New" w:cs="Courier New" w:eastAsia="Courier New" w:hAnsi="Courier New"/>
          <w:sz w:val="15"/>
          <w:szCs w:val="15"/>
          <w:color w:val="auto"/>
        </w:rPr>
        <w:t>the accounting criteria for sales treatment. In addition, this segment has</w:t>
      </w:r>
    </w:p>
    <w:p>
      <w:pPr>
        <w:ind w:left="10"/>
        <w:spacing w:after="0"/>
        <w:rPr>
          <w:sz w:val="20"/>
          <w:szCs w:val="20"/>
          <w:color w:val="auto"/>
        </w:rPr>
      </w:pPr>
      <w:r>
        <w:rPr>
          <w:rFonts w:ascii="Courier New" w:cs="Courier New" w:eastAsia="Courier New" w:hAnsi="Courier New"/>
          <w:sz w:val="15"/>
          <w:szCs w:val="15"/>
          <w:color w:val="auto"/>
        </w:rPr>
        <w:t>$6,229 of loans outstanding for limited partnership properties that we do not</w:t>
      </w:r>
    </w:p>
    <w:p>
      <w:pPr>
        <w:ind w:left="10"/>
        <w:spacing w:after="0"/>
        <w:rPr>
          <w:sz w:val="20"/>
          <w:szCs w:val="20"/>
          <w:color w:val="auto"/>
        </w:rPr>
      </w:pPr>
      <w:r>
        <w:rPr>
          <w:rFonts w:ascii="Courier New" w:cs="Courier New" w:eastAsia="Courier New" w:hAnsi="Courier New"/>
          <w:sz w:val="15"/>
          <w:szCs w:val="15"/>
          <w:color w:val="auto"/>
        </w:rPr>
        <w:t>consolidate in our financial statements. While we cannot project sales with</w:t>
      </w:r>
    </w:p>
    <w:p>
      <w:pPr>
        <w:ind w:left="10"/>
        <w:spacing w:after="0" w:line="238" w:lineRule="auto"/>
        <w:rPr>
          <w:sz w:val="20"/>
          <w:szCs w:val="20"/>
          <w:color w:val="auto"/>
        </w:rPr>
      </w:pPr>
      <w:r>
        <w:rPr>
          <w:rFonts w:ascii="Courier New" w:cs="Courier New" w:eastAsia="Courier New" w:hAnsi="Courier New"/>
          <w:sz w:val="15"/>
          <w:szCs w:val="15"/>
          <w:color w:val="auto"/>
        </w:rPr>
        <w:t>certainty, we believe that it is possible that we will sell the remaining</w:t>
      </w:r>
    </w:p>
    <w:p>
      <w:pPr>
        <w:ind w:left="10"/>
        <w:spacing w:after="0"/>
        <w:rPr>
          <w:sz w:val="20"/>
          <w:szCs w:val="20"/>
          <w:color w:val="auto"/>
        </w:rPr>
      </w:pPr>
      <w:r>
        <w:rPr>
          <w:rFonts w:ascii="Courier New" w:cs="Courier New" w:eastAsia="Courier New" w:hAnsi="Courier New"/>
          <w:sz w:val="15"/>
          <w:szCs w:val="15"/>
          <w:color w:val="auto"/>
        </w:rPr>
        <w:t>properties before the end of 2003 and that new sources of financing will be</w:t>
      </w:r>
    </w:p>
    <w:p>
      <w:pPr>
        <w:ind w:left="10"/>
        <w:spacing w:after="0"/>
        <w:rPr>
          <w:sz w:val="20"/>
          <w:szCs w:val="20"/>
          <w:color w:val="auto"/>
        </w:rPr>
      </w:pPr>
      <w:r>
        <w:rPr>
          <w:rFonts w:ascii="Courier New" w:cs="Courier New" w:eastAsia="Courier New" w:hAnsi="Courier New"/>
          <w:sz w:val="15"/>
          <w:szCs w:val="15"/>
          <w:color w:val="auto"/>
        </w:rPr>
        <w:t>established to repay the remaining loan balances. We regularly assess the</w:t>
      </w:r>
    </w:p>
    <w:p>
      <w:pPr>
        <w:ind w:left="10"/>
        <w:spacing w:after="0"/>
        <w:rPr>
          <w:sz w:val="20"/>
          <w:szCs w:val="20"/>
          <w:color w:val="auto"/>
        </w:rPr>
      </w:pPr>
      <w:r>
        <w:rPr>
          <w:rFonts w:ascii="Courier New" w:cs="Courier New" w:eastAsia="Courier New" w:hAnsi="Courier New"/>
          <w:sz w:val="15"/>
          <w:szCs w:val="15"/>
          <w:color w:val="auto"/>
        </w:rPr>
        <w:t>carrying value of our remaining assets and provide additional loss reserves as</w:t>
      </w:r>
    </w:p>
    <w:p>
      <w:pPr>
        <w:ind w:left="10"/>
        <w:spacing w:after="0" w:line="238" w:lineRule="auto"/>
        <w:rPr>
          <w:sz w:val="20"/>
          <w:szCs w:val="20"/>
          <w:color w:val="auto"/>
        </w:rPr>
      </w:pPr>
      <w:r>
        <w:rPr>
          <w:rFonts w:ascii="Courier New" w:cs="Courier New" w:eastAsia="Courier New" w:hAnsi="Courier New"/>
          <w:sz w:val="15"/>
          <w:szCs w:val="15"/>
          <w:color w:val="auto"/>
        </w:rPr>
        <w:t>appropriate. During 2002, we recorded $24,686 of these charges as compared to</w:t>
      </w:r>
    </w:p>
    <w:p>
      <w:pPr>
        <w:ind w:left="10"/>
        <w:spacing w:after="0"/>
        <w:rPr>
          <w:sz w:val="20"/>
          <w:szCs w:val="20"/>
          <w:color w:val="auto"/>
        </w:rPr>
      </w:pPr>
      <w:r>
        <w:rPr>
          <w:rFonts w:ascii="Courier New" w:cs="Courier New" w:eastAsia="Courier New" w:hAnsi="Courier New"/>
          <w:sz w:val="15"/>
          <w:szCs w:val="15"/>
          <w:color w:val="auto"/>
        </w:rPr>
        <w:t>$16,855 in 2001. At December 31, 2002, our combined reserves associated with</w:t>
      </w:r>
    </w:p>
    <w:p>
      <w:pPr>
        <w:ind w:left="10"/>
        <w:spacing w:after="0"/>
        <w:rPr>
          <w:sz w:val="20"/>
          <w:szCs w:val="20"/>
          <w:color w:val="auto"/>
        </w:rPr>
      </w:pPr>
      <w:r>
        <w:rPr>
          <w:rFonts w:ascii="Courier New" w:cs="Courier New" w:eastAsia="Courier New" w:hAnsi="Courier New"/>
          <w:sz w:val="15"/>
          <w:szCs w:val="15"/>
          <w:color w:val="auto"/>
        </w:rPr>
        <w:t>affordable housing properties and loans amounted to 48% of the remaining book</w:t>
      </w:r>
    </w:p>
    <w:p>
      <w:pPr>
        <w:ind w:left="10"/>
        <w:spacing w:after="0" w:line="238" w:lineRule="auto"/>
        <w:rPr>
          <w:sz w:val="20"/>
          <w:szCs w:val="20"/>
          <w:color w:val="auto"/>
        </w:rPr>
      </w:pPr>
      <w:r>
        <w:rPr>
          <w:rFonts w:ascii="Courier New" w:cs="Courier New" w:eastAsia="Courier New" w:hAnsi="Courier New"/>
          <w:sz w:val="15"/>
          <w:szCs w:val="15"/>
          <w:color w:val="auto"/>
        </w:rPr>
        <w:t>value of such assets as compared to 16% at December 31, 2001.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15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5"/>
              </w:rPr>
              <w:t>Selected earnings</w:t>
            </w:r>
          </w:p>
        </w:tc>
        <w:tc>
          <w:tcPr>
            <w:tcW w:w="5720" w:type="dxa"/>
            <w:vAlign w:val="bottom"/>
          </w:tcPr>
          <w:p>
            <w:pPr>
              <w:jc w:val="right"/>
              <w:ind w:right="4647"/>
              <w:spacing w:after="0"/>
              <w:rPr>
                <w:sz w:val="20"/>
                <w:szCs w:val="20"/>
                <w:color w:val="auto"/>
              </w:rPr>
            </w:pPr>
            <w:r>
              <w:rPr>
                <w:rFonts w:ascii="Courier New" w:cs="Courier New" w:eastAsia="Courier New" w:hAnsi="Courier New"/>
                <w:sz w:val="15"/>
                <w:szCs w:val="15"/>
                <w:color w:val="auto"/>
                <w:w w:val="98"/>
              </w:rPr>
              <w:t>information</w:t>
            </w:r>
          </w:p>
        </w:tc>
        <w:tc>
          <w:tcPr>
            <w:tcW w:w="32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5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interest expense..........................................................</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4,449</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9,912</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Provision for</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8"/>
              </w:rPr>
              <w:t>loan losses.....................................................</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3,392</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1,207</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Net operating</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8"/>
              </w:rPr>
              <w:t>losses on investments in certain affordable housing properties..</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22,360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16,580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9,931</w:t>
            </w:r>
          </w:p>
        </w:tc>
      </w:tr>
    </w:tbl>
    <w:p>
      <w:pPr>
        <w:spacing w:after="0" w:line="344" w:lineRule="exact"/>
        <w:rPr>
          <w:sz w:val="20"/>
          <w:szCs w:val="20"/>
          <w:color w:val="auto"/>
        </w:rPr>
      </w:pPr>
    </w:p>
    <w:p>
      <w:pPr>
        <w:ind w:left="790" w:right="3700" w:hanging="437"/>
        <w:spacing w:after="0" w:line="237" w:lineRule="auto"/>
        <w:tabs>
          <w:tab w:leader="none" w:pos="7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expense has declined primarily because internal interest charges have declined as affordable housing properties have been sold. This trend was offset in part by an increase in receivables, which also are not interest-bearing, arising from sales.</w:t>
      </w:r>
    </w:p>
    <w:p>
      <w:pPr>
        <w:spacing w:after="0" w:line="176" w:lineRule="exact"/>
        <w:rPr>
          <w:rFonts w:ascii="Courier New" w:cs="Courier New" w:eastAsia="Courier New" w:hAnsi="Courier New"/>
          <w:sz w:val="15"/>
          <w:szCs w:val="15"/>
          <w:color w:val="auto"/>
        </w:rPr>
      </w:pPr>
    </w:p>
    <w:p>
      <w:pPr>
        <w:ind w:left="790" w:right="3780" w:hanging="437"/>
        <w:spacing w:after="0" w:line="235" w:lineRule="auto"/>
        <w:tabs>
          <w:tab w:leader="none" w:pos="7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loan losses increased in 2002 in connection with the increases to our loss reserves during the year.</w:t>
      </w:r>
    </w:p>
    <w:p>
      <w:pPr>
        <w:spacing w:after="0" w:line="175" w:lineRule="exact"/>
        <w:rPr>
          <w:rFonts w:ascii="Courier New" w:cs="Courier New" w:eastAsia="Courier New" w:hAnsi="Courier New"/>
          <w:sz w:val="15"/>
          <w:szCs w:val="15"/>
          <w:color w:val="auto"/>
        </w:rPr>
      </w:pPr>
    </w:p>
    <w:p>
      <w:pPr>
        <w:ind w:left="790" w:right="3700" w:hanging="437"/>
        <w:spacing w:after="0" w:line="238" w:lineRule="auto"/>
        <w:tabs>
          <w:tab w:leader="none" w:pos="7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losses have increased primarily because of charges in the amount of $17,350, $15,587 and $6,448 we recorded during 2002, 2001 and 2000, respectively, for estimated losses on the sale of the properties. The reserves associated with our remaining properties amounted to 50% at December 31, 2002 as compared to 17% at December 31, 2001. The operating loss for 2002 also included a $3,944 charge to record a discount arising from the long-term sale of seven properties. We are accreting this discount to income over the term of the related receivable balance, which extends through September 2014. See "Changes in Financial Condition - Affordable Housing Properties."</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750"/>
          </w:cols>
          <w:pgMar w:left="230" w:top="627" w:right="919" w:bottom="565" w:gutter="0" w:footer="0" w:header="0"/>
        </w:sectPr>
      </w:pPr>
    </w:p>
    <w:bookmarkStart w:id="48" w:name="page49"/>
    <w:bookmarkEnd w:id="48"/>
    <w:p>
      <w:pPr>
        <w:ind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Subprime Finance. We were engaged in domestic subprime residential loan</w:t>
      </w:r>
    </w:p>
    <w:tbl>
      <w:tblPr>
        <w:tblLayout w:type="fixed"/>
        <w:tblInd w:w="0" w:type="dxa"/>
        <w:tblCellMar>
          <w:top w:w="0" w:type="dxa"/>
          <w:left w:w="0" w:type="dxa"/>
          <w:bottom w:w="0" w:type="dxa"/>
          <w:right w:w="0" w:type="dxa"/>
        </w:tblCellMar>
      </w:tblP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origination prior</w:t>
            </w:r>
          </w:p>
        </w:tc>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w w:val="99"/>
              </w:rPr>
              <w:t>to ceasing</w:t>
            </w:r>
          </w:p>
        </w:tc>
        <w:tc>
          <w:tcPr>
            <w:tcW w:w="1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originations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in August of</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1999; however,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have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continued</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to manage and</w:t>
            </w:r>
          </w:p>
        </w:tc>
        <w:tc>
          <w:tcPr>
            <w:tcW w:w="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resolve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remaining non-core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assets. At</w:t>
            </w:r>
          </w:p>
        </w:tc>
        <w:tc>
          <w:tcPr>
            <w:tcW w:w="12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2002, the</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non-core</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assets</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remaining</w:t>
            </w: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in this business consisted primarily</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trading securities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with</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25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fair value of $33,213. These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securities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are</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presently</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generating income</w:t>
            </w:r>
          </w:p>
        </w:tc>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w w:val="99"/>
              </w:rPr>
              <w:t>and return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principal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through cash</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flows.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5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14,661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9,143</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13,160</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2,874</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6,486</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13,338</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40"/>
              <w:spacing w:after="0"/>
              <w:rPr>
                <w:sz w:val="20"/>
                <w:szCs w:val="20"/>
                <w:color w:val="auto"/>
              </w:rPr>
            </w:pPr>
            <w:r>
              <w:rPr>
                <w:rFonts w:ascii="Courier New" w:cs="Courier New" w:eastAsia="Courier New" w:hAnsi="Courier New"/>
                <w:sz w:val="15"/>
                <w:szCs w:val="15"/>
                <w:color w:val="auto"/>
              </w:rPr>
              <w:t>Gain (loss) on trading and match funded securities, net..................</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7,287</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14,247</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(8,483)</w:t>
            </w:r>
          </w:p>
        </w:tc>
      </w:tr>
      <w:tr>
        <w:trPr>
          <w:trHeight w:val="170"/>
        </w:trPr>
        <w:tc>
          <w:tcPr>
            <w:tcW w:w="480" w:type="dxa"/>
            <w:vAlign w:val="bottom"/>
          </w:tcPr>
          <w:p>
            <w:pPr>
              <w:spacing w:after="0"/>
              <w:rPr>
                <w:sz w:val="14"/>
                <w:szCs w:val="14"/>
                <w:color w:val="auto"/>
              </w:rPr>
            </w:pPr>
          </w:p>
        </w:tc>
        <w:tc>
          <w:tcPr>
            <w:tcW w:w="6700" w:type="dxa"/>
            <w:vAlign w:val="bottom"/>
          </w:tcPr>
          <w:p>
            <w:pPr>
              <w:ind w:left="40"/>
              <w:spacing w:after="0"/>
              <w:rPr>
                <w:sz w:val="20"/>
                <w:szCs w:val="20"/>
                <w:color w:val="auto"/>
              </w:rPr>
            </w:pPr>
            <w:r>
              <w:rPr>
                <w:rFonts w:ascii="Courier New" w:cs="Courier New" w:eastAsia="Courier New" w:hAnsi="Courier New"/>
                <w:sz w:val="15"/>
                <w:szCs w:val="15"/>
                <w:color w:val="auto"/>
              </w:rPr>
              <w:t>Impairment charges on securities available for sale......................</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(10,930)</w:t>
            </w:r>
          </w:p>
        </w:tc>
      </w:tr>
      <w:tr>
        <w:trPr>
          <w:trHeight w:val="50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The increase in interest income during 2002 as compared to 2001 is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w w:val="99"/>
              </w:rPr>
              <w:t>primarily the result of a $4,805 increase in interest payments received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on single family subprime residual securities.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The decline in interest expense is consistent with the declines in</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securities and loan balances.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Corporate Items and Other. Pre-tax results for this segment include</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business activities that are individually insignificant, interest income on cash</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and cash equivalents, interest expense on corporate assets, gains and losses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from debt repurchases, trading gains or losses associated with our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collateralized mortgage obligation ("CMO") trading portfolio and general</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corporate expenses. The table below presents the more significant amounts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included in each of the periods indicated.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0"/>
        </w:trPr>
        <w:tc>
          <w:tcPr>
            <w:tcW w:w="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5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Selected information</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3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4,940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16,094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20,605</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10,943</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16,307</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4,555</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Distributions on Capital Trust Securities..................................</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6,287</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7,131</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11,381</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Amortization of negative goodwill..........................................</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18,333</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14,112</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(loss) on debt repurchases............................................</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(1,461)</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3,774</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29,704</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Corporate income (expense).................................................</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(13,644)</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(7,960)</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1,740</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income (loss) of other business units..................................</w:t>
            </w:r>
          </w:p>
        </w:tc>
        <w:tc>
          <w:tcPr>
            <w:tcW w:w="4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(965)</w:t>
            </w:r>
          </w:p>
        </w:tc>
        <w:tc>
          <w:tcPr>
            <w:tcW w:w="3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(938)</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(6,955)</w:t>
            </w:r>
          </w:p>
        </w:tc>
      </w:tr>
      <w:tr>
        <w:trPr>
          <w:trHeight w:val="170"/>
        </w:trPr>
        <w:tc>
          <w:tcPr>
            <w:tcW w:w="7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on sale of Kensington.................................................</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20,025</w:t>
            </w:r>
          </w:p>
        </w:tc>
      </w:tr>
      <w:tr>
        <w:trPr>
          <w:trHeight w:val="50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Interest income in 2002 primarily reflects the impact of a declining</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short-term interest rate environment.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Net interest expense in 2002 declined primarily as a result of debt</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repurchases and the reduction in brokered deposits.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Corporate expenses in 2002 primarily included technology and</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communication expenses incurred in connection with the capacity</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expansion and migration of our corporate data centers.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o</w:t>
            </w: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The net loss of other business units in 2000 primarily reflect losses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in our UK operations prior to their sale in late 2000.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6700" w:type="dxa"/>
            <w:vAlign w:val="bottom"/>
          </w:tcPr>
          <w:p>
            <w:pPr>
              <w:ind w:left="300"/>
              <w:spacing w:after="0"/>
              <w:rPr>
                <w:sz w:val="20"/>
                <w:szCs w:val="20"/>
                <w:color w:val="auto"/>
              </w:rPr>
            </w:pPr>
            <w:r>
              <w:rPr>
                <w:rFonts w:ascii="Courier New" w:cs="Courier New" w:eastAsia="Courier New" w:hAnsi="Courier New"/>
                <w:sz w:val="15"/>
                <w:szCs w:val="15"/>
                <w:color w:val="auto"/>
              </w:rPr>
              <w:t>See Note 27 to our Consolidated Financial Statements for additional</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rPr>
          <w:sz w:val="20"/>
          <w:szCs w:val="20"/>
          <w:color w:val="auto"/>
        </w:rPr>
      </w:pPr>
      <w:r>
        <w:rPr>
          <w:rFonts w:ascii="Courier New" w:cs="Courier New" w:eastAsia="Courier New" w:hAnsi="Courier New"/>
          <w:sz w:val="15"/>
          <w:szCs w:val="15"/>
          <w:color w:val="auto"/>
        </w:rPr>
        <w:t>information related to our operating segments.</w:t>
      </w:r>
    </w:p>
    <w:p>
      <w:pPr>
        <w:spacing w:after="0" w:line="174" w:lineRule="exact"/>
        <w:rPr>
          <w:sz w:val="20"/>
          <w:szCs w:val="20"/>
          <w:color w:val="auto"/>
        </w:rPr>
      </w:pPr>
    </w:p>
    <w:p>
      <w:pPr>
        <w:ind w:right="3700" w:firstLine="793"/>
        <w:spacing w:after="0" w:line="238" w:lineRule="auto"/>
        <w:rPr>
          <w:sz w:val="20"/>
          <w:szCs w:val="20"/>
          <w:color w:val="auto"/>
        </w:rPr>
      </w:pPr>
      <w:r>
        <w:rPr>
          <w:rFonts w:ascii="Courier New" w:cs="Courier New" w:eastAsia="Courier New" w:hAnsi="Courier New"/>
          <w:sz w:val="15"/>
          <w:szCs w:val="15"/>
          <w:color w:val="auto"/>
        </w:rPr>
        <w:t>Net Interest Income: 2002 versus 2001 and 2001 versus 2000. Net interest income (expense) is the difference between the interest income earned from our interest-earning assets and interest expense incurred on our interest-bearing liabilities. Net interest income (expense) is determined by net interest spread (i.e., the difference between the yield earned on our interest-earning assets and the rates incurred on our interest-bearing liabilities), the relative amount of interest-earning assets and interest-bearing liabilities and the degree of mismatch in the maturity and repricing characteristics of our interest-earning assets and interest-bearing liabilities.</w:t>
      </w:r>
    </w:p>
    <w:p>
      <w:pPr>
        <w:spacing w:after="0" w:line="180" w:lineRule="exact"/>
        <w:rPr>
          <w:sz w:val="20"/>
          <w:szCs w:val="20"/>
          <w:color w:val="auto"/>
        </w:rPr>
      </w:pPr>
    </w:p>
    <w:p>
      <w:pPr>
        <w:ind w:right="3700" w:firstLine="793"/>
        <w:spacing w:after="0" w:line="238" w:lineRule="auto"/>
        <w:rPr>
          <w:sz w:val="20"/>
          <w:szCs w:val="20"/>
          <w:color w:val="auto"/>
        </w:rPr>
      </w:pPr>
      <w:r>
        <w:rPr>
          <w:rFonts w:ascii="Courier New" w:cs="Courier New" w:eastAsia="Courier New" w:hAnsi="Courier New"/>
          <w:sz w:val="15"/>
          <w:szCs w:val="15"/>
          <w:color w:val="auto"/>
        </w:rPr>
        <w:t>In addition to interest income reported in this caption, we also earn interest on the balance of custodial accounts we hold in connection with our Residential Loan Servicing business. These amounts are reported as servicing fees and are not included in the following information. As discussed in "Segment Profitability - "Residential Loan Servicing", our earnings on float balances were significantly reduced in 2002 as a result of the declining short-term interest rate environment. In 2002, our average float balance was $484,000 and earned an average rate of 1.58%, while in 2001 our average balance was $233,000 and earned an average rate of 3.41%.</w:t>
      </w:r>
    </w:p>
    <w:p>
      <w:pPr>
        <w:sectPr>
          <w:pgSz w:w="11900" w:h="16838" w:orient="portrait"/>
          <w:cols w:equalWidth="0" w:num="1">
            <w:col w:w="10740"/>
          </w:cols>
          <w:pgMar w:left="240" w:top="627" w:right="919" w:bottom="0" w:gutter="0" w:footer="0" w:header="0"/>
        </w:sectPr>
      </w:pPr>
    </w:p>
    <w:bookmarkStart w:id="49" w:name="page50"/>
    <w:bookmarkEnd w:id="49"/>
    <w:p>
      <w:pPr>
        <w:ind w:left="22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305" w:right="1440" w:bottom="1440" w:gutter="0" w:footer="0" w:header="0"/>
        </w:sectPr>
      </w:pPr>
    </w:p>
    <w:bookmarkStart w:id="50" w:name="page51"/>
    <w:bookmarkEnd w:id="50"/>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Our net interest income and net interest margin have been declining since 1999. This trend reflects a decline in the ratio of interest-earning assets to interest-bearing liabilities, which has fallen from 98% in 1999 to 58% in 2002. Both our acquisition of OAC in 1999 and our change in strategic direction from capital-intensive businesses to fee-based sources of income have contributed to an increase in the relative amount of non-interest-earning assets (such as real estate, advances on loans serviced for others and mortgage servicing rights) that are funded by interest-bearing liabilities. While we have disposed of many of our real estate assets acquired from OAC, we expect this trend to continue as we pursue our strategic transition and dispose of our remaining non-core assets, a portion of which are interest-bearing. The fact that a significant portion of our interest-bearing liabilities, namely notes, debentures and certificates of deposit, have high rates of fixed interest expense has also contributed to the declining trend of our interest income, as well as the declining trend of our net interest spread. In an effort to reduce interest expense we have repurchased a total of $236,875 of fixed-rate debt during the past three years, including $73,545 we redeemed in November 2002. See "Gain (Loss) on Repurchase of Debt" and "Changes in Financial Condition - Notes, Debentures and Other Interest-Bearing Obligations".</w:t>
      </w:r>
    </w:p>
    <w:p>
      <w:pPr>
        <w:spacing w:after="0" w:line="33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following table sets forth, for the years indicated, information regarding the total amount of income from our interest-earning assets and the resultant average yields, the interest expense associated with our interest-bearing liabilities, expressed in dollars and rates, and the net interest spread and net interest margin. Information is based on average daily balances during the indicated years: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51" w:name="page52"/>
    <w:bookmarkEnd w:id="51"/>
    <w:p>
      <w:pPr>
        <w:ind w:left="1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ind w:left="10"/>
        <w:spacing w:after="0"/>
        <w:rPr>
          <w:sz w:val="20"/>
          <w:szCs w:val="20"/>
          <w:color w:val="auto"/>
        </w:rPr>
      </w:pPr>
      <w:r>
        <w:rPr>
          <w:rFonts w:ascii="Courier New" w:cs="Courier New" w:eastAsia="Courier New" w:hAnsi="Courier New"/>
          <w:sz w:val="15"/>
          <w:szCs w:val="15"/>
          <w:color w:val="auto"/>
        </w:rPr>
        <w:t>RESULTS OF OPERATIONS</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100" w:type="dxa"/>
            <w:vAlign w:val="bottom"/>
            <w:gridSpan w:val="14"/>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2002</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7"/>
                <w:szCs w:val="7"/>
                <w:color w:val="auto"/>
                <w:w w:val="78"/>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Average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Average</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Yield/</w:t>
            </w:r>
          </w:p>
        </w:tc>
        <w:tc>
          <w:tcPr>
            <w:tcW w:w="12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Average</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Yield/</w:t>
            </w:r>
          </w:p>
        </w:tc>
        <w:tc>
          <w:tcPr>
            <w:tcW w:w="14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Average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Balance</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Expense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Rate</w:t>
            </w:r>
          </w:p>
        </w:tc>
        <w:tc>
          <w:tcPr>
            <w:tcW w:w="12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Balance</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Expense</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Rate</w:t>
            </w:r>
          </w:p>
        </w:tc>
        <w:tc>
          <w:tcPr>
            <w:tcW w:w="14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Balance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Interest earning cash and other...</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13,693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$ 10,159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152,588</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200,329</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7,328</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128,079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CMOs (AAA-rated)...............</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88,543</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126,284</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7,464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5.91</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83,633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Subordinates and residuals.....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44,272</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14,523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32.80</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97,051</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11,401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11.75</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24,167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CMOs (AAA-rated)...............</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427,427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27,693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6.48</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Subordinates and residuals.....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114,492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14,815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12.94</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Loans, net (1)....................</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146,671</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11,279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433,830</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46,090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10.62</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974,195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112,886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Match funded loans and securities.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66,233</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6,463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9.76</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103,320</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10,345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143,452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7.68</w:t>
            </w: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 earning assets..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512,000</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37,235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970,973</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83,371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1,923,109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184,816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Non interest-earning cash.........</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65,813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68,139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44,726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Affordable housing properties.....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57,692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123,747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147,110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Real estate owned, net............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88,913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128,371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176,828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Investment in real estate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real estate held for sale......</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82,882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136,339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319,179</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Advances on loans and loans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serviced for others............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267,572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303,382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191,642</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Mortgage servicing rights.........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137,323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76,145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18,338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Match funded advances on loans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serviced for others............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101,863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121,073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176,214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287,435</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$1,435,131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$1,983,584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$3,108,367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Average Liabilities and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Interest-bearing demand deposits..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14,749</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10,377</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12,169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Savings deposits..................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1,605</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1,388</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Certificates of deposit...........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473,793</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27,193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5.74</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920,668</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59,541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1,520,493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97,655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w:t>
            </w: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interest-bearing deposits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490,147</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27,455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5.60</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932,433</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59,967</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6.43</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1,534,189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98,224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 repurchase..................</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12,774</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19,500</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167,337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10,729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Bonds-match funded agreements.....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147,139</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6,573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86,171</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7,315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8.49</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123,856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11,484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lines of credit................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88,282</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3,787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82,605</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5,511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152,424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13,881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Notes, debentures and other.......</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149,931</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17,711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169,812</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20,007</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11.78</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284,193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34,772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w:t>
            </w: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interest-bearing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888,273</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55,762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1,290,521</w:t>
            </w:r>
          </w:p>
        </w:tc>
        <w:tc>
          <w:tcPr>
            <w:tcW w:w="2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93,329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w:t>
            </w: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2,261,999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169,090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Non interest-bearing deposits.....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12,900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9,367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Escrow deposits...................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90,612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73,326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114,254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Excess of net assets acquired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over purchase price............</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1,478</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28,866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51,486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Other liabilities.................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43,107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64,243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72,198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1,029,657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1,469,856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2,509,304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Capital securities................</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57,812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64,976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103,709</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347,092</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448,752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495,354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$1,435,131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$1,983,584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$3,108,367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Net interest income (expense).....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$(18,527)</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(9,958)</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$ 15,726</w:t>
            </w: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Net interest spread...............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0.99%</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Net interest margin...............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Ratio of interest-earning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to interest-bearing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58%</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85%</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44" w:lineRule="exact"/>
        <w:rPr>
          <w:sz w:val="20"/>
          <w:szCs w:val="20"/>
          <w:color w:val="auto"/>
        </w:rPr>
      </w:pPr>
    </w:p>
    <w:p>
      <w:pPr>
        <w:ind w:left="790" w:right="4140" w:hanging="790"/>
        <w:spacing w:after="0" w:line="235" w:lineRule="auto"/>
        <w:tabs>
          <w:tab w:leader="none" w:pos="7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balances include non-performing loans, interest on which we recognize on a cash basis.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190"/>
          </w:cols>
          <w:pgMar w:left="230" w:top="622" w:right="479" w:bottom="396" w:gutter="0" w:footer="0" w:header="0"/>
        </w:sectPr>
      </w:pPr>
    </w:p>
    <w:bookmarkStart w:id="52" w:name="page53"/>
    <w:bookmarkEnd w:id="52"/>
    <w:p>
      <w:pPr>
        <w:ind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960" w:firstLine="793"/>
        <w:spacing w:after="0" w:line="257"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our interest-earning assets and interest-bearing liabilities have affected our interest income and expense during the periods indicated. For each category of our interest-earning assets and interest-bearing liabilities, we have provided information on changes attributable to (i) changes in volume (change in volume multiplied by prior rate), (ii) changes in rate (change in rate multiplied by prior volume) and (iii) total change in rate and volume. We have allocated changes attributable to both volume and rate proportionately to the change due to volume and the change due to rate.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Years Ended December 31,</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722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2002 vs. 2001</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 vs. 2000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5"/>
                <w:szCs w:val="5"/>
                <w:color w:val="auto"/>
                <w:w w:val="81"/>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w w:val="97"/>
              </w:rPr>
              <w:t>Favorable (unfavorable) variance</w:t>
            </w:r>
          </w:p>
        </w:tc>
        <w:tc>
          <w:tcPr>
            <w:tcW w:w="320" w:type="dxa"/>
            <w:vAlign w:val="bottom"/>
          </w:tcPr>
          <w:p>
            <w:pPr>
              <w:spacing w:after="0"/>
              <w:rPr>
                <w:sz w:val="14"/>
                <w:szCs w:val="14"/>
                <w:color w:val="auto"/>
              </w:rPr>
            </w:pPr>
          </w:p>
        </w:tc>
        <w:tc>
          <w:tcPr>
            <w:tcW w:w="32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Favorable (unfavorable) variance</w:t>
            </w:r>
          </w:p>
        </w:tc>
      </w:tr>
      <w:tr>
        <w:trPr>
          <w:trHeight w:val="170"/>
        </w:trPr>
        <w:tc>
          <w:tcPr>
            <w:tcW w:w="37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5"/>
                <w:szCs w:val="5"/>
                <w:color w:val="auto"/>
                <w:w w:val="81"/>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Rate</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Volume</w:t>
            </w:r>
          </w:p>
        </w:tc>
        <w:tc>
          <w:tcPr>
            <w:tcW w:w="3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Total</w:t>
            </w:r>
          </w:p>
        </w:tc>
        <w:tc>
          <w:tcPr>
            <w:tcW w:w="3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Rate</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Volume</w:t>
            </w:r>
          </w:p>
        </w:tc>
        <w:tc>
          <w:tcPr>
            <w:tcW w:w="2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Interest-bearing cash and other..........</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405</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agreements............................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(3,240)</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(1,459)</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(4,699)</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(5,034)</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3,662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CMOs (AAA-rated)......................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(3,623)</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(1,784)</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(5,407)</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2,429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1,896</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Subordinates and residuals............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11,909</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3,122</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9,069</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8,770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CMOs (AAA-rated)......................</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(2,234)</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(25,459)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(27,693)</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Subordinates and residuals............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(13,565)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(14,815)</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Loans, net...............................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(10,248)</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(24,563)</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(34,811)</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(58,087)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(66,796)</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Match funded loans and securities........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(3,625)</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(3,882)</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2,855</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(677)</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interest-earning assets.........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(6,116)</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(40,020)</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(46,136)</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(14,799)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(86,646)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(101,445)</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Interest-Bearing Liabilities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Interest-bearing demand deposits.........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280</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Savings deposits.........................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Certificates of deposit..................</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6,088</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26,260</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32,348</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(673)</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38,787</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38,114</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interest-bearing deposits.......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6,383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26,129</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32,512</w:t>
            </w:r>
          </w:p>
        </w:tc>
        <w:tc>
          <w:tcPr>
            <w:tcW w:w="3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38,863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38,257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 to</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repurchase............................</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141</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4,029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6,171</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10,200</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Bonds-match funded agreements............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4,449</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(3,707)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742</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3,263</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 lines of</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credit................................</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2,081</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1,724</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5,285</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Notes, debentures and other interest-</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bearing obligations...................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2,348</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2,296</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13,520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14,765</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interest-bearing liabilities..</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13,002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24,565</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37,567</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8,659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67,102</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75,761</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Favorable (unfavorable) variance.........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6,886</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(15,455)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(19,544)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(25,684)</w:t>
            </w:r>
          </w:p>
        </w:tc>
      </w:tr>
      <w:tr>
        <w:trPr>
          <w:trHeight w:val="170"/>
        </w:trPr>
        <w:tc>
          <w:tcPr>
            <w:tcW w:w="378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2002 versus 2001. We incurred net interest expense before provision for</w:t>
      </w:r>
    </w:p>
    <w:p>
      <w:pPr>
        <w:spacing w:after="0"/>
        <w:rPr>
          <w:sz w:val="20"/>
          <w:szCs w:val="20"/>
          <w:color w:val="auto"/>
        </w:rPr>
      </w:pPr>
      <w:r>
        <w:rPr>
          <w:rFonts w:ascii="Courier New" w:cs="Courier New" w:eastAsia="Courier New" w:hAnsi="Courier New"/>
          <w:sz w:val="15"/>
          <w:szCs w:val="15"/>
          <w:color w:val="auto"/>
        </w:rPr>
        <w:t>loan losses of $(18,527) for the year ended December 31, 2002 as compared to net</w:t>
      </w:r>
    </w:p>
    <w:p>
      <w:pPr>
        <w:spacing w:after="0"/>
        <w:rPr>
          <w:sz w:val="20"/>
          <w:szCs w:val="20"/>
          <w:color w:val="auto"/>
        </w:rPr>
      </w:pPr>
      <w:r>
        <w:rPr>
          <w:rFonts w:ascii="Courier New" w:cs="Courier New" w:eastAsia="Courier New" w:hAnsi="Courier New"/>
          <w:sz w:val="15"/>
          <w:szCs w:val="15"/>
          <w:color w:val="auto"/>
        </w:rPr>
        <w:t>interest expense of $(9,958) for the year ended December 31, 2001, an</w:t>
      </w:r>
    </w:p>
    <w:p>
      <w:pPr>
        <w:spacing w:after="0" w:line="238" w:lineRule="auto"/>
        <w:rPr>
          <w:sz w:val="20"/>
          <w:szCs w:val="20"/>
          <w:color w:val="auto"/>
        </w:rPr>
      </w:pPr>
      <w:r>
        <w:rPr>
          <w:rFonts w:ascii="Courier New" w:cs="Courier New" w:eastAsia="Courier New" w:hAnsi="Courier New"/>
          <w:sz w:val="15"/>
          <w:szCs w:val="15"/>
          <w:color w:val="auto"/>
        </w:rPr>
        <w:t>unfavorable variance of $8,569 or 86%. This variance was due to a decrease in</w:t>
      </w:r>
    </w:p>
    <w:p>
      <w:pPr>
        <w:spacing w:after="0"/>
        <w:rPr>
          <w:sz w:val="20"/>
          <w:szCs w:val="20"/>
          <w:color w:val="auto"/>
        </w:rPr>
      </w:pPr>
      <w:r>
        <w:rPr>
          <w:rFonts w:ascii="Courier New" w:cs="Courier New" w:eastAsia="Courier New" w:hAnsi="Courier New"/>
          <w:sz w:val="15"/>
          <w:szCs w:val="15"/>
          <w:color w:val="auto"/>
        </w:rPr>
        <w:t>the average balance of our interest-earning assets and a decrease in the net</w:t>
      </w:r>
    </w:p>
    <w:p>
      <w:pPr>
        <w:spacing w:after="0"/>
        <w:rPr>
          <w:sz w:val="20"/>
          <w:szCs w:val="20"/>
          <w:color w:val="auto"/>
        </w:rPr>
      </w:pPr>
      <w:r>
        <w:rPr>
          <w:rFonts w:ascii="Courier New" w:cs="Courier New" w:eastAsia="Courier New" w:hAnsi="Courier New"/>
          <w:sz w:val="15"/>
          <w:szCs w:val="15"/>
          <w:color w:val="auto"/>
        </w:rPr>
        <w:t>interest spread and margin, offset by a decrease in the average balance of our</w:t>
      </w:r>
    </w:p>
    <w:p>
      <w:pPr>
        <w:spacing w:after="0" w:line="238" w:lineRule="auto"/>
        <w:rPr>
          <w:sz w:val="20"/>
          <w:szCs w:val="20"/>
          <w:color w:val="auto"/>
        </w:rPr>
      </w:pPr>
      <w:r>
        <w:rPr>
          <w:rFonts w:ascii="Courier New" w:cs="Courier New" w:eastAsia="Courier New" w:hAnsi="Courier New"/>
          <w:sz w:val="15"/>
          <w:szCs w:val="15"/>
          <w:color w:val="auto"/>
        </w:rPr>
        <w:t>interest-bearing liabilities. The average balance of our interest-earning assets</w:t>
      </w:r>
    </w:p>
    <w:p>
      <w:pPr>
        <w:spacing w:after="0"/>
        <w:rPr>
          <w:sz w:val="20"/>
          <w:szCs w:val="20"/>
          <w:color w:val="auto"/>
        </w:rPr>
      </w:pPr>
      <w:r>
        <w:rPr>
          <w:rFonts w:ascii="Courier New" w:cs="Courier New" w:eastAsia="Courier New" w:hAnsi="Courier New"/>
          <w:sz w:val="15"/>
          <w:szCs w:val="15"/>
          <w:color w:val="auto"/>
        </w:rPr>
        <w:t>decreased by $458,973 or 47% during 2002 and reduced interest income by</w:t>
      </w:r>
    </w:p>
    <w:p>
      <w:pPr>
        <w:spacing w:after="0"/>
        <w:rPr>
          <w:sz w:val="20"/>
          <w:szCs w:val="20"/>
          <w:color w:val="auto"/>
        </w:rPr>
      </w:pPr>
      <w:r>
        <w:rPr>
          <w:rFonts w:ascii="Courier New" w:cs="Courier New" w:eastAsia="Courier New" w:hAnsi="Courier New"/>
          <w:sz w:val="15"/>
          <w:szCs w:val="15"/>
          <w:color w:val="auto"/>
        </w:rPr>
        <w:t>$(40,020). The average balance of our interest-bearing liabilities decreased by</w:t>
      </w:r>
    </w:p>
    <w:p>
      <w:pPr>
        <w:spacing w:after="0"/>
        <w:rPr>
          <w:sz w:val="20"/>
          <w:szCs w:val="20"/>
          <w:color w:val="auto"/>
        </w:rPr>
      </w:pPr>
      <w:r>
        <w:rPr>
          <w:rFonts w:ascii="Courier New" w:cs="Courier New" w:eastAsia="Courier New" w:hAnsi="Courier New"/>
          <w:sz w:val="15"/>
          <w:szCs w:val="15"/>
          <w:color w:val="auto"/>
        </w:rPr>
        <w:t>$402,248 or 31% during 2002 and decreased interest expense by $24,565. The net</w:t>
      </w:r>
    </w:p>
    <w:p>
      <w:pPr>
        <w:spacing w:after="0" w:line="238" w:lineRule="auto"/>
        <w:rPr>
          <w:sz w:val="20"/>
          <w:szCs w:val="20"/>
          <w:color w:val="auto"/>
        </w:rPr>
      </w:pPr>
      <w:r>
        <w:rPr>
          <w:rFonts w:ascii="Courier New" w:cs="Courier New" w:eastAsia="Courier New" w:hAnsi="Courier New"/>
          <w:sz w:val="15"/>
          <w:szCs w:val="15"/>
          <w:color w:val="auto"/>
        </w:rPr>
        <w:t>impact of these volume changes resulted in a $(15,455) unfavorable variance. The</w:t>
      </w:r>
    </w:p>
    <w:p>
      <w:pPr>
        <w:spacing w:after="0"/>
        <w:rPr>
          <w:sz w:val="20"/>
          <w:szCs w:val="20"/>
          <w:color w:val="auto"/>
        </w:rPr>
      </w:pPr>
      <w:r>
        <w:rPr>
          <w:rFonts w:ascii="Courier New" w:cs="Courier New" w:eastAsia="Courier New" w:hAnsi="Courier New"/>
          <w:sz w:val="15"/>
          <w:szCs w:val="15"/>
          <w:color w:val="auto"/>
        </w:rPr>
        <w:t>net interest spread decreased 37 basis points as a result of a 132 basis-point</w:t>
      </w:r>
    </w:p>
    <w:p>
      <w:pPr>
        <w:spacing w:after="0"/>
        <w:rPr>
          <w:sz w:val="20"/>
          <w:szCs w:val="20"/>
          <w:color w:val="auto"/>
        </w:rPr>
      </w:pPr>
      <w:r>
        <w:rPr>
          <w:rFonts w:ascii="Courier New" w:cs="Courier New" w:eastAsia="Courier New" w:hAnsi="Courier New"/>
          <w:sz w:val="15"/>
          <w:szCs w:val="15"/>
          <w:color w:val="auto"/>
        </w:rPr>
        <w:t>decrease in the weighted average yield on our interest-earning assets, offset by</w:t>
      </w:r>
    </w:p>
    <w:p>
      <w:pPr>
        <w:spacing w:after="0" w:line="238" w:lineRule="auto"/>
        <w:rPr>
          <w:sz w:val="20"/>
          <w:szCs w:val="20"/>
          <w:color w:val="auto"/>
        </w:rPr>
      </w:pPr>
      <w:r>
        <w:rPr>
          <w:rFonts w:ascii="Courier New" w:cs="Courier New" w:eastAsia="Courier New" w:hAnsi="Courier New"/>
          <w:sz w:val="15"/>
          <w:szCs w:val="15"/>
          <w:color w:val="auto"/>
        </w:rPr>
        <w:t>a 95 basis-point decrease in the weighted average rate on our interest-bearing</w:t>
      </w:r>
    </w:p>
    <w:p>
      <w:pPr>
        <w:spacing w:after="0"/>
        <w:rPr>
          <w:sz w:val="20"/>
          <w:szCs w:val="20"/>
          <w:color w:val="auto"/>
        </w:rPr>
      </w:pPr>
      <w:r>
        <w:rPr>
          <w:rFonts w:ascii="Courier New" w:cs="Courier New" w:eastAsia="Courier New" w:hAnsi="Courier New"/>
          <w:sz w:val="15"/>
          <w:szCs w:val="15"/>
          <w:color w:val="auto"/>
        </w:rPr>
        <w:t>liabilities. The net impact of these rate changes resulted in a $6,886 favorable</w:t>
      </w:r>
    </w:p>
    <w:p>
      <w:pPr>
        <w:spacing w:after="0"/>
        <w:rPr>
          <w:sz w:val="20"/>
          <w:szCs w:val="20"/>
          <w:color w:val="auto"/>
        </w:rPr>
      </w:pPr>
      <w:r>
        <w:rPr>
          <w:rFonts w:ascii="Courier New" w:cs="Courier New" w:eastAsia="Courier New" w:hAnsi="Courier New"/>
          <w:sz w:val="15"/>
          <w:szCs w:val="15"/>
          <w:color w:val="auto"/>
        </w:rPr>
        <w:t>variance.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000"/>
          </w:cols>
          <w:pgMar w:left="240" w:top="627" w:right="65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4220" w:firstLine="793"/>
        <w:spacing w:after="0" w:line="238" w:lineRule="auto"/>
        <w:rPr>
          <w:sz w:val="20"/>
          <w:szCs w:val="20"/>
          <w:color w:val="auto"/>
        </w:rPr>
      </w:pPr>
      <w:r>
        <w:rPr>
          <w:rFonts w:ascii="Courier New" w:cs="Courier New" w:eastAsia="Courier New" w:hAnsi="Courier New"/>
          <w:sz w:val="15"/>
          <w:szCs w:val="15"/>
          <w:color w:val="auto"/>
        </w:rPr>
        <w:t>As previously discussed in this section, the decline in the net interest margin is largely due to the decline in the ratio of interest -earning assets to interest-bearing liabilities. This trend is likely to persist as we continue our transition to fee-based businesses and dispose of interest-bearing non-core assets. Certain assets associated with our fee-based businesses, such as mortgage servicing rights and servicing advances, do not earn interest but are financed by interest-bearing debt.</w:t>
      </w:r>
    </w:p>
    <w:p>
      <w:pPr>
        <w:spacing w:after="0" w:line="177" w:lineRule="exact"/>
        <w:rPr>
          <w:sz w:val="20"/>
          <w:szCs w:val="20"/>
          <w:color w:val="auto"/>
        </w:rPr>
      </w:pPr>
    </w:p>
    <w:p>
      <w:pPr>
        <w:jc w:val="both"/>
        <w:ind w:right="4220" w:firstLine="793"/>
        <w:spacing w:after="0" w:line="265" w:lineRule="auto"/>
        <w:rPr>
          <w:sz w:val="20"/>
          <w:szCs w:val="20"/>
          <w:color w:val="auto"/>
        </w:rPr>
      </w:pPr>
      <w:r>
        <w:rPr>
          <w:rFonts w:ascii="Courier New" w:cs="Courier New" w:eastAsia="Courier New" w:hAnsi="Courier New"/>
          <w:sz w:val="14"/>
          <w:szCs w:val="14"/>
          <w:color w:val="auto"/>
        </w:rPr>
        <w:t>The following table presents the change in average balances and yields for 2002 as compared to 2001 for each of our interest-earning asset categories: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Average Balance</w:t>
            </w:r>
          </w:p>
        </w:tc>
        <w:tc>
          <w:tcPr>
            <w:tcW w:w="2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Increase</w:t>
            </w:r>
          </w:p>
        </w:tc>
        <w:tc>
          <w:tcPr>
            <w:tcW w:w="21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Average Yield</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Increase</w:t>
            </w:r>
          </w:p>
        </w:tc>
      </w:tr>
      <w:tr>
        <w:trPr>
          <w:trHeight w:val="170"/>
        </w:trPr>
        <w:tc>
          <w:tcPr>
            <w:tcW w:w="356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7"/>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(Decrease)</w:t>
            </w:r>
          </w:p>
        </w:tc>
        <w:tc>
          <w:tcPr>
            <w:tcW w:w="2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(Decrease)</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30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Basis Points</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earning cash and other........</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13,693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3,534</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2.07%</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agreements...........................</w:t>
            </w:r>
          </w:p>
        </w:tc>
        <w:tc>
          <w:tcPr>
            <w:tcW w:w="3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152,588</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200,329</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(47,741)</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CMOs (AAA-rated) and U.S. Treasury...</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3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88,543</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126,284</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(37,741)</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w:t>
            </w: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Subordinates and residuals...........</w:t>
            </w:r>
          </w:p>
        </w:tc>
        <w:tc>
          <w:tcPr>
            <w:tcW w:w="3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44,272</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97,051</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(52,779)</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32.80</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11.75</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146,671</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433,830</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(287,159)</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7.69</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10.62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Match funded loans and securities......</w:t>
            </w:r>
          </w:p>
        </w:tc>
        <w:tc>
          <w:tcPr>
            <w:tcW w:w="3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66,233</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103,320</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(37,087)</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9.76</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10.01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356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970,973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(458,973)</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7.27%</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356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4" w:lineRule="exact"/>
        <w:rPr>
          <w:sz w:val="20"/>
          <w:szCs w:val="20"/>
          <w:color w:val="auto"/>
        </w:rPr>
      </w:pPr>
    </w:p>
    <w:p>
      <w:pPr>
        <w:ind w:right="4140" w:firstLine="793"/>
        <w:spacing w:after="0" w:line="257" w:lineRule="auto"/>
        <w:rPr>
          <w:sz w:val="20"/>
          <w:szCs w:val="20"/>
          <w:color w:val="auto"/>
        </w:rPr>
      </w:pPr>
      <w:r>
        <w:rPr>
          <w:rFonts w:ascii="Courier New" w:cs="Courier New" w:eastAsia="Courier New" w:hAnsi="Courier New"/>
          <w:sz w:val="14"/>
          <w:szCs w:val="14"/>
          <w:color w:val="auto"/>
        </w:rPr>
        <w:t>Interest income we earned on our loans decreased by $34,811 or 76% during 2002 as compared to 2001 as a result of a $287,159 or 66% decline in the average balance of our investment and a 293 basis-point decrease in the average yield. Sales, foreclosures, resolutions and the absence of acquisitions and originations have resulted in the declines in the average balance of loans during 2002. The yield on our loans is likely to fluctuate from period to period as a result of the timing of resolutions and the mix of the overall portfolio between performing and non-performing loans. Gains on the resolution of loans, which we report as interest income, declined to $3,347 in 2002 as compared to $10,652 in 2001. This decline primarily relates to single family loans, the balance of which declined significantly during 2001 and 2002 as a result of sales and resolutions. See "Changes in Financial Condition - Loans, Net."</w:t>
      </w:r>
    </w:p>
    <w:p>
      <w:pPr>
        <w:spacing w:after="0" w:line="166" w:lineRule="exact"/>
        <w:rPr>
          <w:sz w:val="20"/>
          <w:szCs w:val="20"/>
          <w:color w:val="auto"/>
        </w:rPr>
      </w:pPr>
    </w:p>
    <w:p>
      <w:pPr>
        <w:ind w:right="4140" w:firstLine="793"/>
        <w:spacing w:after="0" w:line="239" w:lineRule="auto"/>
        <w:rPr>
          <w:sz w:val="20"/>
          <w:szCs w:val="20"/>
          <w:color w:val="auto"/>
        </w:rPr>
      </w:pPr>
      <w:r>
        <w:rPr>
          <w:rFonts w:ascii="Courier New" w:cs="Courier New" w:eastAsia="Courier New" w:hAnsi="Courier New"/>
          <w:sz w:val="15"/>
          <w:szCs w:val="15"/>
          <w:color w:val="auto"/>
        </w:rPr>
        <w:t>Interest income we earned from our trading securities on a combined basis declined from $18,865 in 2001 to $16,580 in 2002, a $2,285 or 12% decline. The decline in interest income is primarily due to a $37,741 or 30% decline in our average investment in CMOs and a $52,779 or 54% decline in our average investment in subordinates and residuals. The decline in the average balance of our CMOs during 2002 as compared to 2001 reflects a reduced need to hold these securities to meet the Qualified Thrift Lender requirements. The decline in the average balance of our subordinate and residuals during 2002 was primarily due to sales of subprime residuals and amortization. These declines were significantly offset by a 2,105 basis point increase in the yield on subordinates and residuals. This increase in yield was a result of sales of certain low-yielding unrated subprime residuals and an increase in interest payments received on our remaining subprime residual securities. Because CMOs have less cash flow variability, their average lives and yields to maturity are more stable, and therefore, CMOs are priced to yield less than classes of mortgage-related securities such as subordinates and residuals that are less stable. The decline in the average yield on CMOs during 2002 is primarily the result of declining interest rates and increased prepayments of the underlying mortgages which back the bonds.</w:t>
      </w:r>
    </w:p>
    <w:p>
      <w:pPr>
        <w:spacing w:after="0" w:line="175"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Interest income we earned on match funded loans and securities decreased $3,882 or 38% in 2002 as compared to 2001. This decrease is primarily due to a $37,087 or 36% decline in the average balances primarily as a result of principal repayments received on both the loans and securities. See "Changes in Financial Condition - Match Funded Assets".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180"/>
          </w:cols>
          <w:pgMar w:left="240" w:top="622" w:right="479" w:bottom="1440" w:gutter="0" w:footer="0" w:header="0"/>
        </w:sectPr>
      </w:pPr>
    </w:p>
    <w:bookmarkStart w:id="54" w:name="page55"/>
    <w:bookmarkEnd w:id="54"/>
    <w:p>
      <w:pPr>
        <w:ind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The following table presents the change in average balances and rates for 2002 as compared to 2001 for each of our interest-bearing liability categories: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Average Balance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Increase</w:t>
            </w:r>
          </w:p>
        </w:tc>
        <w:tc>
          <w:tcPr>
            <w:tcW w:w="1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Average Rate</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44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7"/>
              </w:rPr>
              <w:t>-------------------------</w:t>
            </w:r>
          </w:p>
        </w:tc>
        <w:tc>
          <w:tcPr>
            <w:tcW w:w="12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(Decrease)</w:t>
            </w:r>
          </w:p>
        </w:tc>
        <w:tc>
          <w:tcPr>
            <w:tcW w:w="16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3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Basis Points</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Interest-bearing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490,147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932,433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(442,286)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5.60%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6.43%</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12,774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(6,726)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1.85</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2.71</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Bonds-match funded agreements....................</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147,139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86,171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60,968</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4.47</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8.49</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88,282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82,605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5,677</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4.29</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6.67</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Notes, debentures and other......................</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149,931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169,812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(19,881)</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11.81</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11.78</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r>
      <w:tr>
        <w:trPr>
          <w:trHeight w:val="170"/>
        </w:trPr>
        <w:tc>
          <w:tcPr>
            <w:tcW w:w="444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44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888,273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$ 1,290,521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(402,248)</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6.28%</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7.23%</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r>
      <w:tr>
        <w:trPr>
          <w:trHeight w:val="170"/>
        </w:trPr>
        <w:tc>
          <w:tcPr>
            <w:tcW w:w="444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44" w:lineRule="exact"/>
        <w:rPr>
          <w:sz w:val="20"/>
          <w:szCs w:val="20"/>
          <w:color w:val="auto"/>
        </w:rPr>
      </w:pPr>
    </w:p>
    <w:p>
      <w:pPr>
        <w:ind w:right="3960" w:firstLine="793"/>
        <w:spacing w:after="0" w:line="257" w:lineRule="auto"/>
        <w:rPr>
          <w:sz w:val="20"/>
          <w:szCs w:val="20"/>
          <w:color w:val="auto"/>
        </w:rPr>
      </w:pPr>
      <w:r>
        <w:rPr>
          <w:rFonts w:ascii="Courier New" w:cs="Courier New" w:eastAsia="Courier New" w:hAnsi="Courier New"/>
          <w:sz w:val="14"/>
          <w:szCs w:val="14"/>
          <w:color w:val="auto"/>
        </w:rPr>
        <w:t>Interest expense we incurred on our interest-bearing deposits decreased $32,512 or 54% during 2002 as compared to 2001 due to a $442,286 or 47% decrease in the average balance and, to a lesser degree, an 83 basis point decline in the rate. The decline in the average balance resulted primarily from maturing brokered certificates of deposit. We did not issue any new brokered certificates of deposit during 2002 or 2001 and, at this time, do not intend to issue any such deposits in the foreseeable future. We plan to retain non-brokered deposits as a source of financing. See "Changes in Financial Condition - Deposits."</w:t>
      </w:r>
    </w:p>
    <w:p>
      <w:pPr>
        <w:spacing w:after="0" w:line="167" w:lineRule="exact"/>
        <w:rPr>
          <w:sz w:val="20"/>
          <w:szCs w:val="20"/>
          <w:color w:val="auto"/>
        </w:rPr>
      </w:pPr>
    </w:p>
    <w:p>
      <w:pPr>
        <w:ind w:right="4040" w:firstLine="793"/>
        <w:spacing w:after="0" w:line="238" w:lineRule="auto"/>
        <w:rPr>
          <w:sz w:val="20"/>
          <w:szCs w:val="20"/>
          <w:color w:val="auto"/>
        </w:rPr>
      </w:pPr>
      <w:r>
        <w:rPr>
          <w:rFonts w:ascii="Courier New" w:cs="Courier New" w:eastAsia="Courier New" w:hAnsi="Courier New"/>
          <w:sz w:val="15"/>
          <w:szCs w:val="15"/>
          <w:color w:val="auto"/>
        </w:rPr>
        <w:t>Interest expense we incurred on notes, debentures and other interest-bearing obligations decreased $2,296 or 11% during 2002 as compared to 2001 primarily due to a $19,881 or 12% decrease in the average balance. The decrease in the average balance is primarily due to repurchases of debt we made during 2002 and 2001. We repurchased $77,095 of our notes and debentures during 2002, including $73,545 we redeemed at a premium in November. During 2001, we repurchased $13,025 of our notes. See "Gain (Loss) on Repurchases of Debt" and "Changes in Financial Condition - Notes, Debentures and Other Interest-Bearing Obligations."</w:t>
      </w:r>
    </w:p>
    <w:p>
      <w:pPr>
        <w:spacing w:after="0" w:line="179" w:lineRule="exact"/>
        <w:rPr>
          <w:sz w:val="20"/>
          <w:szCs w:val="20"/>
          <w:color w:val="auto"/>
        </w:rPr>
      </w:pPr>
    </w:p>
    <w:p>
      <w:pPr>
        <w:ind w:right="3960" w:firstLine="793"/>
        <w:spacing w:after="0" w:line="238" w:lineRule="auto"/>
        <w:rPr>
          <w:sz w:val="20"/>
          <w:szCs w:val="20"/>
          <w:color w:val="auto"/>
        </w:rPr>
      </w:pPr>
      <w:r>
        <w:rPr>
          <w:rFonts w:ascii="Courier New" w:cs="Courier New" w:eastAsia="Courier New" w:hAnsi="Courier New"/>
          <w:sz w:val="15"/>
          <w:szCs w:val="15"/>
          <w:color w:val="auto"/>
        </w:rPr>
        <w:t>Interest expense we incurred on obligations outstanding under our lines of credit decreased $1,724 or 31% during 2002 as compared to 2001 due to a 238 basis-point decline in the average rate, offset in part by a $5,677 or 7% increase in the average outstanding balance. Interest rates on our lines of credit are adjusted periodically based on changes in the London Interbank Offered Rate ("LIBOR"). The decline in the average rate is primarily due to declines in LIBOR. During 2001 and part of 2002, we used lines of credit to fund real estate investments and commercial construction loans. These lines expired and were repaid in May 2002. Beginning in April 2001, we entered into lines of credit to fund servicing advances we purchased in connection with the acquisition of loans serviced for others. Average balances outstanding under our lines of credit increased during 2002 primarily because of increases in our funding of residential loan servicing advances under a new line offset in part by the expiration and repayment of the lines collateralized by real estate and commercial loans. See "Changes in Financial Condition - Obligations Outstanding Under Lines of Credit."</w:t>
      </w:r>
    </w:p>
    <w:p>
      <w:pPr>
        <w:spacing w:after="0" w:line="186" w:lineRule="exact"/>
        <w:rPr>
          <w:sz w:val="20"/>
          <w:szCs w:val="20"/>
          <w:color w:val="auto"/>
        </w:rPr>
      </w:pPr>
    </w:p>
    <w:p>
      <w:pPr>
        <w:ind w:right="3960" w:firstLine="793"/>
        <w:spacing w:after="0" w:line="238" w:lineRule="auto"/>
        <w:rPr>
          <w:sz w:val="20"/>
          <w:szCs w:val="20"/>
          <w:color w:val="auto"/>
        </w:rPr>
      </w:pPr>
      <w:r>
        <w:rPr>
          <w:rFonts w:ascii="Courier New" w:cs="Courier New" w:eastAsia="Courier New" w:hAnsi="Courier New"/>
          <w:sz w:val="15"/>
          <w:szCs w:val="15"/>
          <w:color w:val="auto"/>
        </w:rPr>
        <w:t>2001 versus 2000. We incurred net interest expense before provision for loan losses of $(9,958) for the year ended December 31, 2001 as compared to net interest income of $15,726 earned for the year ended December 31, 2000, a decline of $25,684 or 163%. The decrease was due to a decrease in the balance of our average interest-earning assets and a decrease in the net interest spread, offset by a decrease in the balance of our average interest-bearing liabilities. The average balance of our interest-earning assets decreased by $952,136 or 50% during 2001 and reduced interest income by $86,646. The average balance of our interest-bearing liabilities decreased by $971,478 or 43% during 2001 and decreased interest expense by $67,102. The net impact of these volume changes resulted in a $19,544 decrease in net interest income. The net interest spread decreased 77 basis points as a result of a 102 basis-point decrease in the weighted average rate on our interest-earning assets, offset by a 25 basis-point decrease in the weighted average rate on our interest-bearing liabilities. The net impact of these rate changes resulted in a $6,140 decrease in net interest income.</w:t>
      </w:r>
    </w:p>
    <w:p>
      <w:pPr>
        <w:spacing w:after="0" w:line="186" w:lineRule="exact"/>
        <w:rPr>
          <w:sz w:val="20"/>
          <w:szCs w:val="20"/>
          <w:color w:val="auto"/>
        </w:rPr>
      </w:pPr>
    </w:p>
    <w:p>
      <w:pPr>
        <w:ind w:right="4040" w:firstLine="793"/>
        <w:spacing w:after="0" w:line="238" w:lineRule="auto"/>
        <w:rPr>
          <w:sz w:val="20"/>
          <w:szCs w:val="20"/>
          <w:color w:val="auto"/>
        </w:rPr>
      </w:pPr>
      <w:r>
        <w:rPr>
          <w:rFonts w:ascii="Courier New" w:cs="Courier New" w:eastAsia="Courier New" w:hAnsi="Courier New"/>
          <w:sz w:val="15"/>
          <w:szCs w:val="15"/>
          <w:color w:val="auto"/>
        </w:rPr>
        <w:t>As previously discussed in this section, the decline in the net interest margin is largely due to the decline in the ratio of interest -earning assets to interest-bearing liabilities. This trend is likely to persist as we continue our transition to fee-based businesses and dispose of interest-bearing non-core assets. Certain assets associated with our fee-based businesses, such as mortgage servicing rights and servicing advances, do not earn interest but are financed by interest-bearing debt.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000"/>
          </w:cols>
          <w:pgMar w:left="240" w:top="627" w:right="659" w:bottom="735"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gridSpan w:val="8"/>
          </w:tcPr>
          <w:p>
            <w:pPr>
              <w:jc w:val="right"/>
              <w:ind w:right="707"/>
              <w:spacing w:after="0"/>
              <w:rPr>
                <w:sz w:val="20"/>
                <w:szCs w:val="20"/>
                <w:color w:val="auto"/>
              </w:rPr>
            </w:pPr>
            <w:r>
              <w:rPr>
                <w:rFonts w:ascii="Courier New" w:cs="Courier New" w:eastAsia="Courier New" w:hAnsi="Courier New"/>
                <w:sz w:val="15"/>
                <w:szCs w:val="15"/>
                <w:color w:val="auto"/>
              </w:rPr>
              <w:t>The following table presents the change in average balances and yields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7740" w:type="dxa"/>
            <w:vAlign w:val="bottom"/>
            <w:gridSpan w:val="8"/>
          </w:tcPr>
          <w:p>
            <w:pPr>
              <w:spacing w:after="0"/>
              <w:rPr>
                <w:sz w:val="20"/>
                <w:szCs w:val="20"/>
                <w:color w:val="auto"/>
              </w:rPr>
            </w:pPr>
            <w:r>
              <w:rPr>
                <w:rFonts w:ascii="Courier New" w:cs="Courier New" w:eastAsia="Courier New" w:hAnsi="Courier New"/>
                <w:sz w:val="15"/>
                <w:szCs w:val="15"/>
                <w:color w:val="auto"/>
              </w:rPr>
              <w:t>for 2001 as compared to 2000 for each of our interest-earning asset categories: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Average Balance</w:t>
            </w:r>
          </w:p>
        </w:tc>
        <w:tc>
          <w:tcPr>
            <w:tcW w:w="22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Increase</w:t>
            </w:r>
          </w:p>
        </w:tc>
        <w:tc>
          <w:tcPr>
            <w:tcW w:w="21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Average Yield</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Increase</w:t>
            </w:r>
          </w:p>
        </w:tc>
      </w:tr>
      <w:tr>
        <w:trPr>
          <w:trHeight w:val="170"/>
        </w:trPr>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7"/>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(Decrease)</w:t>
            </w:r>
          </w:p>
        </w:tc>
        <w:tc>
          <w:tcPr>
            <w:tcW w:w="2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(Decrease)</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44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Basis Points</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Interest earning cash and other.....</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27,664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(17,505)</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7.31%</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188</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Federal funds sold</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and repurchase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agreements........................</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200,329</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128,079</w:t>
            </w:r>
          </w:p>
        </w:tc>
        <w:tc>
          <w:tcPr>
            <w:tcW w:w="2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72,250</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CMOs (AAA-rated)..................</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126,284</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83,633</w:t>
            </w:r>
          </w:p>
        </w:tc>
        <w:tc>
          <w:tcPr>
            <w:tcW w:w="2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42,651</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5.91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Subordinates and</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residuals........</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97,051</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24,167</w:t>
            </w:r>
          </w:p>
        </w:tc>
        <w:tc>
          <w:tcPr>
            <w:tcW w:w="2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72,884</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11.75</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10.89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CMOs (AAA-rated)..................</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427,427</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(427,427)</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(648)</w:t>
            </w: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Subordinates and</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residuals........</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114,492</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(114,492)</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12.94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(1,294)</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433,830</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974,195</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(540,365)</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10.62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11.59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Match funded loans</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and securities...</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103,320</w:t>
            </w:r>
          </w:p>
        </w:tc>
        <w:tc>
          <w:tcPr>
            <w:tcW w:w="2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143,452</w:t>
            </w: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(40,132)</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233</w:t>
            </w:r>
          </w:p>
        </w:tc>
      </w:tr>
      <w:tr>
        <w:trPr>
          <w:trHeight w:val="170"/>
        </w:trPr>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970,973</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$ 1,923,109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(952,136)</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8.59%</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w:t>
            </w:r>
          </w:p>
        </w:tc>
      </w:tr>
      <w:tr>
        <w:trPr>
          <w:trHeight w:val="170"/>
        </w:trPr>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4" w:lineRule="exact"/>
        <w:rPr>
          <w:sz w:val="20"/>
          <w:szCs w:val="20"/>
          <w:color w:val="auto"/>
        </w:rPr>
      </w:pPr>
    </w:p>
    <w:p>
      <w:pPr>
        <w:ind w:right="4240" w:firstLine="793"/>
        <w:spacing w:after="0" w:line="238" w:lineRule="auto"/>
        <w:rPr>
          <w:sz w:val="20"/>
          <w:szCs w:val="20"/>
          <w:color w:val="auto"/>
        </w:rPr>
      </w:pPr>
      <w:r>
        <w:rPr>
          <w:rFonts w:ascii="Courier New" w:cs="Courier New" w:eastAsia="Courier New" w:hAnsi="Courier New"/>
          <w:sz w:val="15"/>
          <w:szCs w:val="15"/>
          <w:color w:val="auto"/>
        </w:rPr>
        <w:t>We earned interest income on our trading securities of $18,865 during 2001 as compared to $8,199 during 2000. Interest income we earned on securities available for sale amounted to $0 during 2001 as compared to $42,508 for 2000. On September 30, 2000 we changed our policy for securities available for sale and transferred those securities to the trading category. We believe that this treatment more appropriately reflects the impact on our results of operations arising from changes in the fair value of securities. The following presents the results of our securities portfolio, both trading and available for sale, on a combined basis for 2001 and 2000:</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CMOs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Subordinates and Residuals</w:t>
            </w:r>
          </w:p>
        </w:tc>
        <w:tc>
          <w:tcPr>
            <w:tcW w:w="10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Average</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Interest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8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Interest</w:t>
            </w:r>
          </w:p>
        </w:tc>
        <w:tc>
          <w:tcPr>
            <w:tcW w:w="7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Balance</w:t>
            </w: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Yield</w:t>
            </w:r>
          </w:p>
        </w:tc>
        <w:tc>
          <w:tcPr>
            <w:tcW w:w="2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Yield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Balance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Yield</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Trading securities................</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$ 126,284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7,464</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97,051</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$ 11,401</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11.75%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$ 223,335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$ 18,865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8.45%</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Trading securities................</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83,633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5,568</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6.66%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24,167</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2,631</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10.89%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$ 107,800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8,199</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7.61%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Securities available for sale.....</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427,427</w:t>
            </w:r>
          </w:p>
        </w:tc>
        <w:tc>
          <w:tcPr>
            <w:tcW w:w="8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27,693</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6.48</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114,492</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14,815</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12.94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541,919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42,508</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7.84</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$ 511,060</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$ 33,261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6.51%</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$ 138,659</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$ 17,446</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12.58%</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$ 649,719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$ 50,707</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7.80%</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bl>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As presented in the table above, interest income we earned from our</w:t>
      </w:r>
    </w:p>
    <w:p>
      <w:pPr>
        <w:spacing w:after="0"/>
        <w:rPr>
          <w:sz w:val="20"/>
          <w:szCs w:val="20"/>
          <w:color w:val="auto"/>
        </w:rPr>
      </w:pPr>
      <w:r>
        <w:rPr>
          <w:rFonts w:ascii="Courier New" w:cs="Courier New" w:eastAsia="Courier New" w:hAnsi="Courier New"/>
          <w:sz w:val="15"/>
          <w:szCs w:val="15"/>
          <w:color w:val="auto"/>
        </w:rPr>
        <w:t>securities portfolio on a combined basis declined from $50,707 in 2000 to</w:t>
      </w:r>
    </w:p>
    <w:p>
      <w:pPr>
        <w:spacing w:after="0"/>
        <w:rPr>
          <w:sz w:val="20"/>
          <w:szCs w:val="20"/>
          <w:color w:val="auto"/>
        </w:rPr>
      </w:pPr>
      <w:r>
        <w:rPr>
          <w:rFonts w:ascii="Courier New" w:cs="Courier New" w:eastAsia="Courier New" w:hAnsi="Courier New"/>
          <w:sz w:val="15"/>
          <w:szCs w:val="15"/>
          <w:color w:val="auto"/>
        </w:rPr>
        <w:t>$18,865 in 2001, a $31,842 or 63% decline. The decline in interest income is</w:t>
      </w:r>
    </w:p>
    <w:p>
      <w:pPr>
        <w:spacing w:after="0" w:line="238" w:lineRule="auto"/>
        <w:rPr>
          <w:sz w:val="20"/>
          <w:szCs w:val="20"/>
          <w:color w:val="auto"/>
        </w:rPr>
      </w:pPr>
      <w:r>
        <w:rPr>
          <w:rFonts w:ascii="Courier New" w:cs="Courier New" w:eastAsia="Courier New" w:hAnsi="Courier New"/>
          <w:sz w:val="15"/>
          <w:szCs w:val="15"/>
          <w:color w:val="auto"/>
        </w:rPr>
        <w:t>primarily due to a $384,776 or 75% decline in our average investment in CMOs and</w:t>
      </w:r>
    </w:p>
    <w:p>
      <w:pPr>
        <w:spacing w:after="0"/>
        <w:rPr>
          <w:sz w:val="20"/>
          <w:szCs w:val="20"/>
          <w:color w:val="auto"/>
        </w:rPr>
      </w:pPr>
      <w:r>
        <w:rPr>
          <w:rFonts w:ascii="Courier New" w:cs="Courier New" w:eastAsia="Courier New" w:hAnsi="Courier New"/>
          <w:sz w:val="15"/>
          <w:szCs w:val="15"/>
          <w:color w:val="auto"/>
        </w:rPr>
        <w:t>a $41,608 or 30% decline in our average investment in subordinates and</w:t>
      </w:r>
    </w:p>
    <w:p>
      <w:pPr>
        <w:spacing w:after="0"/>
        <w:rPr>
          <w:sz w:val="20"/>
          <w:szCs w:val="20"/>
          <w:color w:val="auto"/>
        </w:rPr>
      </w:pPr>
      <w:r>
        <w:rPr>
          <w:rFonts w:ascii="Courier New" w:cs="Courier New" w:eastAsia="Courier New" w:hAnsi="Courier New"/>
          <w:sz w:val="15"/>
          <w:szCs w:val="15"/>
          <w:color w:val="auto"/>
        </w:rPr>
        <w:t>residuals. The decline in the average balance of our CMOs during 2001 reflects</w:t>
      </w:r>
    </w:p>
    <w:p>
      <w:pPr>
        <w:spacing w:after="0" w:line="238" w:lineRule="auto"/>
        <w:rPr>
          <w:sz w:val="20"/>
          <w:szCs w:val="20"/>
          <w:color w:val="auto"/>
        </w:rPr>
      </w:pPr>
      <w:r>
        <w:rPr>
          <w:rFonts w:ascii="Courier New" w:cs="Courier New" w:eastAsia="Courier New" w:hAnsi="Courier New"/>
          <w:sz w:val="15"/>
          <w:szCs w:val="15"/>
          <w:color w:val="auto"/>
        </w:rPr>
        <w:t>our planned reduction in the use of these securities to meet the Qualified</w:t>
      </w:r>
    </w:p>
    <w:p>
      <w:pPr>
        <w:spacing w:after="0"/>
        <w:rPr>
          <w:sz w:val="20"/>
          <w:szCs w:val="20"/>
          <w:color w:val="auto"/>
        </w:rPr>
      </w:pPr>
      <w:r>
        <w:rPr>
          <w:rFonts w:ascii="Courier New" w:cs="Courier New" w:eastAsia="Courier New" w:hAnsi="Courier New"/>
          <w:sz w:val="15"/>
          <w:szCs w:val="15"/>
          <w:color w:val="auto"/>
        </w:rPr>
        <w:t>Thrift Lender requirements. The decline in the average balance of our</w:t>
      </w:r>
    </w:p>
    <w:p>
      <w:pPr>
        <w:spacing w:after="0"/>
        <w:rPr>
          <w:sz w:val="20"/>
          <w:szCs w:val="20"/>
          <w:color w:val="auto"/>
        </w:rPr>
      </w:pPr>
      <w:r>
        <w:rPr>
          <w:rFonts w:ascii="Courier New" w:cs="Courier New" w:eastAsia="Courier New" w:hAnsi="Courier New"/>
          <w:sz w:val="15"/>
          <w:szCs w:val="15"/>
          <w:color w:val="auto"/>
        </w:rPr>
        <w:t>subordinate and residuals during 2001 was primarily due to sales of subprime</w:t>
      </w:r>
    </w:p>
    <w:p>
      <w:pPr>
        <w:spacing w:after="0"/>
        <w:rPr>
          <w:sz w:val="20"/>
          <w:szCs w:val="20"/>
          <w:color w:val="auto"/>
        </w:rPr>
      </w:pPr>
      <w:r>
        <w:rPr>
          <w:rFonts w:ascii="Courier New" w:cs="Courier New" w:eastAsia="Courier New" w:hAnsi="Courier New"/>
          <w:sz w:val="15"/>
          <w:szCs w:val="15"/>
          <w:color w:val="auto"/>
        </w:rPr>
        <w:t>residuals and amortization. Because CMOs have less cash flow variability, their</w:t>
      </w:r>
    </w:p>
    <w:p>
      <w:pPr>
        <w:spacing w:after="0" w:line="238" w:lineRule="auto"/>
        <w:rPr>
          <w:sz w:val="20"/>
          <w:szCs w:val="20"/>
          <w:color w:val="auto"/>
        </w:rPr>
      </w:pPr>
      <w:r>
        <w:rPr>
          <w:rFonts w:ascii="Courier New" w:cs="Courier New" w:eastAsia="Courier New" w:hAnsi="Courier New"/>
          <w:sz w:val="15"/>
          <w:szCs w:val="15"/>
          <w:color w:val="auto"/>
        </w:rPr>
        <w:t>average lives and yields to maturity are more stable, and therefore, CMOs are</w:t>
      </w:r>
    </w:p>
    <w:p>
      <w:pPr>
        <w:spacing w:after="0"/>
        <w:rPr>
          <w:sz w:val="20"/>
          <w:szCs w:val="20"/>
          <w:color w:val="auto"/>
        </w:rPr>
      </w:pPr>
      <w:r>
        <w:rPr>
          <w:rFonts w:ascii="Courier New" w:cs="Courier New" w:eastAsia="Courier New" w:hAnsi="Courier New"/>
          <w:sz w:val="15"/>
          <w:szCs w:val="15"/>
          <w:color w:val="auto"/>
        </w:rPr>
        <w:t>priced to yield less than classes of mortgage-related securities such as</w:t>
      </w:r>
    </w:p>
    <w:p>
      <w:pPr>
        <w:spacing w:after="0"/>
        <w:rPr>
          <w:sz w:val="20"/>
          <w:szCs w:val="20"/>
          <w:color w:val="auto"/>
        </w:rPr>
      </w:pPr>
      <w:r>
        <w:rPr>
          <w:rFonts w:ascii="Courier New" w:cs="Courier New" w:eastAsia="Courier New" w:hAnsi="Courier New"/>
          <w:sz w:val="15"/>
          <w:szCs w:val="15"/>
          <w:color w:val="auto"/>
        </w:rPr>
        <w:t>subordinates and residuals that are less stable. Yield on the total portfolio of</w:t>
      </w:r>
    </w:p>
    <w:p>
      <w:pPr>
        <w:spacing w:after="0" w:line="238" w:lineRule="auto"/>
        <w:rPr>
          <w:sz w:val="20"/>
          <w:szCs w:val="20"/>
          <w:color w:val="auto"/>
        </w:rPr>
      </w:pPr>
      <w:r>
        <w:rPr>
          <w:rFonts w:ascii="Courier New" w:cs="Courier New" w:eastAsia="Courier New" w:hAnsi="Courier New"/>
          <w:sz w:val="15"/>
          <w:szCs w:val="15"/>
          <w:color w:val="auto"/>
        </w:rPr>
        <w:t>trading securities increased in 2001 as compared to 2000 because lower-yielding</w:t>
      </w:r>
    </w:p>
    <w:p>
      <w:pPr>
        <w:spacing w:after="0"/>
        <w:rPr>
          <w:sz w:val="20"/>
          <w:szCs w:val="20"/>
          <w:color w:val="auto"/>
        </w:rPr>
      </w:pPr>
      <w:r>
        <w:rPr>
          <w:rFonts w:ascii="Courier New" w:cs="Courier New" w:eastAsia="Courier New" w:hAnsi="Courier New"/>
          <w:sz w:val="15"/>
          <w:szCs w:val="15"/>
          <w:color w:val="auto"/>
        </w:rPr>
        <w:t>CMOs comprised a greater proportion of the portfolio in 2000.</w:t>
      </w:r>
    </w:p>
    <w:p>
      <w:pPr>
        <w:spacing w:after="0" w:line="175" w:lineRule="exact"/>
        <w:rPr>
          <w:sz w:val="20"/>
          <w:szCs w:val="20"/>
          <w:color w:val="auto"/>
        </w:rPr>
      </w:pPr>
    </w:p>
    <w:p>
      <w:pPr>
        <w:ind w:right="4240" w:firstLine="793"/>
        <w:spacing w:after="0" w:line="238" w:lineRule="auto"/>
        <w:rPr>
          <w:sz w:val="20"/>
          <w:szCs w:val="20"/>
          <w:color w:val="auto"/>
        </w:rPr>
      </w:pPr>
      <w:r>
        <w:rPr>
          <w:rFonts w:ascii="Courier New" w:cs="Courier New" w:eastAsia="Courier New" w:hAnsi="Courier New"/>
          <w:sz w:val="15"/>
          <w:szCs w:val="15"/>
          <w:color w:val="auto"/>
        </w:rPr>
        <w:t>Interest income we earned on our loans decreased by $66,796 or 59% during 2001 as compared to 2000 as a result of a $540,365 or 55% decline in the average balance of our investment and a 14 basis-point decrease in the average yield. Sales, foreclosures, resolutions and the absence of acquisitions resulted in the declines in the average balance of our discount loans during 2001. The yield on our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 See "Changes in Financial Condition - Loans, Net."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280"/>
          </w:cols>
          <w:pgMar w:left="240" w:top="622" w:right="379" w:bottom="565" w:gutter="0" w:footer="0" w:header="0"/>
        </w:sectPr>
      </w:pPr>
    </w:p>
    <w:bookmarkStart w:id="56" w:name="page57"/>
    <w:bookmarkEnd w:id="56"/>
    <w:p>
      <w:pPr>
        <w:ind w:right="53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060" w:firstLine="793"/>
        <w:spacing w:after="0" w:line="237" w:lineRule="auto"/>
        <w:rPr>
          <w:sz w:val="20"/>
          <w:szCs w:val="20"/>
          <w:color w:val="auto"/>
        </w:rPr>
      </w:pPr>
      <w:r>
        <w:rPr>
          <w:rFonts w:ascii="Courier New" w:cs="Courier New" w:eastAsia="Courier New" w:hAnsi="Courier New"/>
          <w:sz w:val="15"/>
          <w:szCs w:val="15"/>
          <w:color w:val="auto"/>
        </w:rPr>
        <w:t>The following table presents the change in average balances and rates for 2001 as compared to 2000 for each of our interest-bearing liability categories: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Average Balance</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Increase</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 Rate</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44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7"/>
              </w:rPr>
              <w:t>-------------------------</w:t>
            </w:r>
          </w:p>
        </w:tc>
        <w:tc>
          <w:tcPr>
            <w:tcW w:w="12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(Decrease)</w:t>
            </w:r>
          </w:p>
        </w:tc>
        <w:tc>
          <w:tcPr>
            <w:tcW w:w="16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3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Basis Points</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Interest-bearing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932,433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$ 1,534,189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(601,756)</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6.43%</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167,337</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(147,837)</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2.71</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(370)</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Bonds-match funded agreements....................</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86,171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123,856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(37,685)</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8.49</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9.27</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82,605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152,424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(69,819)</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6.67</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Notes, debentures and other......................</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169,812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284,193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(114,381)</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11.78</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12.24</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w:t>
            </w:r>
          </w:p>
        </w:tc>
      </w:tr>
      <w:tr>
        <w:trPr>
          <w:trHeight w:val="170"/>
        </w:trPr>
        <w:tc>
          <w:tcPr>
            <w:tcW w:w="444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44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1,290,521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$ 2,261,999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(971,478)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7.23%</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7.48%</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444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44" w:lineRule="exact"/>
        <w:rPr>
          <w:sz w:val="20"/>
          <w:szCs w:val="20"/>
          <w:color w:val="auto"/>
        </w:rPr>
      </w:pPr>
    </w:p>
    <w:p>
      <w:pPr>
        <w:ind w:right="3880" w:firstLine="793"/>
        <w:spacing w:after="0" w:line="257" w:lineRule="auto"/>
        <w:rPr>
          <w:sz w:val="20"/>
          <w:szCs w:val="20"/>
          <w:color w:val="auto"/>
        </w:rPr>
      </w:pPr>
      <w:r>
        <w:rPr>
          <w:rFonts w:ascii="Courier New" w:cs="Courier New" w:eastAsia="Courier New" w:hAnsi="Courier New"/>
          <w:sz w:val="14"/>
          <w:szCs w:val="14"/>
          <w:color w:val="auto"/>
        </w:rPr>
        <w:t>Interest expense we incurred on our interest-bearing deposits decreased $38,257 or 39% during 2001 as compared to 2000 due to a $601,756 or 39% decrease in the average balance. The decline in the average balance resulted primarily from maturing brokered certificates of deposit. We did not issue any new brokered certificates of deposit during 2001 and, at this time, do not intend to issue any such deposits in the foreseeable future. The decline in average deposits is consistent with the 36% decline in average total assets as we continue our transition in business strategy from capital-intensive businesses to fee-based businesses. See "Changes in Financial Condition - Deposits."</w:t>
      </w:r>
    </w:p>
    <w:p>
      <w:pPr>
        <w:spacing w:after="0" w:line="167" w:lineRule="exact"/>
        <w:rPr>
          <w:sz w:val="20"/>
          <w:szCs w:val="20"/>
          <w:color w:val="auto"/>
        </w:rPr>
      </w:pPr>
    </w:p>
    <w:p>
      <w:pPr>
        <w:ind w:right="3960" w:firstLine="793"/>
        <w:spacing w:after="0" w:line="238" w:lineRule="auto"/>
        <w:rPr>
          <w:sz w:val="20"/>
          <w:szCs w:val="20"/>
          <w:color w:val="auto"/>
        </w:rPr>
      </w:pPr>
      <w:r>
        <w:rPr>
          <w:rFonts w:ascii="Courier New" w:cs="Courier New" w:eastAsia="Courier New" w:hAnsi="Courier New"/>
          <w:sz w:val="15"/>
          <w:szCs w:val="15"/>
          <w:color w:val="auto"/>
        </w:rPr>
        <w:t>Interest expense we incurred on securities we sold under agreements to repurchase declined $10,200 or 95% during 2001 as a result of a $147,837 or 88% decrease in the average balance and a 370 basis-point decline in the average rate. We have used securities sold under agreements to repurchase primarily to fund our purchases of CMOs, the average balance of which declined significantly during 2001.</w:t>
      </w:r>
    </w:p>
    <w:p>
      <w:pPr>
        <w:spacing w:after="0" w:line="176" w:lineRule="exact"/>
        <w:rPr>
          <w:sz w:val="20"/>
          <w:szCs w:val="20"/>
          <w:color w:val="auto"/>
        </w:rPr>
      </w:pPr>
    </w:p>
    <w:p>
      <w:pPr>
        <w:ind w:right="3880" w:firstLine="793"/>
        <w:spacing w:after="0" w:line="257" w:lineRule="auto"/>
        <w:rPr>
          <w:sz w:val="20"/>
          <w:szCs w:val="20"/>
          <w:color w:val="auto"/>
        </w:rPr>
      </w:pPr>
      <w:r>
        <w:rPr>
          <w:rFonts w:ascii="Courier New" w:cs="Courier New" w:eastAsia="Courier New" w:hAnsi="Courier New"/>
          <w:sz w:val="14"/>
          <w:szCs w:val="14"/>
          <w:color w:val="auto"/>
        </w:rPr>
        <w:t>Interest expense we incurred on bonds-match funded agreements declined $4,169 or 36% during 2001 as compared to 2000 primarily as a result of a $37,685 or 30% decline in the average balance outstanding. Interest expense on our bonds-match funded agreements is primarily comprised of interest we incurred on bonds-match funded agreements acquired as a result of our acquisition of OAC in October 1999 and on non-recourse notes, which resulted from our transfer of unrated residual securities in December 1999 in exchange for non-recourse notes. We have accounted for these transactions, which did not qualify as sales for accounting purposes, as secured borrowings with pledges of collateral. See "Changes in Financial Condition - Bonds - Match Funded Agreements."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expense we incurred on obligations outstanding under our lines</w:t>
      </w:r>
    </w:p>
    <w:p>
      <w:pPr>
        <w:spacing w:after="0"/>
        <w:rPr>
          <w:sz w:val="20"/>
          <w:szCs w:val="20"/>
          <w:color w:val="auto"/>
        </w:rPr>
      </w:pPr>
      <w:r>
        <w:rPr>
          <w:rFonts w:ascii="Courier New" w:cs="Courier New" w:eastAsia="Courier New" w:hAnsi="Courier New"/>
          <w:sz w:val="15"/>
          <w:szCs w:val="15"/>
          <w:color w:val="auto"/>
        </w:rPr>
        <w:t>of credit decreased $8,370 or 60% during 2001 as compared to 2000 due to a</w:t>
      </w:r>
    </w:p>
    <w:p>
      <w:pPr>
        <w:spacing w:after="0"/>
        <w:rPr>
          <w:sz w:val="20"/>
          <w:szCs w:val="20"/>
          <w:color w:val="auto"/>
        </w:rPr>
      </w:pPr>
      <w:r>
        <w:rPr>
          <w:rFonts w:ascii="Courier New" w:cs="Courier New" w:eastAsia="Courier New" w:hAnsi="Courier New"/>
          <w:sz w:val="15"/>
          <w:szCs w:val="15"/>
          <w:color w:val="auto"/>
        </w:rPr>
        <w:t>$69,819 or 46% decrease in the average balance and a 244 basis-point decline in</w:t>
      </w:r>
    </w:p>
    <w:p>
      <w:pPr>
        <w:spacing w:after="0" w:line="238" w:lineRule="auto"/>
        <w:rPr>
          <w:sz w:val="20"/>
          <w:szCs w:val="20"/>
          <w:color w:val="auto"/>
        </w:rPr>
      </w:pPr>
      <w:r>
        <w:rPr>
          <w:rFonts w:ascii="Courier New" w:cs="Courier New" w:eastAsia="Courier New" w:hAnsi="Courier New"/>
          <w:sz w:val="15"/>
          <w:szCs w:val="15"/>
          <w:color w:val="auto"/>
        </w:rPr>
        <w:t>the average rate. During 2001, we used lines of credit to fund real estate</w:t>
      </w:r>
    </w:p>
    <w:p>
      <w:pPr>
        <w:spacing w:after="0"/>
        <w:rPr>
          <w:sz w:val="20"/>
          <w:szCs w:val="20"/>
          <w:color w:val="auto"/>
        </w:rPr>
      </w:pPr>
      <w:r>
        <w:rPr>
          <w:rFonts w:ascii="Courier New" w:cs="Courier New" w:eastAsia="Courier New" w:hAnsi="Courier New"/>
          <w:sz w:val="15"/>
          <w:szCs w:val="15"/>
          <w:color w:val="auto"/>
        </w:rPr>
        <w:t>investments and commercial construction loans and, beginning in the second</w:t>
      </w:r>
    </w:p>
    <w:p>
      <w:pPr>
        <w:spacing w:after="0"/>
        <w:rPr>
          <w:sz w:val="20"/>
          <w:szCs w:val="20"/>
          <w:color w:val="auto"/>
        </w:rPr>
      </w:pPr>
      <w:r>
        <w:rPr>
          <w:rFonts w:ascii="Courier New" w:cs="Courier New" w:eastAsia="Courier New" w:hAnsi="Courier New"/>
          <w:sz w:val="15"/>
          <w:szCs w:val="15"/>
          <w:color w:val="auto"/>
        </w:rPr>
        <w:t>quarter of 2001, to fund servicing advances that were purchased in connection</w:t>
      </w:r>
    </w:p>
    <w:p>
      <w:pPr>
        <w:spacing w:after="0" w:line="238" w:lineRule="auto"/>
        <w:rPr>
          <w:sz w:val="20"/>
          <w:szCs w:val="20"/>
          <w:color w:val="auto"/>
        </w:rPr>
      </w:pPr>
      <w:r>
        <w:rPr>
          <w:rFonts w:ascii="Courier New" w:cs="Courier New" w:eastAsia="Courier New" w:hAnsi="Courier New"/>
          <w:sz w:val="15"/>
          <w:szCs w:val="15"/>
          <w:color w:val="auto"/>
        </w:rPr>
        <w:t>with the acquisition of loans serviced for others. Average balances outstanding</w:t>
      </w:r>
    </w:p>
    <w:p>
      <w:pPr>
        <w:spacing w:after="0"/>
        <w:rPr>
          <w:sz w:val="20"/>
          <w:szCs w:val="20"/>
          <w:color w:val="auto"/>
        </w:rPr>
      </w:pPr>
      <w:r>
        <w:rPr>
          <w:rFonts w:ascii="Courier New" w:cs="Courier New" w:eastAsia="Courier New" w:hAnsi="Courier New"/>
          <w:sz w:val="15"/>
          <w:szCs w:val="15"/>
          <w:color w:val="auto"/>
        </w:rPr>
        <w:t>under our lines of credit decreased during 2001 primarily because of sales of</w:t>
      </w:r>
    </w:p>
    <w:p>
      <w:pPr>
        <w:spacing w:after="0"/>
        <w:rPr>
          <w:sz w:val="20"/>
          <w:szCs w:val="20"/>
          <w:color w:val="auto"/>
        </w:rPr>
      </w:pPr>
      <w:r>
        <w:rPr>
          <w:rFonts w:ascii="Courier New" w:cs="Courier New" w:eastAsia="Courier New" w:hAnsi="Courier New"/>
          <w:sz w:val="15"/>
          <w:szCs w:val="15"/>
          <w:color w:val="auto"/>
        </w:rPr>
        <w:t>our real estate properties and commercial loans, offset in part by the funding</w:t>
      </w:r>
    </w:p>
    <w:p>
      <w:pPr>
        <w:spacing w:after="0"/>
        <w:rPr>
          <w:sz w:val="20"/>
          <w:szCs w:val="20"/>
          <w:color w:val="auto"/>
        </w:rPr>
      </w:pPr>
      <w:r>
        <w:rPr>
          <w:rFonts w:ascii="Courier New" w:cs="Courier New" w:eastAsia="Courier New" w:hAnsi="Courier New"/>
          <w:sz w:val="15"/>
          <w:szCs w:val="15"/>
          <w:color w:val="auto"/>
        </w:rPr>
        <w:t>of our residential loan servicing advances under new lines. See "Changes in</w:t>
      </w:r>
    </w:p>
    <w:p>
      <w:pPr>
        <w:spacing w:after="0" w:line="238" w:lineRule="auto"/>
        <w:rPr>
          <w:sz w:val="20"/>
          <w:szCs w:val="20"/>
          <w:color w:val="auto"/>
        </w:rPr>
      </w:pPr>
      <w:r>
        <w:rPr>
          <w:rFonts w:ascii="Courier New" w:cs="Courier New" w:eastAsia="Courier New" w:hAnsi="Courier New"/>
          <w:sz w:val="15"/>
          <w:szCs w:val="15"/>
          <w:color w:val="auto"/>
        </w:rPr>
        <w:t>Financial Condition - Obligations Outstanding Under Lines of Credit."</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Interest expense we incurred on notes, debentures and other interest-bearing obligations decreased $14,765 or 42% during 2001 as compared to 2000 primarily due to a $114,381 or 40% decrease in the average balance. The decrease in the average balance is primarily due to repurchases of debt we made during 2001 and 2000. See "Changes in Financial Condition - Notes, Debentures and Other Interest-Bearing Obligations."</w:t>
      </w:r>
    </w:p>
    <w:p>
      <w:pPr>
        <w:spacing w:after="0" w:line="176" w:lineRule="exact"/>
        <w:rPr>
          <w:sz w:val="20"/>
          <w:szCs w:val="20"/>
          <w:color w:val="auto"/>
        </w:rPr>
      </w:pPr>
    </w:p>
    <w:p>
      <w:pPr>
        <w:ind w:right="3880" w:firstLine="793"/>
        <w:spacing w:after="0" w:line="239" w:lineRule="auto"/>
        <w:rPr>
          <w:sz w:val="20"/>
          <w:szCs w:val="20"/>
          <w:color w:val="auto"/>
        </w:rPr>
      </w:pPr>
      <w:r>
        <w:rPr>
          <w:rFonts w:ascii="Courier New" w:cs="Courier New" w:eastAsia="Courier New" w:hAnsi="Courier New"/>
          <w:sz w:val="15"/>
          <w:szCs w:val="15"/>
          <w:color w:val="auto"/>
        </w:rPr>
        <w:t>Provisions for Loan Losses. As of December 31, 2002, our total net loan balance was $76,857 or 6.3% of total assets, as compared to $185,293 or 10.8% of total assets as of December 31, 2001. Of the balance remaining at December 31, 2002, $69,196 represents seven non-residential loans held in our Commercial Finance segment and $6,229 represents three multi-family loans held in our Affordable Housing segment. Because of the small number of remaining loans, we are able to perform a specific risk assessment on each Commercial Finance and Affordable Housing loan. Our risk assessment of Commercial Finance loans includes a review of the underlying loan collateral, general and local economic conditions, property type risk, borrower's capacity and willingness to pay, and projections of prospective cash flows based on property-specific events. For loans held in our Affordable Housing business, we project the amounts to be realized from the disposition of the property to determine the appropriate allowance for loan losses. We also analyze the historical trends in the gains or losses on disposition and resolution of loans as compared to the allowance for loan losses at the time of disposition and resolution. The results of this analysis are also taken into consideration in evaluating the allowance for loan losses on the remaining loans. The allowance for loan losses is management's best estimate of probable inherent loan losses incurred as of December 31, 2002. Provisions we record for losses on our loans are charged to operations to maintain an allowance for losses on our loans and</w:t>
      </w:r>
    </w:p>
    <w:p>
      <w:pPr>
        <w:sectPr>
          <w:pgSz w:w="11900" w:h="16838" w:orient="portrait"/>
          <w:cols w:equalWidth="0" w:num="1">
            <w:col w:w="10920"/>
          </w:cols>
          <w:pgMar w:left="240" w:top="627" w:right="739" w:bottom="0" w:gutter="0" w:footer="0" w:header="0"/>
        </w:sectPr>
      </w:pPr>
    </w:p>
    <w:bookmarkStart w:id="57" w:name="page58"/>
    <w:bookmarkEnd w:id="57"/>
    <w:p>
      <w:pPr>
        <w:ind w:left="22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305" w:right="1440" w:bottom="1440" w:gutter="0" w:footer="0" w:header="0"/>
        </w:sectPr>
      </w:pPr>
    </w:p>
    <w:bookmarkStart w:id="58" w:name="page59"/>
    <w:bookmarkEnd w:id="58"/>
    <w:p>
      <w:pPr>
        <w:ind w:right="55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240"/>
        <w:spacing w:after="0" w:line="235" w:lineRule="auto"/>
        <w:rPr>
          <w:sz w:val="20"/>
          <w:szCs w:val="20"/>
          <w:color w:val="auto"/>
        </w:rPr>
      </w:pPr>
      <w:r>
        <w:rPr>
          <w:rFonts w:ascii="Courier New" w:cs="Courier New" w:eastAsia="Courier New" w:hAnsi="Courier New"/>
          <w:sz w:val="15"/>
          <w:szCs w:val="15"/>
          <w:color w:val="auto"/>
        </w:rPr>
        <w:t>match funded loans at a level we consider adequate based upon an evaluation of known and inherent risks in such portfolios, as described above.</w:t>
      </w:r>
    </w:p>
    <w:p>
      <w:pPr>
        <w:spacing w:after="0" w:line="176" w:lineRule="exact"/>
        <w:rPr>
          <w:sz w:val="20"/>
          <w:szCs w:val="20"/>
          <w:color w:val="auto"/>
        </w:rPr>
      </w:pPr>
    </w:p>
    <w:p>
      <w:pPr>
        <w:ind w:right="4420" w:firstLine="793"/>
        <w:spacing w:after="0" w:line="235" w:lineRule="auto"/>
        <w:rPr>
          <w:sz w:val="20"/>
          <w:szCs w:val="20"/>
          <w:color w:val="auto"/>
        </w:rPr>
      </w:pPr>
      <w:r>
        <w:rPr>
          <w:rFonts w:ascii="Courier New" w:cs="Courier New" w:eastAsia="Courier New" w:hAnsi="Courier New"/>
          <w:sz w:val="15"/>
          <w:szCs w:val="15"/>
          <w:color w:val="auto"/>
        </w:rPr>
        <w:t>The following table presents the provisions for loan losses for the years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6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6087"/>
              <w:spacing w:after="0"/>
              <w:rPr>
                <w:sz w:val="20"/>
                <w:szCs w:val="20"/>
                <w:color w:val="auto"/>
              </w:rPr>
            </w:pPr>
            <w:r>
              <w:rPr>
                <w:rFonts w:ascii="Courier New" w:cs="Courier New" w:eastAsia="Courier New" w:hAnsi="Courier New"/>
                <w:sz w:val="15"/>
                <w:szCs w:val="15"/>
                <w:color w:val="auto"/>
                <w:w w:val="93"/>
              </w:rPr>
              <w:t>Loans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Single family.....................................................</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5,481</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0"/>
        </w:trPr>
        <w:tc>
          <w:tcPr>
            <w:tcW w:w="6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Multi-family......................................................</w:t>
            </w:r>
          </w:p>
        </w:tc>
        <w:tc>
          <w:tcPr>
            <w:tcW w:w="6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4,684</w:t>
            </w:r>
          </w:p>
        </w:tc>
        <w:tc>
          <w:tcPr>
            <w:tcW w:w="4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w:t>
            </w:r>
          </w:p>
        </w:tc>
        <w:tc>
          <w:tcPr>
            <w:tcW w:w="4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1,945</w:t>
            </w:r>
          </w:p>
        </w:tc>
      </w:tr>
      <w:tr>
        <w:trPr>
          <w:trHeight w:val="170"/>
        </w:trPr>
        <w:tc>
          <w:tcPr>
            <w:tcW w:w="6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Nonresidential....................................................</w:t>
            </w:r>
          </w:p>
        </w:tc>
        <w:tc>
          <w:tcPr>
            <w:tcW w:w="6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11,523</w:t>
            </w:r>
          </w:p>
        </w:tc>
        <w:tc>
          <w:tcPr>
            <w:tcW w:w="4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8,170</w:t>
            </w:r>
          </w:p>
        </w:tc>
        <w:tc>
          <w:tcPr>
            <w:tcW w:w="4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6,981</w:t>
            </w:r>
          </w:p>
        </w:tc>
      </w:tr>
      <w:tr>
        <w:trPr>
          <w:trHeight w:val="170"/>
        </w:trPr>
        <w:tc>
          <w:tcPr>
            <w:tcW w:w="6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w:t>
            </w:r>
          </w:p>
        </w:tc>
        <w:tc>
          <w:tcPr>
            <w:tcW w:w="4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1,567</w:t>
            </w:r>
          </w:p>
        </w:tc>
        <w:tc>
          <w:tcPr>
            <w:tcW w:w="4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7,504</w:t>
            </w:r>
          </w:p>
        </w:tc>
      </w:tr>
      <w:tr>
        <w:trPr>
          <w:trHeight w:val="170"/>
        </w:trPr>
        <w:tc>
          <w:tcPr>
            <w:tcW w:w="66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13,655</w:t>
            </w:r>
          </w:p>
        </w:tc>
        <w:tc>
          <w:tcPr>
            <w:tcW w:w="4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15,478</w:t>
            </w:r>
          </w:p>
        </w:tc>
        <w:tc>
          <w:tcPr>
            <w:tcW w:w="4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15,270</w:t>
            </w:r>
          </w:p>
        </w:tc>
      </w:tr>
      <w:tr>
        <w:trPr>
          <w:trHeight w:val="170"/>
        </w:trPr>
        <w:tc>
          <w:tcPr>
            <w:tcW w:w="66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Match funded loans.....................................................</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66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13,629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15,666</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15,177</w:t>
            </w:r>
          </w:p>
        </w:tc>
      </w:tr>
      <w:tr>
        <w:trPr>
          <w:trHeight w:val="170"/>
        </w:trPr>
        <w:tc>
          <w:tcPr>
            <w:tcW w:w="66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060" w:firstLine="793"/>
        <w:spacing w:after="0" w:line="238" w:lineRule="auto"/>
        <w:rPr>
          <w:sz w:val="20"/>
          <w:szCs w:val="20"/>
          <w:color w:val="auto"/>
        </w:rPr>
      </w:pPr>
      <w:r>
        <w:rPr>
          <w:rFonts w:ascii="Courier New" w:cs="Courier New" w:eastAsia="Courier New" w:hAnsi="Courier New"/>
          <w:sz w:val="15"/>
          <w:szCs w:val="15"/>
          <w:color w:val="auto"/>
        </w:rPr>
        <w:t>The decline in provision on single family loans in 2002 is primarily the result of sales of loans that were significantly reserved. The increase in the provision on multi-family loans is largely the result of increased reserve levels on affordable housing construction loans based on estimated permanent financing proceeds. The increased provision on nonresidential loans reflects an increase in reserve levels on our seven remaining loans. The provision for losses on other loans related to our unsecured credit card receivables, which we had fully reserved at December 31, 2001. As indicated in the table below, our allowances as a percentage of loan value have been increased at December 31, 2002 and 2001.</w:t>
      </w:r>
    </w:p>
    <w:p>
      <w:pPr>
        <w:spacing w:after="0" w:line="349" w:lineRule="exact"/>
        <w:rPr>
          <w:sz w:val="20"/>
          <w:szCs w:val="20"/>
          <w:color w:val="auto"/>
        </w:rPr>
      </w:pPr>
    </w:p>
    <w:p>
      <w:pPr>
        <w:ind w:right="4580"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allowance for loan losses as a percentage of our respective loan balances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Allowance</w:t>
            </w: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as a % of</w:t>
            </w: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Allowance</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Loan Balance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Loan Balance</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0"/>
                <w:szCs w:val="10"/>
                <w:color w:val="auto"/>
                <w:w w:val="72"/>
              </w:rPr>
              <w:t>Single family.........................................................</w:t>
            </w: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9.72%</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Multi-family..........................................................</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6,637</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24,835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26.72</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Nonresidential........................................................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13,970</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71,199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19.62</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20,761</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97,618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21.27</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Match funded loans........................................................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0.38</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20,905</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135,747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15.40%</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0"/>
                <w:szCs w:val="10"/>
                <w:color w:val="auto"/>
                <w:w w:val="72"/>
              </w:rPr>
              <w:t>Single family.........................................................</w:t>
            </w: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3,401</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41,651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8.17%</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Multi-family..........................................................</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2,186</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7.35</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Nonresidential........................................................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4,827</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124,271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10,414</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195,707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5.32</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Match funded loans........................................................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53,123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0.32</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10,584</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248,830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4.25%</w:t>
            </w: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0"/>
                <w:szCs w:val="10"/>
                <w:color w:val="auto"/>
                <w:w w:val="72"/>
              </w:rPr>
              <w:t>Single family.........................................................</w:t>
            </w: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3,493</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227,071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Multi-family..........................................................</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2,798</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136,577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Nonresidential........................................................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8,210</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282,433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w:t>
            </w:r>
          </w:p>
        </w:tc>
      </w:tr>
      <w:tr>
        <w:trPr>
          <w:trHeight w:val="170"/>
        </w:trPr>
        <w:tc>
          <w:tcPr>
            <w:tcW w:w="7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8,778</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17,250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50.89</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23,279</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663,331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Match funded loans........................................................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0.35</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23,564</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744,165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3.17%</w:t>
            </w:r>
          </w:p>
        </w:tc>
      </w:tr>
      <w:tr>
        <w:trPr>
          <w:trHeight w:val="170"/>
        </w:trPr>
        <w:tc>
          <w:tcPr>
            <w:tcW w:w="3420" w:type="dxa"/>
            <w:vAlign w:val="bottom"/>
          </w:tcPr>
          <w:p>
            <w:pPr>
              <w:spacing w:after="0"/>
              <w:rPr>
                <w:sz w:val="14"/>
                <w:szCs w:val="14"/>
                <w:color w:val="auto"/>
              </w:rPr>
            </w:pPr>
          </w:p>
        </w:tc>
        <w:tc>
          <w:tcPr>
            <w:tcW w:w="4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3620" w:type="dxa"/>
            <w:vAlign w:val="bottom"/>
          </w:tcPr>
          <w:p>
            <w:pPr>
              <w:jc w:val="right"/>
              <w:ind w:right="3367"/>
              <w:spacing w:after="0"/>
              <w:rPr>
                <w:sz w:val="20"/>
                <w:szCs w:val="20"/>
                <w:color w:val="auto"/>
              </w:rPr>
            </w:pPr>
            <w:r>
              <w:rPr>
                <w:rFonts w:ascii="Courier New" w:cs="Courier New" w:eastAsia="Courier New" w:hAnsi="Courier New"/>
                <w:sz w:val="15"/>
                <w:szCs w:val="15"/>
                <w:color w:val="auto"/>
                <w:w w:val="88"/>
              </w:rPr>
              <w:t>35</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100"/>
          </w:cols>
          <w:pgMar w:left="240" w:top="627" w:right="559" w:bottom="226" w:gutter="0" w:footer="0" w:header="0"/>
        </w:sectPr>
      </w:pPr>
    </w:p>
    <w:bookmarkStart w:id="59" w:name="page60"/>
    <w:bookmarkEnd w:id="59"/>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4040" w:firstLine="793"/>
        <w:spacing w:after="0" w:line="237" w:lineRule="auto"/>
        <w:rPr>
          <w:sz w:val="20"/>
          <w:szCs w:val="20"/>
          <w:color w:val="auto"/>
        </w:rPr>
      </w:pPr>
      <w:r>
        <w:rPr>
          <w:rFonts w:ascii="Courier New" w:cs="Courier New" w:eastAsia="Courier New" w:hAnsi="Courier New"/>
          <w:sz w:val="15"/>
          <w:szCs w:val="15"/>
          <w:color w:val="auto"/>
        </w:rPr>
        <w:t>For additional information regarding our allowance for loan losses on the above portfolios, see "Changes in Financial Condition - Allowances for Loan Losses." For information relating to our valuation allowance on real estate owned, see "Changes in Financial Condition - Real Estate Owned, Net."</w:t>
      </w:r>
    </w:p>
    <w:p>
      <w:pPr>
        <w:spacing w:after="0" w:line="176" w:lineRule="exact"/>
        <w:rPr>
          <w:sz w:val="20"/>
          <w:szCs w:val="20"/>
          <w:color w:val="auto"/>
        </w:rPr>
      </w:pPr>
    </w:p>
    <w:p>
      <w:pPr>
        <w:ind w:left="10" w:right="4480" w:firstLine="793"/>
        <w:spacing w:after="0" w:line="265" w:lineRule="auto"/>
        <w:rPr>
          <w:sz w:val="20"/>
          <w:szCs w:val="20"/>
          <w:color w:val="auto"/>
        </w:rPr>
      </w:pPr>
      <w:r>
        <w:rPr>
          <w:rFonts w:ascii="Courier New" w:cs="Courier New" w:eastAsia="Courier New" w:hAnsi="Courier New"/>
          <w:sz w:val="14"/>
          <w:szCs w:val="14"/>
          <w:color w:val="auto"/>
        </w:rPr>
        <w:t>Non-Interest Income. The following table sets forth the principal components of our non-interest income during the years indicated:</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Servicing and other fees..........................................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141,991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134,597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97,080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interest-earning assets, net.......................</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(3,485)</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(3,949)</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17,625</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trading and match funded securities, net...........</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7,012</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16,330</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(3,971)</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Impairment charges on securities available for sale...............</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(11,597)</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real estate owned, net.............................</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(15,719)</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(9,256)</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(14,904)</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other non-interest earning assets, net.............</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1,122</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(1,054)</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45,517</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operating gains (losses) on investments in real estate........</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(8,315)</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5,581</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27,579</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Amortization of excess of net assets acquired over purchase price.</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18,333</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14,112</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repurchase of debt.................................</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(1,461)</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3,774</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29,703</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Equity in income (loss) of investment in unconsolidated entities..</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(5,249)</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13,115</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8,759</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134,475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173,419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201,979</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960" w:firstLine="793"/>
        <w:spacing w:after="0" w:line="238" w:lineRule="auto"/>
        <w:rPr>
          <w:sz w:val="20"/>
          <w:szCs w:val="20"/>
          <w:color w:val="auto"/>
        </w:rPr>
      </w:pPr>
      <w:r>
        <w:rPr>
          <w:rFonts w:ascii="Courier New" w:cs="Courier New" w:eastAsia="Courier New" w:hAnsi="Courier New"/>
          <w:sz w:val="15"/>
          <w:szCs w:val="15"/>
          <w:color w:val="auto"/>
        </w:rPr>
        <w:t>Servicing and Other Fees. Our servicing and other fees are primarily comprised of fees we earned from investors for servicing residential mortgage loans on their behalf. The increase in servicing fees is largely due to the growth in residential loans we service for others. The average unpaid principal balance of loans we service for others amounted to $27,956,823, $16,738,3377 and $10,798,857 during 2002, 2001 and 2000, respectively. The following table sets forth the principal components of our servicing and other fees for the years indicated:</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Loan servicing and related fees:</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Loan servicing fees...............................................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145,888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109,880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55,195</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Late charges......................................................</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29,035</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21,326</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14,890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Interest on custodial accounts (1)................................</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7,757</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8,530</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6,523</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Special servicing fees (2)........................................</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3,884</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8,494</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10,420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Compensating interest expense (3).................................</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(19,758)</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(12,126)</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(8,758)</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Amortization of servicing rights (4)..............................</w:t>
            </w:r>
          </w:p>
        </w:tc>
        <w:tc>
          <w:tcPr>
            <w:tcW w:w="6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(58,153)</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(29,841)</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(10,036)</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4,067</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6,361</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10,333</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112,720</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112,624</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78,567</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fees:</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Property valuation fees (ORA).....................................</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14,204</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11,789</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10,630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Default servicing fees............................................</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4,418</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3,917</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Retail banking fees...............................................</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5,063</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2,690</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1,526</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5,586</w:t>
            </w:r>
          </w:p>
        </w:tc>
        <w:tc>
          <w:tcPr>
            <w:tcW w:w="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3,577</w:t>
            </w:r>
          </w:p>
        </w:tc>
        <w:tc>
          <w:tcPr>
            <w:tcW w:w="4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3,317</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141,991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134,597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97,080</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140" w:hanging="790"/>
        <w:spacing w:after="0" w:line="237" w:lineRule="auto"/>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we earned on custodial accounts during the holding period between collection of borrower payments and remittance to investors. Although servicing volume has been increasing each year, interest we earned on custodial accounts has been adversely affected by declining interest rates.</w:t>
      </w:r>
    </w:p>
    <w:p>
      <w:pPr>
        <w:spacing w:after="0" w:line="178" w:lineRule="exact"/>
        <w:rPr>
          <w:rFonts w:ascii="Courier New" w:cs="Courier New" w:eastAsia="Courier New" w:hAnsi="Courier New"/>
          <w:sz w:val="15"/>
          <w:szCs w:val="15"/>
          <w:color w:val="auto"/>
        </w:rPr>
      </w:pPr>
    </w:p>
    <w:p>
      <w:pPr>
        <w:ind w:left="790" w:right="3960" w:hanging="790"/>
        <w:spacing w:after="0" w:line="257" w:lineRule="auto"/>
        <w:tabs>
          <w:tab w:leader="none" w:pos="79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we earned under special servicing arrangements wherein we act as a special servicer for third parties, typically as part of a securitization. Under these arrangements, we service loans that become greater than 90 days past due and receive base special servicing fees plus incentive fees to the extent we achieve certain loss mitigation parameters. We have not entered into any new special servicing arrangements since the middle of 2001. As a result, special servicing fees have declined by $4,610 or 54% in 2002 as compared to 2001.</w:t>
      </w:r>
    </w:p>
    <w:p>
      <w:pPr>
        <w:spacing w:after="0" w:line="166" w:lineRule="exact"/>
        <w:rPr>
          <w:rFonts w:ascii="Courier New" w:cs="Courier New" w:eastAsia="Courier New" w:hAnsi="Courier New"/>
          <w:sz w:val="14"/>
          <w:szCs w:val="14"/>
          <w:color w:val="auto"/>
        </w:rPr>
      </w:pPr>
    </w:p>
    <w:p>
      <w:pPr>
        <w:ind w:left="790" w:right="3960" w:hanging="790"/>
        <w:spacing w:after="0" w:line="237" w:lineRule="auto"/>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servicer of securitized loans is typically obligated to pay to the securitization trust the difference between a full month of interest and the interest collected on loans that are repaid before the end of a calendar month.</w:t>
      </w:r>
    </w:p>
    <w:p>
      <w:pPr>
        <w:spacing w:after="0" w:line="176" w:lineRule="exact"/>
        <w:rPr>
          <w:rFonts w:ascii="Courier New" w:cs="Courier New" w:eastAsia="Courier New" w:hAnsi="Courier New"/>
          <w:sz w:val="15"/>
          <w:szCs w:val="15"/>
          <w:color w:val="auto"/>
        </w:rPr>
      </w:pPr>
    </w:p>
    <w:p>
      <w:pPr>
        <w:ind w:left="790" w:right="3960" w:hanging="790"/>
        <w:spacing w:after="0" w:line="237" w:lineRule="auto"/>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increases in amortization reflect increases in our purchases of rights to service loans for others. See "Changes in Financial Condition - Mortgage Servicing Rights."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010"/>
          </w:cols>
          <w:pgMar w:left="230" w:top="627" w:right="659" w:bottom="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MANAGEMENT'S DISCUSSION AND ANALYSIS OF FINANCIAL</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CONDITION AND</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(Dollars in thousands, except share data)</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88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The following table sets forth our loans</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serviced for others at the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dates indicated:</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4360" w:type="dxa"/>
            <w:vAlign w:val="bottom"/>
          </w:tcPr>
          <w:p>
            <w:pPr>
              <w:spacing w:after="0"/>
              <w:rPr>
                <w:sz w:val="24"/>
                <w:szCs w:val="24"/>
                <w:color w:val="auto"/>
              </w:rPr>
            </w:pP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Subprime Loans (1)</w:t>
            </w:r>
          </w:p>
        </w:tc>
        <w:tc>
          <w:tcPr>
            <w:tcW w:w="180" w:type="dxa"/>
            <w:vAlign w:val="bottom"/>
          </w:tcPr>
          <w:p>
            <w:pPr>
              <w:spacing w:after="0"/>
              <w:rPr>
                <w:sz w:val="24"/>
                <w:szCs w:val="24"/>
                <w:color w:val="auto"/>
              </w:rPr>
            </w:pP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Other Loans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2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20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No. of</w:t>
            </w:r>
          </w:p>
        </w:tc>
        <w:tc>
          <w:tcPr>
            <w:tcW w:w="14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No. of</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Loans</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Loans</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Loans</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$26,817,731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282,926</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$1,089,109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17,204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$27,906,840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300,130</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752,722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752,722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$26,817,731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282,926</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$1,841,831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17,611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$28,659,562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300,537</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$ 2,565,823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261,014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4,277</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$ 2,826,837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35,903</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582,964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582,964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$ 2,565,823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843,978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$ 3,409,801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36,141</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$29,383,554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314,552</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$1,350,123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21,481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$30,733,677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336,033</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1,335,686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1,335,686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645</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$29,383,554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314,552</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$2,685,809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22,126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$32,069,363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336,678</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$18,068,542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242,664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919,639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18,074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$18,988,181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260,738</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1,062,345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1,062,345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$18,068,542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242,664</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$1,981,984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$20,050,526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262,700</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$ 2,638,235</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317,001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$ 2,955,236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40,606</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158,250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158,250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$ 2,638,235</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475,251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5,268</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$ 3,113,486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40,853</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$20,706,777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278,249</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$1,236,640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23,095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$21,943,417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301,344</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1,220,595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2,209</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1,220,595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$20,706,777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278,249</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$2,457,235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25,304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$23,164,012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303,553</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December 31, 2000 (3)</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$ 7,499,361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118,174</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$1,170,782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22,162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$ 8,670,143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140,336</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798,873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798,873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$ 7,499,361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118,174</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$1,969,655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22,440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$ 9,469,016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140,614</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Non-performing (2)</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 ...........................</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$ 1,430,528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394,013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5,869</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$ 1,824,541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24,115</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 and other ..................</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66,967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66,967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$ 1,430,528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460,980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5,893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$ 1,891,508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24,139</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Residential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$ 8,929,889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136,420</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$1,564,795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28,031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$10,494,684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164,451</w:t>
            </w:r>
          </w:p>
        </w:tc>
      </w:tr>
      <w:tr>
        <w:trPr>
          <w:trHeight w:val="170"/>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Commercial loans.............................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865,840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865,840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$ 8,929,889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136,420</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$2,430,635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28,333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$11,360,524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164,753</w:t>
            </w:r>
          </w:p>
        </w:tc>
      </w:tr>
      <w:tr>
        <w:trPr>
          <w:trHeight w:val="170"/>
        </w:trPr>
        <w:tc>
          <w:tcPr>
            <w:tcW w:w="436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790" w:right="4040" w:hanging="790"/>
        <w:spacing w:after="0" w:line="237" w:lineRule="auto"/>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loans represent loans we service which were made by others to borrowers who generally did not qualify under guidelines of the Fannie Mae and Freddie Mac ("nonconforming loans").</w:t>
      </w:r>
    </w:p>
    <w:p>
      <w:pPr>
        <w:spacing w:after="0" w:line="174" w:lineRule="exact"/>
        <w:rPr>
          <w:rFonts w:ascii="Courier New" w:cs="Courier New" w:eastAsia="Courier New" w:hAnsi="Courier New"/>
          <w:sz w:val="15"/>
          <w:szCs w:val="15"/>
          <w:color w:val="auto"/>
        </w:rPr>
      </w:pPr>
    </w:p>
    <w:p>
      <w:pPr>
        <w:ind w:left="790" w:right="4040" w:hanging="790"/>
        <w:spacing w:after="0" w:line="237" w:lineRule="auto"/>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loans serviced for others have been delinquent for 90 days or more. Performing loans serviced for others are current or have been delinquent for less than 90 days.</w:t>
      </w:r>
    </w:p>
    <w:p>
      <w:pPr>
        <w:spacing w:after="0" w:line="174" w:lineRule="exact"/>
        <w:rPr>
          <w:rFonts w:ascii="Courier New" w:cs="Courier New" w:eastAsia="Courier New" w:hAnsi="Courier New"/>
          <w:sz w:val="15"/>
          <w:szCs w:val="15"/>
          <w:color w:val="auto"/>
        </w:rPr>
      </w:pPr>
    </w:p>
    <w:p>
      <w:pPr>
        <w:ind w:left="790" w:right="4220" w:hanging="790"/>
        <w:spacing w:after="0" w:line="237" w:lineRule="auto"/>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approximately 38,500 loans with an unpaid principal balance of approximately $1,027,600 that we acquired on December 31, 2000 but which we did not board in our loan servicing system until 2001.</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010"/>
          </w:cols>
          <w:pgMar w:left="230" w:top="622" w:right="659" w:bottom="226" w:gutter="0" w:footer="0" w:header="0"/>
        </w:sectPr>
      </w:pPr>
    </w:p>
    <w:bookmarkStart w:id="61" w:name="page62"/>
    <w:bookmarkEnd w:id="61"/>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Gain (Loss) on Interest Earning Assets. The following table sets for the principal components of net gains (losses) we earned on our interest earning assets for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14"/>
                <w:szCs w:val="14"/>
                <w:color w:val="auto"/>
              </w:rPr>
            </w:pPr>
          </w:p>
        </w:tc>
        <w:tc>
          <w:tcPr>
            <w:tcW w:w="1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(loss) on loan sales.........................................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(4,105)</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12,084</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Gain on security sales (1)........................................</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4,983</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620</w:t>
            </w:r>
          </w:p>
        </w:tc>
        <w:tc>
          <w:tcPr>
            <w:tcW w:w="52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(3,485)</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(3,949)</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17,625</w:t>
            </w:r>
          </w:p>
        </w:tc>
      </w:tr>
      <w:tr>
        <w:trPr>
          <w:trHeight w:val="170"/>
        </w:trPr>
        <w:tc>
          <w:tcPr>
            <w:tcW w:w="6120" w:type="dxa"/>
            <w:vAlign w:val="bottom"/>
          </w:tcPr>
          <w:p>
            <w:pPr>
              <w:spacing w:after="0"/>
              <w:rPr>
                <w:sz w:val="14"/>
                <w:szCs w:val="14"/>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400" w:hanging="790"/>
        <w:spacing w:after="0" w:line="235"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transfer of our securities from available for sale to trading on September 30, 2000.</w:t>
      </w:r>
    </w:p>
    <w:p>
      <w:pPr>
        <w:spacing w:after="0" w:line="176" w:lineRule="exact"/>
        <w:rPr>
          <w:sz w:val="20"/>
          <w:szCs w:val="20"/>
          <w:color w:val="auto"/>
        </w:rPr>
      </w:pPr>
    </w:p>
    <w:p>
      <w:pPr>
        <w:ind w:left="10" w:right="4140" w:firstLine="793"/>
        <w:spacing w:after="0" w:line="238" w:lineRule="auto"/>
        <w:rPr>
          <w:sz w:val="20"/>
          <w:szCs w:val="20"/>
          <w:color w:val="auto"/>
        </w:rPr>
      </w:pPr>
      <w:r>
        <w:rPr>
          <w:rFonts w:ascii="Courier New" w:cs="Courier New" w:eastAsia="Courier New" w:hAnsi="Courier New"/>
          <w:sz w:val="15"/>
          <w:szCs w:val="15"/>
          <w:color w:val="auto"/>
        </w:rPr>
        <w:t>Gain (Loss) on Trading and Match Funded Securities. The gain (loss) recorded on trading and match funded securities includes both unrealized gains and losses on securities to record them at fair value and realized gains and losses resulting from sales thereof. We changed our policy for securities available for sale and match funded securities to account for them as trading securities effective September 30, 2000. Realized gains from sales of trading securities totaled $4,992 and $11,117 during 2002 and 2001, respectively. See Notes 1, 4 and 6 to our Consolidated Financial Statements.</w:t>
      </w:r>
    </w:p>
    <w:p>
      <w:pPr>
        <w:spacing w:after="0" w:line="178" w:lineRule="exact"/>
        <w:rPr>
          <w:sz w:val="20"/>
          <w:szCs w:val="20"/>
          <w:color w:val="auto"/>
        </w:rPr>
      </w:pPr>
    </w:p>
    <w:p>
      <w:pPr>
        <w:ind w:left="10" w:right="4040" w:firstLine="793"/>
        <w:spacing w:after="0" w:line="238" w:lineRule="auto"/>
        <w:rPr>
          <w:sz w:val="20"/>
          <w:szCs w:val="20"/>
          <w:color w:val="auto"/>
        </w:rPr>
      </w:pPr>
      <w:r>
        <w:rPr>
          <w:rFonts w:ascii="Courier New" w:cs="Courier New" w:eastAsia="Courier New" w:hAnsi="Courier New"/>
          <w:sz w:val="15"/>
          <w:szCs w:val="15"/>
          <w:color w:val="auto"/>
        </w:rPr>
        <w:t>Impairment Charges on Securities Available for Sale. Prior to our transfer of securities available for sale to trading on September 30, 2000, we recorded impairment charges on securities available as a result of declines in fair value that we deemed to be other-than-temporary. See "Changes in Financial Condition - Trading Securities" and Note 1 to our Consolidated Financial Statements.</w:t>
      </w:r>
    </w:p>
    <w:p>
      <w:pPr>
        <w:spacing w:after="0" w:line="176"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Gain (Loss) on Real Estate Owned, Net. The following table sets forth the results of our real estate owned (which does not include investments in real estate, as discussed below) during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2002</w:t>
            </w:r>
          </w:p>
        </w:tc>
        <w:tc>
          <w:tcPr>
            <w:tcW w:w="580" w:type="dxa"/>
            <w:vAlign w:val="bottom"/>
          </w:tcPr>
          <w:p>
            <w:pPr>
              <w:spacing w:after="0"/>
              <w:rPr>
                <w:sz w:val="14"/>
                <w:szCs w:val="14"/>
                <w:color w:val="auto"/>
              </w:rPr>
            </w:pP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Gains on sales...............................................</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3,103</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14,111</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22,515</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Provision for losses in fair value...........................</w:t>
            </w:r>
          </w:p>
        </w:tc>
        <w:tc>
          <w:tcPr>
            <w:tcW w:w="7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(19,685)</w:t>
            </w:r>
          </w:p>
        </w:tc>
        <w:tc>
          <w:tcPr>
            <w:tcW w:w="5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(17,766)</w:t>
            </w: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(26,674)</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Operating income (expense), net (1)..........................</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863</w:t>
            </w:r>
          </w:p>
        </w:tc>
        <w:tc>
          <w:tcPr>
            <w:tcW w:w="5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(5,601)</w:t>
            </w: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(10,745)</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(15,719)</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(9,256)</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(14,904)</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660" w:hanging="790"/>
        <w:spacing w:after="0" w:line="235" w:lineRule="auto"/>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rental income and expenses associated with holding and maintaining the properties.</w:t>
      </w:r>
    </w:p>
    <w:p>
      <w:pPr>
        <w:spacing w:after="0" w:line="176" w:lineRule="exact"/>
        <w:rPr>
          <w:sz w:val="20"/>
          <w:szCs w:val="20"/>
          <w:color w:val="auto"/>
        </w:rPr>
      </w:pPr>
    </w:p>
    <w:p>
      <w:pPr>
        <w:ind w:left="10" w:right="3960" w:firstLine="793"/>
        <w:spacing w:after="0" w:line="238" w:lineRule="auto"/>
        <w:rPr>
          <w:sz w:val="20"/>
          <w:szCs w:val="20"/>
          <w:color w:val="auto"/>
        </w:rPr>
      </w:pPr>
      <w:r>
        <w:rPr>
          <w:rFonts w:ascii="Courier New" w:cs="Courier New" w:eastAsia="Courier New" w:hAnsi="Courier New"/>
          <w:sz w:val="15"/>
          <w:szCs w:val="15"/>
          <w:color w:val="auto"/>
        </w:rPr>
        <w:t>The results of our real estate owned for the periods presented above reflect significant declines in the number of properties owned as well as increased reserves on non-residential properties we have held for more than one year. See "Changes in Financial Condition - Real Estate Owned, Net" for additional information regarding real estate owned and the related provision for losses in fair value.</w:t>
      </w:r>
    </w:p>
    <w:p>
      <w:pPr>
        <w:spacing w:after="0" w:line="176" w:lineRule="exact"/>
        <w:rPr>
          <w:sz w:val="20"/>
          <w:szCs w:val="20"/>
          <w:color w:val="auto"/>
        </w:rPr>
      </w:pPr>
    </w:p>
    <w:p>
      <w:pPr>
        <w:jc w:val="both"/>
        <w:ind w:left="10" w:right="4140" w:firstLine="793"/>
        <w:spacing w:after="0" w:line="237" w:lineRule="auto"/>
        <w:rPr>
          <w:sz w:val="20"/>
          <w:szCs w:val="20"/>
          <w:color w:val="auto"/>
        </w:rPr>
      </w:pPr>
      <w:r>
        <w:rPr>
          <w:rFonts w:ascii="Courier New" w:cs="Courier New" w:eastAsia="Courier New" w:hAnsi="Courier New"/>
          <w:sz w:val="15"/>
          <w:szCs w:val="15"/>
          <w:color w:val="auto"/>
        </w:rPr>
        <w:t>Gain (Loss) on Other Non-Interest Earning Assets. The following table sets forth the principal components of net gains (losses) we recorded on other non-interest earning assets for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2002</w:t>
            </w:r>
          </w:p>
        </w:tc>
        <w:tc>
          <w:tcPr>
            <w:tcW w:w="580" w:type="dxa"/>
            <w:vAlign w:val="bottom"/>
          </w:tcPr>
          <w:p>
            <w:pPr>
              <w:spacing w:after="0"/>
              <w:rPr>
                <w:sz w:val="14"/>
                <w:szCs w:val="14"/>
                <w:color w:val="auto"/>
              </w:rPr>
            </w:pP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Gain on sale of investments in real estate (1)...............</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995</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22,949</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Gain (loss) on sale of affordable housing properties.........</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444</w:t>
            </w:r>
          </w:p>
        </w:tc>
        <w:tc>
          <w:tcPr>
            <w:tcW w:w="5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(956)</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Gain on sale of Kensington...................................</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20,025</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w:t>
            </w:r>
          </w:p>
        </w:tc>
        <w:tc>
          <w:tcPr>
            <w:tcW w:w="5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2,046</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1,122</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(1,054)</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45,517</w:t>
            </w:r>
          </w:p>
        </w:tc>
      </w:tr>
      <w:tr>
        <w:trPr>
          <w:trHeight w:val="170"/>
        </w:trPr>
        <w:tc>
          <w:tcPr>
            <w:tcW w:w="56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960" w:hanging="450"/>
        <w:spacing w:after="0" w:line="237" w:lineRule="auto"/>
        <w:tabs>
          <w:tab w:leader="none" w:pos="4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in 2002 were primarily comprised of $838 of gains resulting from the resolution of loans accounted for as investments in real estate. Gains recorded in 2000 consisted primarily of $20,806 resulting from the sale of four office buildings we had acquired In connection with our acquisition of OAC in 1999.</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010"/>
          </w:cols>
          <w:pgMar w:left="230" w:top="627" w:right="659" w:bottom="0" w:gutter="0" w:footer="0" w:header="0"/>
        </w:sectPr>
      </w:pPr>
    </w:p>
    <w:bookmarkStart w:id="62" w:name="page63"/>
    <w:bookmarkEnd w:id="62"/>
    <w:p>
      <w:pPr>
        <w:ind w:left="10" w:right="53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Operating Gains (Losses) on Investments in Real Estate. The</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following</w:t>
            </w:r>
          </w:p>
        </w:tc>
        <w:tc>
          <w:tcPr>
            <w:tcW w:w="6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table sets forth the results of our investments in real estate during</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the years</w:t>
            </w:r>
          </w:p>
        </w:tc>
        <w:tc>
          <w:tcPr>
            <w:tcW w:w="5020" w:type="dxa"/>
            <w:vAlign w:val="bottom"/>
          </w:tcPr>
          <w:p>
            <w:pPr>
              <w:ind w:left="100"/>
              <w:spacing w:after="0"/>
              <w:rPr>
                <w:sz w:val="20"/>
                <w:szCs w:val="20"/>
                <w:color w:val="auto"/>
              </w:rPr>
            </w:pPr>
            <w:r>
              <w:rPr>
                <w:rFonts w:ascii="Courier New" w:cs="Courier New" w:eastAsia="Courier New" w:hAnsi="Courier New"/>
                <w:sz w:val="15"/>
                <w:szCs w:val="15"/>
                <w:color w:val="auto"/>
              </w:rPr>
              <w:t>indicated:</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8"/>
        </w:trPr>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24"/>
                <w:szCs w:val="2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Operating</w:t>
            </w:r>
          </w:p>
        </w:tc>
        <w:tc>
          <w:tcPr>
            <w:tcW w:w="5020" w:type="dxa"/>
            <w:vAlign w:val="bottom"/>
          </w:tcPr>
          <w:p>
            <w:pPr>
              <w:ind w:left="100"/>
              <w:spacing w:after="0"/>
              <w:rPr>
                <w:sz w:val="20"/>
                <w:szCs w:val="20"/>
                <w:color w:val="auto"/>
              </w:rPr>
            </w:pPr>
            <w:r>
              <w:rPr>
                <w:rFonts w:ascii="Courier New" w:cs="Courier New" w:eastAsia="Courier New" w:hAnsi="Courier New"/>
                <w:sz w:val="15"/>
                <w:szCs w:val="15"/>
                <w:color w:val="auto"/>
              </w:rPr>
              <w:t>income, net (1).......................................</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3,035</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6,758</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15,856</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Equity in</w:t>
            </w:r>
          </w:p>
        </w:tc>
        <w:tc>
          <w:tcPr>
            <w:tcW w:w="5020" w:type="dxa"/>
            <w:vAlign w:val="bottom"/>
          </w:tcPr>
          <w:p>
            <w:pPr>
              <w:ind w:left="100"/>
              <w:spacing w:after="0"/>
              <w:rPr>
                <w:sz w:val="20"/>
                <w:szCs w:val="20"/>
                <w:color w:val="auto"/>
              </w:rPr>
            </w:pPr>
            <w:r>
              <w:rPr>
                <w:rFonts w:ascii="Courier New" w:cs="Courier New" w:eastAsia="Courier New" w:hAnsi="Courier New"/>
                <w:sz w:val="15"/>
                <w:szCs w:val="15"/>
                <w:color w:val="auto"/>
              </w:rPr>
              <w:t>earnings of loans accounted for as investments in real</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w w:val="92"/>
              </w:rPr>
              <w:t>estate</w:t>
            </w:r>
          </w:p>
        </w:tc>
        <w:tc>
          <w:tcPr>
            <w:tcW w:w="50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3,967</w:t>
            </w:r>
          </w:p>
        </w:tc>
        <w:tc>
          <w:tcPr>
            <w:tcW w:w="52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3,338</w:t>
            </w:r>
          </w:p>
        </w:tc>
        <w:tc>
          <w:tcPr>
            <w:tcW w:w="4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12,427</w:t>
            </w: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Impairment charges (3)..........................................</w:t>
            </w:r>
          </w:p>
        </w:tc>
        <w:tc>
          <w:tcPr>
            <w:tcW w:w="62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(15,317)</w:t>
            </w:r>
          </w:p>
        </w:tc>
        <w:tc>
          <w:tcPr>
            <w:tcW w:w="52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(4,515)</w:t>
            </w: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r>
        <w:trPr>
          <w:trHeight w:val="170"/>
        </w:trPr>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(8,315)</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5,581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27,579</w:t>
            </w:r>
          </w:p>
        </w:tc>
      </w:tr>
      <w:tr>
        <w:trPr>
          <w:trHeight w:val="170"/>
        </w:trPr>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060" w:hanging="790"/>
        <w:spacing w:after="0" w:line="237" w:lineRule="auto"/>
        <w:tabs>
          <w:tab w:leader="none" w:pos="79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operating income from our investments in real estate during 2001 is primarily due to sales of properties during 2000, most of which we acquired in connection with our acquisition of OAC in October 1999.</w:t>
      </w:r>
    </w:p>
    <w:p>
      <w:pPr>
        <w:spacing w:after="0" w:line="176" w:lineRule="exact"/>
        <w:rPr>
          <w:rFonts w:ascii="Courier New" w:cs="Courier New" w:eastAsia="Courier New" w:hAnsi="Courier New"/>
          <w:sz w:val="15"/>
          <w:szCs w:val="15"/>
          <w:color w:val="auto"/>
        </w:rPr>
      </w:pPr>
    </w:p>
    <w:p>
      <w:pPr>
        <w:ind w:left="790" w:right="3960" w:hanging="790"/>
        <w:spacing w:after="0" w:line="259" w:lineRule="auto"/>
        <w:tabs>
          <w:tab w:leader="none" w:pos="79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equity in earnings related to certain loans we account for as investments in real estate during 2001 is primarily due to the repayment of loans during 2000, which generated significant resolution gains, and an increase in our non-performing loans in 2001.</w:t>
      </w:r>
    </w:p>
    <w:p>
      <w:pPr>
        <w:spacing w:after="0" w:line="162" w:lineRule="exact"/>
        <w:rPr>
          <w:rFonts w:ascii="Courier New" w:cs="Courier New" w:eastAsia="Courier New" w:hAnsi="Courier New"/>
          <w:sz w:val="14"/>
          <w:szCs w:val="14"/>
          <w:color w:val="auto"/>
        </w:rPr>
      </w:pPr>
    </w:p>
    <w:p>
      <w:pPr>
        <w:ind w:left="790" w:right="3960" w:hanging="790"/>
        <w:spacing w:after="0" w:line="258" w:lineRule="auto"/>
        <w:tabs>
          <w:tab w:leader="none" w:pos="79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2002, impairment charges principally represent write-downs totaling $14,549 of the carrying value of our two remaining properties held for investment. In 2001, the charges represent the write-down of the carrying value of our investment in properties sold during 2002. See "Changes in Financial Condition - Investments in Real Estate" and "Changes in Financial Condition - Real Estate Held for Sale.</w:t>
      </w:r>
    </w:p>
    <w:p>
      <w:pPr>
        <w:spacing w:after="0" w:line="333" w:lineRule="exact"/>
        <w:rPr>
          <w:sz w:val="20"/>
          <w:szCs w:val="20"/>
          <w:color w:val="auto"/>
        </w:rPr>
      </w:pPr>
    </w:p>
    <w:p>
      <w:pPr>
        <w:ind w:left="10" w:right="3880" w:firstLine="793"/>
        <w:spacing w:after="0" w:line="238" w:lineRule="auto"/>
        <w:rPr>
          <w:sz w:val="20"/>
          <w:szCs w:val="20"/>
          <w:color w:val="auto"/>
        </w:rPr>
      </w:pPr>
      <w:r>
        <w:rPr>
          <w:rFonts w:ascii="Courier New" w:cs="Courier New" w:eastAsia="Courier New" w:hAnsi="Courier New"/>
          <w:sz w:val="15"/>
          <w:szCs w:val="15"/>
          <w:color w:val="auto"/>
        </w:rPr>
        <w:t>Amortization of Excess of Net Assets Acquired over Purchase Price. The amortization of excess of net assets acquired over purchase price resulted from our acquisition of OAC on October 7, 1999. Our acquisition resulted in an excess of net assets acquired over the purchase price of $60,042, which we amortized on a straight-line basis through 2001. On January 1, 2002, upon adoption of Statement of Financial Accounting Standard ("SFAS") No. 142, we reversed the unamortized balance of $18,333 to income as the effect of a change in accounting principle as required by this statement. See Note 1 to our Consolidated Financial Statements.</w:t>
      </w:r>
    </w:p>
    <w:p>
      <w:pPr>
        <w:spacing w:after="0" w:line="179" w:lineRule="exact"/>
        <w:rPr>
          <w:sz w:val="20"/>
          <w:szCs w:val="20"/>
          <w:color w:val="auto"/>
        </w:rPr>
      </w:pPr>
    </w:p>
    <w:p>
      <w:pPr>
        <w:ind w:left="10" w:right="4060" w:firstLine="793"/>
        <w:spacing w:after="0" w:line="237" w:lineRule="auto"/>
        <w:rPr>
          <w:sz w:val="20"/>
          <w:szCs w:val="20"/>
          <w:color w:val="auto"/>
        </w:rPr>
      </w:pPr>
      <w:r>
        <w:rPr>
          <w:rFonts w:ascii="Courier New" w:cs="Courier New" w:eastAsia="Courier New" w:hAnsi="Courier New"/>
          <w:sz w:val="15"/>
          <w:szCs w:val="15"/>
          <w:color w:val="auto"/>
        </w:rPr>
        <w:t>Gain (Loss) on Repurchase of Debt. The following table sets forth the components of the gains (losses) resulting from our repurchase of our debt securities during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10.875%</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Capital Securities due August 1, 2027:</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Face</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amount repurchased...............................................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4,910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18,371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30,470</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Gain</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3,722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11,739</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11.875%</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Notes due October 1, 2003:</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Face</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amount repurchased...............................................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43,550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13,025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Gain</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11.5% Redeemable Notes due July 1, 2005:</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Face</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amount repurchased...............................................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142,955</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Gain</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17,526</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12.00% Subordinated Debentures due June 15, 2005:</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Face</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amount repurchased...............................................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33,500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Gain</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Total debt repurchases: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Face</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amount repurchased...............................................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31,396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177,225</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Gain</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(1,461)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3,774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29,703</w:t>
            </w:r>
          </w:p>
        </w:tc>
      </w:tr>
      <w:tr>
        <w:trPr>
          <w:trHeight w:val="170"/>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880" w:firstLine="793"/>
        <w:spacing w:after="0" w:line="257" w:lineRule="auto"/>
        <w:rPr>
          <w:sz w:val="20"/>
          <w:szCs w:val="20"/>
          <w:color w:val="auto"/>
        </w:rPr>
      </w:pPr>
      <w:r>
        <w:rPr>
          <w:rFonts w:ascii="Courier New" w:cs="Courier New" w:eastAsia="Courier New" w:hAnsi="Courier New"/>
          <w:sz w:val="14"/>
          <w:szCs w:val="14"/>
          <w:color w:val="auto"/>
        </w:rPr>
        <w:t>In November 2002 we exercised redemption options on three of our outstanding debt obligations for a combined debt reduction of $73,545. As provided for in the terms of the indentures, we exercised our redemption option to call $40,000 of our 11.875% Notes at a price of 102.969%, $33,500 of our 12% Subordinated Debentures at a price of 102.667% and the remaining $45 of our 11.5% Redeemable Notes at a price of 105.75%. As a result of these early redemptions at a premium, we incurred $2,499 of loss, including the write-off of</w:t>
      </w:r>
    </w:p>
    <w:p>
      <w:pPr>
        <w:sectPr>
          <w:pgSz w:w="11900" w:h="16838" w:orient="portrait"/>
          <w:cols w:equalWidth="0" w:num="1">
            <w:col w:w="10930"/>
          </w:cols>
          <w:pgMar w:left="230" w:top="627" w:right="739" w:bottom="0" w:gutter="0" w:footer="0" w:header="0"/>
        </w:sectPr>
      </w:pPr>
    </w:p>
    <w:bookmarkStart w:id="63" w:name="page64"/>
    <w:bookmarkEnd w:id="63"/>
    <w:p>
      <w:pPr>
        <w:ind w:right="3179"/>
        <w:spacing w:after="0" w:line="237" w:lineRule="auto"/>
        <w:rPr>
          <w:sz w:val="20"/>
          <w:szCs w:val="20"/>
          <w:color w:val="auto"/>
        </w:rPr>
      </w:pPr>
      <w:r>
        <w:rPr>
          <w:rFonts w:ascii="Courier New" w:cs="Courier New" w:eastAsia="Courier New" w:hAnsi="Courier New"/>
          <w:sz w:val="15"/>
          <w:szCs w:val="15"/>
          <w:color w:val="auto"/>
        </w:rPr>
        <w:t>$416 of unamortized issuance costs. See "Changes in Financial Condition - Notes, Debentures and Other Interest-Bearing Obligations" and "Company Obligated, Mandatorily Redeemable Securities of Subsidiary Trust Holding Solely Junior Subordinated Debentures of the Company" and Notes 16 and 17 to our Consolidated Financial Statements.</w:t>
      </w:r>
    </w:p>
    <w:p>
      <w:pPr>
        <w:spacing w:after="0" w:line="178"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Other Income. See Note 25 to our Consolidated Financial Statements for a disclosure of the components of other income for 2002, 2001 and 2000. The increase in other income during 2002 as compared to 2001 is largely the result of $4,191 of collections of unsecured receivables that were accounted for under the cost recovery method until they had been reduced to zero as of December 31,</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141" w:right="1440" w:bottom="1440" w:gutter="0" w:footer="0" w:header="0"/>
        </w:sectPr>
      </w:pPr>
    </w:p>
    <w:bookmarkStart w:id="64" w:name="page65"/>
    <w:bookmarkEnd w:id="64"/>
    <w:p>
      <w:pPr>
        <w:ind w:left="10" w:right="2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780"/>
        <w:spacing w:after="0" w:line="237" w:lineRule="auto"/>
        <w:rPr>
          <w:sz w:val="20"/>
          <w:szCs w:val="20"/>
          <w:color w:val="auto"/>
        </w:rPr>
      </w:pPr>
      <w:r>
        <w:rPr>
          <w:rFonts w:ascii="Courier New" w:cs="Courier New" w:eastAsia="Courier New" w:hAnsi="Courier New"/>
          <w:sz w:val="15"/>
          <w:szCs w:val="15"/>
          <w:color w:val="auto"/>
        </w:rPr>
        <w:t>2001 through collections and reserves. The increase in other income during 2001 as compared to 2000 was primarily due to consulting revenues generated by our joint venture in Jamaica and real estate commission income generated from the sale of our real estate owned properties during 2001.</w:t>
      </w:r>
    </w:p>
    <w:p>
      <w:pPr>
        <w:spacing w:after="0" w:line="176" w:lineRule="exact"/>
        <w:rPr>
          <w:sz w:val="20"/>
          <w:szCs w:val="20"/>
          <w:color w:val="auto"/>
        </w:rPr>
      </w:pPr>
    </w:p>
    <w:p>
      <w:pPr>
        <w:ind w:left="10" w:right="1140" w:firstLine="793"/>
        <w:spacing w:after="0" w:line="265" w:lineRule="auto"/>
        <w:rPr>
          <w:sz w:val="20"/>
          <w:szCs w:val="20"/>
          <w:color w:val="auto"/>
        </w:rPr>
      </w:pPr>
      <w:r>
        <w:rPr>
          <w:rFonts w:ascii="Courier New" w:cs="Courier New" w:eastAsia="Courier New" w:hAnsi="Courier New"/>
          <w:sz w:val="14"/>
          <w:szCs w:val="14"/>
          <w:color w:val="auto"/>
        </w:rPr>
        <w:t>Non-Interest Expense. The following table sets forth the principal components of our non-interest expense during the years indicated:</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Compensation and employee benefits....................................</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77,778</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Occupancy and equipment...............................................</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11,843</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Technology and communication costs....................................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25,270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Loan expenses.........................................................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12,605</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Net operating losses on certain affordable housing properties.........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22,360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Amortization/writeoff of excess of purchase price over net assets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2,231</w:t>
            </w:r>
          </w:p>
        </w:tc>
      </w:tr>
      <w:tr>
        <w:trPr>
          <w:trHeight w:val="170"/>
        </w:trPr>
        <w:tc>
          <w:tcPr>
            <w:tcW w:w="6460" w:type="dxa"/>
            <w:vAlign w:val="bottom"/>
          </w:tcPr>
          <w:p>
            <w:pPr>
              <w:ind w:left="260"/>
              <w:spacing w:after="0"/>
              <w:rPr>
                <w:sz w:val="20"/>
                <w:szCs w:val="20"/>
                <w:color w:val="auto"/>
              </w:rPr>
            </w:pPr>
            <w:r>
              <w:rPr>
                <w:rFonts w:ascii="Courier New" w:cs="Courier New" w:eastAsia="Courier New" w:hAnsi="Courier New"/>
                <w:sz w:val="15"/>
                <w:szCs w:val="15"/>
                <w:color w:val="auto"/>
              </w:rPr>
              <w:t>acquired...........................................................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Professional services and regulatory fees.............................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16,383</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9,619</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178,089</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960" w:firstLine="793"/>
        <w:spacing w:after="0" w:line="237" w:lineRule="auto"/>
        <w:rPr>
          <w:sz w:val="20"/>
          <w:szCs w:val="20"/>
          <w:color w:val="auto"/>
        </w:rPr>
      </w:pPr>
      <w:r>
        <w:rPr>
          <w:rFonts w:ascii="Courier New" w:cs="Courier New" w:eastAsia="Courier New" w:hAnsi="Courier New"/>
          <w:sz w:val="15"/>
          <w:szCs w:val="15"/>
          <w:color w:val="auto"/>
        </w:rPr>
        <w:t>Compensation and Employee Benefits. The following table presents the principal components of compensation and benefits we incurred for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Salaries (1)..........................................................</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53,746</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Bonuses ..............................................................</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7,904</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Payroll taxes.........................................................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4,352</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Commissions...........................................................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3,370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2,668</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Contract programmers..................................................</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Relocation............................................................</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Long-term incentive plan (2)..........................................</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2,132</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77,778</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Salaries includes fees paid for the services of temporary employees.</w:t>
      </w:r>
    </w:p>
    <w:p>
      <w:pPr>
        <w:spacing w:after="0" w:line="174" w:lineRule="exact"/>
        <w:rPr>
          <w:rFonts w:ascii="Courier New" w:cs="Courier New" w:eastAsia="Courier New" w:hAnsi="Courier New"/>
          <w:sz w:val="15"/>
          <w:szCs w:val="15"/>
          <w:color w:val="auto"/>
        </w:rPr>
      </w:pPr>
    </w:p>
    <w:p>
      <w:pPr>
        <w:ind w:left="790" w:right="780" w:hanging="790"/>
        <w:spacing w:after="0" w:line="235" w:lineRule="auto"/>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suspended our long-term incentive plan in the first quarter of 2000 and reversed the related accrual at that time.</w:t>
      </w:r>
    </w:p>
    <w:p>
      <w:pPr>
        <w:spacing w:after="0" w:line="176" w:lineRule="exact"/>
        <w:rPr>
          <w:sz w:val="20"/>
          <w:szCs w:val="20"/>
          <w:color w:val="auto"/>
        </w:rPr>
      </w:pPr>
    </w:p>
    <w:p>
      <w:pPr>
        <w:ind w:left="10" w:right="700" w:firstLine="793"/>
        <w:spacing w:after="0" w:line="239" w:lineRule="auto"/>
        <w:rPr>
          <w:sz w:val="20"/>
          <w:szCs w:val="20"/>
          <w:color w:val="auto"/>
        </w:rPr>
      </w:pPr>
      <w:r>
        <w:rPr>
          <w:rFonts w:ascii="Courier New" w:cs="Courier New" w:eastAsia="Courier New" w:hAnsi="Courier New"/>
          <w:sz w:val="15"/>
          <w:szCs w:val="15"/>
          <w:color w:val="auto"/>
        </w:rPr>
        <w:t>The $7,136 decline in compensation and benefits in 2002 as compared to 2001 was primarily due to a $5,906 combined decrease in salaries and bonuses. This decline in costs has occurred in spite of an increase in the average number of our employees and is due in large part to our ongoing globalization initiative to reduce labor costs through the migration of certain functions (primarily in support of our residential servicing business and OTX) to our offices in Bangalore and Mumbai, India. The average total number of our full-time employees (domestic and international combined) amounted to 1,790 and 1,536 during 2002 and 2001, respectively. The number of employees in just our India offices averaged 543 during 2002 as compared to 151 during 2001. Our plans for 2003 call for a continued increase in the number of our India employees. See "Workforce and Operational Capacity" for additional information regarding our operations and workforce in India. The decline in salaries and bonuses, in spite of the increase in the number of employees, is also the result of a change in the mix of our workforce in the United States to a greater concentration of clerical level employees. This change in mix has occurred as we have exited capital-intensive businesses in favor of fee-based businesses, primarily residential loan servicing.</w:t>
      </w:r>
    </w:p>
    <w:p>
      <w:pPr>
        <w:spacing w:after="0" w:line="175" w:lineRule="exact"/>
        <w:rPr>
          <w:sz w:val="20"/>
          <w:szCs w:val="20"/>
          <w:color w:val="auto"/>
        </w:rPr>
      </w:pPr>
    </w:p>
    <w:p>
      <w:pPr>
        <w:ind w:left="10" w:right="700" w:firstLine="793"/>
        <w:spacing w:after="0" w:line="238" w:lineRule="auto"/>
        <w:rPr>
          <w:sz w:val="20"/>
          <w:szCs w:val="20"/>
          <w:color w:val="auto"/>
        </w:rPr>
      </w:pPr>
      <w:r>
        <w:rPr>
          <w:rFonts w:ascii="Courier New" w:cs="Courier New" w:eastAsia="Courier New" w:hAnsi="Courier New"/>
          <w:sz w:val="15"/>
          <w:szCs w:val="15"/>
          <w:color w:val="auto"/>
        </w:rPr>
        <w:t>Excluding the reversal of our long-term incentive plan accrual in 2000, our compensation and employee benefits expense declined by $4,250 in 2001 as compared to 2000. This decline was primarily due to a $3,233 decline in contract programmer expense and resulted largely from a reduction in contract programmers assisting with the implementation of our residential loan servicing system, which was completed in January 2001. Although our average total number of employees increased from 1,288 during 2000 to 1,536 during 2001, salaries expense actually declined by $568. As discussed in the paragraph above, this is primarily due to the cost savings resulting from our shift in workforce to India and the change in mix of our United States workforce resulting from our change in business strategy.</w:t>
      </w:r>
    </w:p>
    <w:p>
      <w:pPr>
        <w:spacing w:after="0" w:line="1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84,914</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83,086</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11,577</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12,005</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26,768</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23,876</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15,811</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13,051</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16,580</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9,931</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3,124</w:t>
            </w:r>
          </w:p>
        </w:tc>
      </w:tr>
      <w:tr>
        <w:trPr>
          <w:trHeight w:val="339"/>
        </w:trPr>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14,749</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12,829</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8,935</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12,107</w:t>
            </w:r>
          </w:p>
        </w:tc>
      </w:tr>
      <w:tr>
        <w:trPr>
          <w:trHeight w:val="170"/>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182,446</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170,009</w:t>
            </w:r>
          </w:p>
        </w:tc>
      </w:tr>
      <w:tr>
        <w:trPr>
          <w:trHeight w:val="170"/>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58,012</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58,580</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9,544</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8,876</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4,763</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4,834</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3,541</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2,736</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1,701</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778</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4,772</w:t>
            </w:r>
          </w:p>
        </w:tc>
      </w:tr>
      <w:tr>
        <w:trPr>
          <w:trHeight w:val="170"/>
        </w:trPr>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1,049</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1,165</w:t>
            </w:r>
          </w:p>
        </w:tc>
      </w:tr>
    </w:tbl>
    <w:p>
      <w:pPr>
        <w:spacing w:after="0" w:line="5" w:lineRule="exact"/>
        <w:rPr>
          <w:sz w:val="20"/>
          <w:szCs w:val="20"/>
          <w:color w:val="auto"/>
        </w:rPr>
      </w:pPr>
    </w:p>
    <w:p>
      <w:pPr>
        <w:ind w:left="1940" w:hanging="1143"/>
        <w:spacing w:after="0"/>
        <w:tabs>
          <w:tab w:leader="none" w:pos="19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(6,078)</w:t>
      </w:r>
    </w:p>
    <w:p>
      <w:pPr>
        <w:spacing w:after="0" w:line="5"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2,083</w:t>
      </w:r>
      <w:r>
        <w:rPr>
          <w:rFonts w:ascii="Courier New" w:cs="Courier New" w:eastAsia="Courier New" w:hAnsi="Courier New"/>
          <w:sz w:val="14"/>
          <w:szCs w:val="14"/>
          <w:color w:val="auto"/>
        </w:rPr>
        <w:t>3,466</w:t>
      </w:r>
    </w:p>
    <w:tbl>
      <w:tblPr>
        <w:tblLayout w:type="fixed"/>
        <w:tblInd w:w="0" w:type="dxa"/>
        <w:tblCellMar>
          <w:top w:w="0" w:type="dxa"/>
          <w:left w:w="0" w:type="dxa"/>
          <w:bottom w:w="0" w:type="dxa"/>
          <w:right w:w="0" w:type="dxa"/>
        </w:tblCellMar>
      </w:tblPr>
      <w:tr>
        <w:trPr>
          <w:trHeight w:val="169"/>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84,914</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83,086</w:t>
            </w:r>
          </w:p>
        </w:tc>
      </w:tr>
      <w:tr>
        <w:trPr>
          <w:trHeight w:val="170"/>
        </w:trPr>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50" w:space="620"/>
            <w:col w:w="2560"/>
          </w:cols>
          <w:pgMar w:left="230" w:top="627" w:right="739" w:bottom="0" w:gutter="0" w:footer="0" w:header="0"/>
        </w:sectPr>
      </w:pPr>
    </w:p>
    <w:bookmarkStart w:id="65" w:name="page66"/>
    <w:bookmarkEnd w:id="65"/>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Occupancy and Equipment. Occupancy and equipment costs consist principally of rents, depreciation, mail and delivery expense and other costs of our office operations.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Technology and Communication Costs. Technology and communication costs consist primarily of depreciation on our computer hardware and software, technology-related consulting fees (primarily OTX), telephone expense and amortization of intellectual property and capitalized software development costs. Technology costs for 2002 and 2001 also included $1,068 and $3,185, respectively, of payments related to the acquisition of Amos, Inc., an OTX subsidiary, in 1997. The final payment due in connection with this acquisition was recorded in 2002. An increase in depreciation and leasing expense at OTX in 2002 as compared to 2001 was largely offset by a decline in document imaging costs. The increase in depreciation and leasing expense was largely the result of upgrades to our computer servers and other hardware, as well as new hardware purchased for expanding our India operations centers. The decline in imaging costs is primarily the result of high levels of contracted document imaging services incurred in 2001 in connection with several large loan servicing acquisitions we made during the year.</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Net Operating Losses on Certain Affordable Housing Properties. Net operating losses we recorded on investments in certain affordable housing properties have increased during the past three years principally because of loss provisions we recorded in the amount of $17,350, $15,587 and $6,448, respectively, for expected losses on the sale of properties. Losses for 2002 also include a $3,944 charge to record a discount on a long-term sale of seven properties during the second quarter. We are accreting this discount to income over the term of the related receivable balance, which extends through 2014. See "Changes in Financial Condition - Affordable Housing Properties."</w:t>
      </w:r>
    </w:p>
    <w:p>
      <w:pPr>
        <w:spacing w:after="0" w:line="179" w:lineRule="exact"/>
        <w:rPr>
          <w:sz w:val="20"/>
          <w:szCs w:val="20"/>
          <w:color w:val="auto"/>
        </w:rPr>
      </w:pPr>
    </w:p>
    <w:p>
      <w:pPr>
        <w:ind w:right="3539" w:firstLine="793"/>
        <w:spacing w:after="0" w:line="256" w:lineRule="auto"/>
        <w:rPr>
          <w:sz w:val="20"/>
          <w:szCs w:val="20"/>
          <w:color w:val="auto"/>
        </w:rPr>
      </w:pPr>
      <w:r>
        <w:rPr>
          <w:rFonts w:ascii="Courier New" w:cs="Courier New" w:eastAsia="Courier New" w:hAnsi="Courier New"/>
          <w:sz w:val="14"/>
          <w:szCs w:val="14"/>
          <w:color w:val="auto"/>
        </w:rPr>
        <w:t>Amortization of Excess of Purchase Price Over Net Assets Acquired ("Goodwill"). Goodwill amortization that we recognized during 2002, 2001 and</w:t>
      </w:r>
    </w:p>
    <w:p>
      <w:pPr>
        <w:spacing w:after="0" w:line="1"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2000 related entirely to OTX. In accordance with the provisions of SFAS No. 142, which we adopted on January 1, 2002, we ceased amortization of the remaining balance of our goodwill beginning in 2002. However, we test our goodwill annually for impairment. As a result of our annual impairment testing in 2002, we wrote off the remaining $2,231 of goodwill associated with the 1997 acquisition of Amos, Inc. See Note 1 to our Consolidated Financial Statements.</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Loan Expenses. Loan expenses for 2002, 2001 and 2000 included $9,463, $8,426 and $9,358, respectively, of appraisal fees incurred in connection with property valuation services we provided through ORA. Loan expenses also include other expenses incurred in connection with loans we own and those we service for others. Loan expenses for 2001 included a charge to write-off $1,485 of deferred costs on commercial loans we owned.</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Professional Services and Regulatory Fees. Professional services and regulatory fees are primarily comprised of non-technology related consulting fees, legal and audit fees and FDIC insurance. The increase in 2002 as compared to 2001 was primarily due to a $4,201 increase in legal fees, offset in part by a $2,186 decline in FDIC insurance and a $519 decrease in consulting fees. Legal fees for 2002 included provisions totaling $3,250 related to the settlement of two litigation claims. See "Results of Operations - Segment Profitability - Residential Loan Servicing and - Commercial Finance" for additional information regarding the settlement of these claims. The decline in FDIC insurance was due to a decline in our deposit liabilities and a decline in the FDIC assessment rates The increase in 2001 as compared to 2000 was primarily due to a $1,651 increase in FDIC insurance resulting from an increase in the FDIC assessment rate offset in part by a decline in deposits.</w:t>
      </w:r>
    </w:p>
    <w:p>
      <w:pPr>
        <w:spacing w:after="0" w:line="16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Other Operating Expenses. Other operating expenses include travel and related costs, check processing and other deposit related costs, marketing costs, and amortization of deferred costs. See Note 26 to our Consolidated Financial Statements for a disclosure of the components of other operating expenses for 2002, 2001 and 2000.</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7" w:right="1440" w:bottom="1440" w:gutter="0" w:footer="0" w:header="0"/>
        </w:sectPr>
      </w:pPr>
    </w:p>
    <w:bookmarkStart w:id="66" w:name="page67"/>
    <w:bookmarkEnd w:id="66"/>
    <w:p>
      <w:pPr>
        <w:ind w:right="23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800" w:firstLine="793"/>
        <w:spacing w:after="0" w:line="238" w:lineRule="auto"/>
        <w:rPr>
          <w:sz w:val="20"/>
          <w:szCs w:val="20"/>
          <w:color w:val="auto"/>
        </w:rPr>
      </w:pPr>
      <w:r>
        <w:rPr>
          <w:rFonts w:ascii="Courier New" w:cs="Courier New" w:eastAsia="Courier New" w:hAnsi="Courier New"/>
          <w:sz w:val="15"/>
          <w:szCs w:val="15"/>
          <w:color w:val="auto"/>
        </w:rPr>
        <w:t>Distributions on Company Obligated, Mandatorily Redeemable Securities of Subsidiary Trust Holding Solely Junior Subordinated Debentures of the Company. Cash distributions on our Capital Securities are payable semi-annually in arrears on February 1 and August 1 of each year at an annual rate of 10.875%. We recorded $7,132, $11,380, and $13,111 of distributions to holders of the Capital Securities during 2001, 2000 and 1999, respectively. The decline in distributions is the result of repurchases we made during 2002, 2001 and 2000. See "Non-Interest Income - Gain (Loss) on Repurchase of Debt", Note 17 to our Consolidated Financial Statements and "Changes in Financial Condition - Company-Obligated, Mandatorily Redeemable Securities of Subsidiary Trust Holding Solely Junior Subordinated Debentures of the Company."</w:t>
      </w:r>
    </w:p>
    <w:p>
      <w:pPr>
        <w:spacing w:after="0" w:line="181" w:lineRule="exact"/>
        <w:rPr>
          <w:sz w:val="20"/>
          <w:szCs w:val="20"/>
          <w:color w:val="auto"/>
        </w:rPr>
      </w:pPr>
    </w:p>
    <w:p>
      <w:pPr>
        <w:ind w:right="980" w:firstLine="793"/>
        <w:spacing w:after="0" w:line="237" w:lineRule="auto"/>
        <w:rPr>
          <w:sz w:val="20"/>
          <w:szCs w:val="20"/>
          <w:color w:val="auto"/>
        </w:rPr>
      </w:pPr>
      <w:r>
        <w:rPr>
          <w:rFonts w:ascii="Courier New" w:cs="Courier New" w:eastAsia="Courier New" w:hAnsi="Courier New"/>
          <w:sz w:val="15"/>
          <w:szCs w:val="15"/>
          <w:color w:val="auto"/>
        </w:rPr>
        <w:t>Income Tax Expense (Benefit). The following table provides details of our income tax expense (benefit) and effective tax rates for the years indicated: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6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Income tax expense (benefit) on loss before taxes and effect of change</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accounting principle...............................................</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(31,066)</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Provision for valuation allowance on current year's deferred tax asset...</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34,049</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Provision for valuation allowance on prior year's deferred tax asset.....</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tax expense....................................................</w:t>
            </w:r>
          </w:p>
        </w:tc>
        <w:tc>
          <w:tcPr>
            <w:tcW w:w="4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2,983</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 benefit on effect of change in accounting principle...........</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r>
      <w:tr>
        <w:trPr>
          <w:trHeight w:val="170"/>
        </w:trPr>
        <w:tc>
          <w:tcPr>
            <w:tcW w:w="66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income tax expense.................................................</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1,817</w:t>
            </w:r>
          </w:p>
        </w:tc>
      </w:tr>
      <w:tr>
        <w:trPr>
          <w:trHeight w:val="170"/>
        </w:trPr>
        <w:tc>
          <w:tcPr>
            <w:tcW w:w="66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800" w:firstLine="793"/>
        <w:spacing w:after="0" w:line="237" w:lineRule="auto"/>
        <w:rPr>
          <w:sz w:val="20"/>
          <w:szCs w:val="20"/>
          <w:color w:val="auto"/>
        </w:rPr>
      </w:pPr>
      <w:r>
        <w:rPr>
          <w:rFonts w:ascii="Courier New" w:cs="Courier New" w:eastAsia="Courier New" w:hAnsi="Courier New"/>
          <w:sz w:val="15"/>
          <w:szCs w:val="15"/>
          <w:color w:val="auto"/>
        </w:rPr>
        <w:t>For 2002, 2001 and 2000 our effective tax rate before the provision for the deferred tax valuation allowance was 48.1%, 55.9% and 6.8% respectively, and reflected tax credits of $2,685, $2,078 and $2,577, respectively, resulting from our investment in affordable housing properties.</w:t>
      </w:r>
    </w:p>
    <w:p>
      <w:pPr>
        <w:spacing w:after="0" w:line="176" w:lineRule="exact"/>
        <w:rPr>
          <w:sz w:val="20"/>
          <w:szCs w:val="20"/>
          <w:color w:val="auto"/>
        </w:rPr>
      </w:pPr>
    </w:p>
    <w:p>
      <w:pPr>
        <w:ind w:right="880" w:firstLine="793"/>
        <w:spacing w:after="0" w:line="258" w:lineRule="auto"/>
        <w:rPr>
          <w:sz w:val="20"/>
          <w:szCs w:val="20"/>
          <w:color w:val="auto"/>
        </w:rPr>
      </w:pPr>
      <w:r>
        <w:rPr>
          <w:rFonts w:ascii="Courier New" w:cs="Courier New" w:eastAsia="Courier New" w:hAnsi="Courier New"/>
          <w:sz w:val="14"/>
          <w:szCs w:val="14"/>
          <w:color w:val="auto"/>
        </w:rPr>
        <w:t>The provision for deferred tax asset valuation allowance is a non-cash charge that we recorded to increase the aggregate valuation allowance, which amounted to $199,270 and $165,221 at December 31, 2002 and 2001, respectively. We estimated this valuation allowance based on our assessment of the portion of the deferred tax asset that more likely than not will not be realized.</w:t>
      </w:r>
    </w:p>
    <w:p>
      <w:pPr>
        <w:spacing w:after="0" w:line="165" w:lineRule="exact"/>
        <w:rPr>
          <w:sz w:val="20"/>
          <w:szCs w:val="20"/>
          <w:color w:val="auto"/>
        </w:rPr>
      </w:pPr>
    </w:p>
    <w:p>
      <w:pPr>
        <w:ind w:right="1060" w:firstLine="793"/>
        <w:spacing w:after="0" w:line="235" w:lineRule="auto"/>
        <w:rPr>
          <w:sz w:val="20"/>
          <w:szCs w:val="20"/>
          <w:color w:val="auto"/>
        </w:rPr>
      </w:pPr>
      <w:r>
        <w:rPr>
          <w:rFonts w:ascii="Courier New" w:cs="Courier New" w:eastAsia="Courier New" w:hAnsi="Courier New"/>
          <w:sz w:val="15"/>
          <w:szCs w:val="15"/>
          <w:color w:val="auto"/>
        </w:rPr>
        <w:t>See Note 20 to our Consolidated Financial Statements and "Changes in Financial Condition - Affordable Housing Properties."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(23,348)</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170"/>
        </w:trPr>
        <w:tc>
          <w:tcPr>
            <w:tcW w:w="2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23,348</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83,000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83,000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2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83,000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840" w:space="520"/>
            <w:col w:w="2480"/>
          </w:cols>
          <w:pgMar w:left="240" w:top="627" w:right="819" w:bottom="1440" w:gutter="0" w:footer="0" w:header="0"/>
        </w:sectPr>
      </w:pPr>
    </w:p>
    <w:bookmarkStart w:id="67" w:name="page68"/>
    <w:bookmarkEnd w:id="67"/>
    <w:p>
      <w:pPr>
        <w:ind w:left="10"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Condition</w:t>
      </w:r>
    </w:p>
    <w:p>
      <w:pPr>
        <w:spacing w:after="0" w:line="175" w:lineRule="exact"/>
        <w:rPr>
          <w:sz w:val="20"/>
          <w:szCs w:val="20"/>
          <w:color w:val="auto"/>
        </w:rPr>
      </w:pPr>
    </w:p>
    <w:p>
      <w:pPr>
        <w:ind w:left="10" w:right="3960" w:firstLine="793"/>
        <w:spacing w:after="0" w:line="235" w:lineRule="auto"/>
        <w:rPr>
          <w:sz w:val="20"/>
          <w:szCs w:val="20"/>
          <w:color w:val="auto"/>
        </w:rPr>
      </w:pPr>
      <w:r>
        <w:rPr>
          <w:rFonts w:ascii="Courier New" w:cs="Courier New" w:eastAsia="Courier New" w:hAnsi="Courier New"/>
          <w:sz w:val="15"/>
          <w:szCs w:val="15"/>
          <w:color w:val="auto"/>
        </w:rPr>
        <w:t>Trading Securities. The following table sets forth the fair value of our trading securities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300" w:type="dxa"/>
            <w:vAlign w:val="bottom"/>
          </w:tcPr>
          <w:p>
            <w:pPr>
              <w:spacing w:after="0"/>
              <w:rPr>
                <w:sz w:val="14"/>
                <w:szCs w:val="14"/>
                <w:color w:val="auto"/>
              </w:rPr>
            </w:pPr>
          </w:p>
        </w:tc>
        <w:tc>
          <w:tcPr>
            <w:tcW w:w="4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4"/>
                <w:szCs w:val="14"/>
                <w:color w:val="auto"/>
              </w:rPr>
            </w:pPr>
          </w:p>
        </w:tc>
        <w:tc>
          <w:tcPr>
            <w:tcW w:w="11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Collateralized mortgage obligations and U.S. Treasury Notes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Collateralized mortgage obligations (AAA-rated) (1).................</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20,540</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161,191</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277,595</w:t>
            </w: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U.S. Treasury Notes.................................................</w:t>
            </w: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1,016</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21,556</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161,191</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277,595</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Subordinates and residuals (2)</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300" w:type="dxa"/>
            <w:vAlign w:val="bottom"/>
          </w:tcPr>
          <w:p>
            <w:pPr>
              <w:jc w:val="right"/>
              <w:ind w:right="3847"/>
              <w:spacing w:after="0"/>
              <w:rPr>
                <w:sz w:val="20"/>
                <w:szCs w:val="20"/>
                <w:color w:val="auto"/>
              </w:rPr>
            </w:pPr>
            <w:r>
              <w:rPr>
                <w:rFonts w:ascii="Courier New" w:cs="Courier New" w:eastAsia="Courier New" w:hAnsi="Courier New"/>
                <w:sz w:val="15"/>
                <w:szCs w:val="15"/>
                <w:color w:val="auto"/>
              </w:rPr>
              <w:t>Single family residential</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BB rated subordinates...........................................</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599</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625</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4,563</w:t>
            </w: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B-rated subordinates............................................</w:t>
            </w: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606</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799</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2,911</w:t>
            </w: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Unrated subordinates............................................</w:t>
            </w: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344</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1,008</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9,361</w:t>
            </w: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Unrated subprime residuals......................................</w:t>
            </w: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33,213</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60,049</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93,176</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34,762</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62,481</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110,011</w:t>
            </w:r>
          </w:p>
        </w:tc>
      </w:tr>
      <w:tr>
        <w:trPr>
          <w:trHeight w:val="170"/>
        </w:trPr>
        <w:tc>
          <w:tcPr>
            <w:tcW w:w="6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Nonresidential unrated subordinates.................................</w:t>
            </w:r>
          </w:p>
        </w:tc>
        <w:tc>
          <w:tcPr>
            <w:tcW w:w="4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2,577</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2,577</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2,636</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37,339</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65,058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112,647</w:t>
            </w:r>
          </w:p>
        </w:tc>
      </w:tr>
      <w:tr>
        <w:trPr>
          <w:trHeight w:val="170"/>
        </w:trPr>
        <w:tc>
          <w:tcPr>
            <w:tcW w:w="6300" w:type="dxa"/>
            <w:vAlign w:val="bottom"/>
          </w:tcPr>
          <w:p>
            <w:pPr>
              <w:spacing w:after="0"/>
              <w:rPr>
                <w:sz w:val="14"/>
                <w:szCs w:val="1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780" w:hanging="790"/>
        <w:spacing w:after="0" w:line="238" w:lineRule="auto"/>
        <w:tabs>
          <w:tab w:leader="none" w:pos="7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2002, our CMO trading securities declined $140,651. This decline was primarily due to $227,100 of maturities and principal repayments, offset in part by purchases of $88,938. During 2001, the $116,404 decline was primarily due to $187,113 of maturities and principal repayments and $116,715 of sales, offset in part by purchases of $188,432.</w:t>
      </w:r>
    </w:p>
    <w:p>
      <w:pPr>
        <w:spacing w:after="0" w:line="175" w:lineRule="exact"/>
        <w:rPr>
          <w:rFonts w:ascii="Courier New" w:cs="Courier New" w:eastAsia="Courier New" w:hAnsi="Courier New"/>
          <w:sz w:val="15"/>
          <w:szCs w:val="15"/>
          <w:color w:val="auto"/>
        </w:rPr>
      </w:pPr>
    </w:p>
    <w:p>
      <w:pPr>
        <w:ind w:left="790" w:right="3780" w:hanging="790"/>
        <w:spacing w:after="0" w:line="238" w:lineRule="auto"/>
        <w:tabs>
          <w:tab w:leader="none" w:pos="7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2002, our subordinate and residual trading securities declined by $27,719. This decline was primarily due to $7,419 of maturities and principal repayments and $26,438 of sales, partly offset by $1,946 of net discount accretion. During 2001, the $47,589 decline was primarily due to $31,683 of sales, $10,721 of maturities and principal repayments and $7,416 of net premium amortization.</w:t>
      </w:r>
    </w:p>
    <w:p>
      <w:pPr>
        <w:spacing w:after="0" w:line="346"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CMOs are like traditional debt instruments because they have stated principal amounts and traditionally defined interest-rate terms. 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securities, we may not recover the full amount or, indeed, any of our initial investment in such subordinate and residual interests.</w:t>
      </w:r>
    </w:p>
    <w:p>
      <w:pPr>
        <w:spacing w:after="0" w:line="184" w:lineRule="exact"/>
        <w:rPr>
          <w:sz w:val="20"/>
          <w:szCs w:val="20"/>
          <w:color w:val="auto"/>
        </w:rPr>
      </w:pPr>
    </w:p>
    <w:p>
      <w:pPr>
        <w:ind w:left="10" w:right="3700" w:firstLine="793"/>
        <w:spacing w:after="0" w:line="256"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overcollateralization or the balance in the reserve account reaches a specified level. For residual interests in residential mortgage-backed securities, over-collaterization is the amount by which the collateral balance exceeds the sum of the bond principal amounts. Over-collaterization is achieved by applying monthly a portion of the interest payments of the underlying mortgages toward the reduction of the senior class certificate principal amounts, causing them to amortize more rapidly than the aggregate loan balance. Over-collaterization represents the first tier of loss protection afforded to the non-residual holders. To the extent not consumed by losses on more highly rated bonds, over-collaterization is remitted to the residual holders. In periods of declining interest rates, rates of prepayments on mortgage loans generally increase, and if the rate of prepayments is faster than anticipated, then the yield on subordinates will be positively affected and the yield on residuals</w:t>
      </w:r>
    </w:p>
    <w:p>
      <w:pPr>
        <w:sectPr>
          <w:pgSz w:w="11900" w:h="16838" w:orient="portrait"/>
          <w:cols w:equalWidth="0" w:num="1">
            <w:col w:w="10750"/>
          </w:cols>
          <w:pgMar w:left="230" w:top="627" w:right="919" w:bottom="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will be negatively affected.</w:t>
      </w:r>
    </w:p>
    <w:p>
      <w:pPr>
        <w:spacing w:after="0" w:line="169"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136" w:right="1440" w:bottom="1440" w:gutter="0" w:footer="0" w:header="0"/>
        </w:sectPr>
      </w:pPr>
    </w:p>
    <w:bookmarkStart w:id="69" w:name="page70"/>
    <w:bookmarkEnd w:id="69"/>
    <w:p>
      <w:pPr>
        <w:ind w:left="1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ind w:left="10"/>
        <w:spacing w:after="0"/>
        <w:rPr>
          <w:sz w:val="20"/>
          <w:szCs w:val="20"/>
          <w:color w:val="auto"/>
        </w:rPr>
      </w:pPr>
      <w:r>
        <w:rPr>
          <w:rFonts w:ascii="Courier New" w:cs="Courier New" w:eastAsia="Courier New" w:hAnsi="Courier New"/>
          <w:sz w:val="15"/>
          <w:szCs w:val="15"/>
          <w:color w:val="auto"/>
        </w:rPr>
        <w:t>RESULTS OF OPERATIONS</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0" w:right="4140" w:firstLine="793"/>
        <w:spacing w:after="0" w:line="257" w:lineRule="auto"/>
        <w:rPr>
          <w:sz w:val="20"/>
          <w:szCs w:val="20"/>
          <w:color w:val="auto"/>
        </w:rPr>
      </w:pPr>
      <w:r>
        <w:rPr>
          <w:rFonts w:ascii="Courier New" w:cs="Courier New" w:eastAsia="Courier New" w:hAnsi="Courier New"/>
          <w:sz w:val="14"/>
          <w:szCs w:val="14"/>
          <w:color w:val="auto"/>
        </w:rPr>
        <w:t>We periodically assess the carrying value of our subordinate securities and residual securities retained. There can be no assurance that our estimates used to determine the value of subordinate securities and residual securities retained will remain appropriate for the life of each securitization. If actual loan prepayments or defaults exceed our estimates, the carrying value of our subordinate securities and residual securities retained may be decreased during the period in which we recognized the disparity. During 2000, and before our transfer of securities available for sale to trading, we recorded $11,597 of impairment charges on our portfolio of subordinate and residual securities as a result of declines in value that we deemed to be "other- than- temporary."</w:t>
      </w:r>
    </w:p>
    <w:p>
      <w:pPr>
        <w:spacing w:after="0" w:line="166" w:lineRule="exact"/>
        <w:rPr>
          <w:sz w:val="20"/>
          <w:szCs w:val="20"/>
          <w:color w:val="auto"/>
        </w:rPr>
      </w:pPr>
    </w:p>
    <w:p>
      <w:pPr>
        <w:ind w:left="10" w:right="4320" w:firstLine="793"/>
        <w:spacing w:after="0" w:line="237" w:lineRule="auto"/>
        <w:rPr>
          <w:sz w:val="20"/>
          <w:szCs w:val="20"/>
          <w:color w:val="auto"/>
        </w:rPr>
      </w:pPr>
      <w:r>
        <w:rPr>
          <w:rFonts w:ascii="Courier New" w:cs="Courier New" w:eastAsia="Courier New" w:hAnsi="Courier New"/>
          <w:sz w:val="15"/>
          <w:szCs w:val="15"/>
          <w:color w:val="auto"/>
        </w:rPr>
        <w:t>The following table presents information regarding our trading subordinate and residual securities summarized by classification and rating at December 31, 2002:</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Anticipated</w:t>
            </w:r>
          </w:p>
        </w:tc>
      </w:t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Anticipated</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Anticipated</w:t>
            </w:r>
          </w:p>
        </w:tc>
        <w:tc>
          <w:tcPr>
            <w:tcW w:w="1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Yield to</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Yield to</w:t>
            </w:r>
          </w:p>
        </w:tc>
        <w:tc>
          <w:tcPr>
            <w:tcW w:w="1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Owned by</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Maturity at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Maturity at</w:t>
            </w:r>
          </w:p>
        </w:tc>
        <w:tc>
          <w:tcPr>
            <w:tcW w:w="1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Remaining</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Rating/Description</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Fair Value</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Ocwen</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Purchase (1)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12/31/02 (2)</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Coupon</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Life (3)</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Single-family residential:</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BB-rated subordinates............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599</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16.80%</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6.93%</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6.39%</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2.66</w:t>
            </w: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B-rated subordinates.............</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606</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17.44</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25.21</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6.61</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subordinates.............</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344</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15.01</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24.10</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7.02</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subprime residuals.......</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33,213</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18.69</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40.82</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N/A</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352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34,762</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subordinates.............</w:t>
            </w:r>
          </w:p>
        </w:tc>
        <w:tc>
          <w:tcPr>
            <w:tcW w:w="1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2,577</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22.15</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12.10</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N/A</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1.35</w:t>
            </w:r>
          </w:p>
        </w:tc>
      </w:tr>
      <w:tr>
        <w:trPr>
          <w:trHeight w:val="170"/>
        </w:trPr>
        <w:tc>
          <w:tcPr>
            <w:tcW w:w="352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ind w:left="3870" w:hanging="256"/>
        <w:spacing w:after="0"/>
        <w:tabs>
          <w:tab w:leader="none" w:pos="387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37,339</w:t>
      </w:r>
    </w:p>
    <w:p>
      <w:pPr>
        <w:ind w:left="3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3" w:lineRule="exact"/>
        <w:rPr>
          <w:rFonts w:ascii="Courier New" w:cs="Courier New" w:eastAsia="Courier New" w:hAnsi="Courier New"/>
          <w:sz w:val="15"/>
          <w:szCs w:val="15"/>
          <w:color w:val="auto"/>
        </w:rPr>
      </w:pPr>
    </w:p>
    <w:p>
      <w:pPr>
        <w:ind w:left="790" w:right="4220" w:hanging="790"/>
        <w:spacing w:after="0" w:line="237"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from inception to maturity based on the purchase price and anticipated future cash flows under pricing assumptions.</w:t>
      </w:r>
    </w:p>
    <w:p>
      <w:pPr>
        <w:spacing w:after="0" w:line="174" w:lineRule="exact"/>
        <w:rPr>
          <w:rFonts w:ascii="Courier New" w:cs="Courier New" w:eastAsia="Courier New" w:hAnsi="Courier New"/>
          <w:sz w:val="15"/>
          <w:szCs w:val="15"/>
          <w:color w:val="auto"/>
        </w:rPr>
      </w:pPr>
    </w:p>
    <w:p>
      <w:pPr>
        <w:ind w:left="790" w:right="4140" w:hanging="790"/>
        <w:spacing w:after="0" w:line="238"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based on the purchase price, actual cash flows received from inception until the respective date, and the then current estimate of future cash flows under the assumptions at the respective date. Changes in the December 31, 2002 anticipated yield to maturity from that originally anticipated are primarily the result of changes in prepayment assumptions and loss assumptions.</w:t>
      </w:r>
    </w:p>
    <w:p>
      <w:pPr>
        <w:spacing w:after="0" w:line="175" w:lineRule="exact"/>
        <w:rPr>
          <w:rFonts w:ascii="Courier New" w:cs="Courier New" w:eastAsia="Courier New" w:hAnsi="Courier New"/>
          <w:sz w:val="15"/>
          <w:szCs w:val="15"/>
          <w:color w:val="auto"/>
        </w:rPr>
      </w:pPr>
    </w:p>
    <w:p>
      <w:pPr>
        <w:ind w:left="790" w:right="4500" w:hanging="790"/>
        <w:spacing w:after="0" w:line="235"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weighted average life based on the December 31, 2002 book value.</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principal amount of mortgage loans</w:t>
      </w:r>
    </w:p>
    <w:p>
      <w:pPr>
        <w:spacing w:after="0" w:line="5" w:lineRule="exact"/>
        <w:rPr>
          <w:sz w:val="20"/>
          <w:szCs w:val="20"/>
          <w:color w:val="auto"/>
        </w:rPr>
      </w:pPr>
    </w:p>
    <w:p>
      <w:pPr>
        <w:ind w:left="10" w:right="4320"/>
        <w:spacing w:after="0" w:line="265" w:lineRule="auto"/>
        <w:rPr>
          <w:sz w:val="20"/>
          <w:szCs w:val="20"/>
          <w:color w:val="auto"/>
        </w:rPr>
      </w:pPr>
      <w:r>
        <w:rPr>
          <w:rFonts w:ascii="Courier New" w:cs="Courier New" w:eastAsia="Courier New" w:hAnsi="Courier New"/>
          <w:sz w:val="14"/>
          <w:szCs w:val="14"/>
          <w:color w:val="auto"/>
        </w:rPr>
        <w:t>by the geographic location of the properties securing the mortgages that underlie our trading subordinate and residual securities at December 31, 2002:</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U.K</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California</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New Jersey</w:t>
            </w:r>
          </w:p>
        </w:tc>
        <w:tc>
          <w:tcPr>
            <w:tcW w:w="18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New York</w:t>
            </w:r>
          </w:p>
        </w:tc>
        <w:tc>
          <w:tcPr>
            <w:tcW w:w="2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Other (1)</w:t>
            </w:r>
          </w:p>
        </w:tc>
        <w:tc>
          <w:tcPr>
            <w:tcW w:w="22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88,417</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28,665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158,730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359,908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2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15,382</w:t>
            </w: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41,991</w:t>
            </w:r>
          </w:p>
        </w:tc>
        <w:tc>
          <w:tcPr>
            <w:tcW w:w="22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57,373</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Multi-family...............</w:t>
            </w:r>
          </w:p>
        </w:tc>
        <w:tc>
          <w:tcPr>
            <w:tcW w:w="2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26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88,417</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44,047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200,949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417,711</w:t>
            </w:r>
          </w:p>
        </w:tc>
      </w:tr>
      <w:tr>
        <w:trPr>
          <w:trHeight w:val="170"/>
        </w:trPr>
        <w:tc>
          <w:tcPr>
            <w:tcW w:w="26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Percentage of total........</w:t>
            </w:r>
          </w:p>
        </w:tc>
        <w:tc>
          <w:tcPr>
            <w:tcW w:w="2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21.17%</w:t>
            </w:r>
          </w:p>
        </w:tc>
        <w:tc>
          <w:tcPr>
            <w:tcW w:w="26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10.54%</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6.77%</w:t>
            </w:r>
          </w:p>
        </w:tc>
        <w:tc>
          <w:tcPr>
            <w:tcW w:w="22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5.91%</w:t>
            </w:r>
          </w:p>
        </w:tc>
        <w:tc>
          <w:tcPr>
            <w:tcW w:w="1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48.11%</w:t>
            </w:r>
          </w:p>
        </w:tc>
        <w:tc>
          <w:tcPr>
            <w:tcW w:w="22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2640" w:type="dxa"/>
            <w:vAlign w:val="bottom"/>
          </w:tcPr>
          <w:p>
            <w:pPr>
              <w:spacing w:after="0"/>
              <w:rPr>
                <w:sz w:val="14"/>
                <w:szCs w:val="14"/>
                <w:color w:val="auto"/>
              </w:rPr>
            </w:pP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760" w:hanging="790"/>
        <w:spacing w:after="0" w:line="235" w:lineRule="auto"/>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46 other states, none of which aggregated over $17,197 in any one state.</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and Note 4 to our Consolidated Financial Statements.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1190"/>
          </w:cols>
          <w:pgMar w:left="230" w:top="622" w:right="479" w:bottom="1440" w:gutter="0" w:footer="0" w:header="0"/>
        </w:sectPr>
      </w:pPr>
    </w:p>
    <w:bookmarkStart w:id="70" w:name="page71"/>
    <w:bookmarkEnd w:id="70"/>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Real Estate Held for Sale. Our real estate held for sale consisted of</w:t>
      </w:r>
    </w:p>
    <w:tbl>
      <w:tblPr>
        <w:tblLayout w:type="fixed"/>
        <w:tblInd w:w="10" w:type="dxa"/>
        <w:tblCellMar>
          <w:top w:w="0" w:type="dxa"/>
          <w:left w:w="0" w:type="dxa"/>
          <w:bottom w:w="0" w:type="dxa"/>
          <w:right w:w="0" w:type="dxa"/>
        </w:tblCellMar>
      </w:tblP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the following at the dates indicated:</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6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200" w:type="dxa"/>
            <w:vAlign w:val="bottom"/>
          </w:tcPr>
          <w:p>
            <w:pPr>
              <w:spacing w:after="0"/>
              <w:rPr>
                <w:sz w:val="14"/>
                <w:szCs w:val="14"/>
                <w:color w:val="auto"/>
              </w:rPr>
            </w:pPr>
          </w:p>
        </w:tc>
        <w:tc>
          <w:tcPr>
            <w:tcW w:w="4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4"/>
                <w:szCs w:val="14"/>
                <w:color w:val="auto"/>
              </w:rPr>
            </w:pPr>
          </w:p>
        </w:tc>
        <w:tc>
          <w:tcPr>
            <w:tcW w:w="11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2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spacing w:after="0"/>
              <w:rPr>
                <w:sz w:val="20"/>
                <w:szCs w:val="20"/>
                <w:color w:val="auto"/>
              </w:rPr>
            </w:pPr>
            <w:r>
              <w:rPr>
                <w:rFonts w:ascii="Courier New" w:cs="Courier New" w:eastAsia="Courier New" w:hAnsi="Courier New"/>
                <w:sz w:val="15"/>
                <w:szCs w:val="15"/>
                <w:color w:val="auto"/>
              </w:rPr>
              <w:t>Shopping centers (1)................................................</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22,670</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Assisted living facilities (2)......................................</w:t>
            </w:r>
          </w:p>
        </w:tc>
        <w:tc>
          <w:tcPr>
            <w:tcW w:w="5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13,418</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13,418</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22,670</w:t>
            </w:r>
          </w:p>
        </w:tc>
      </w:tr>
      <w:tr>
        <w:trPr>
          <w:trHeight w:val="170"/>
        </w:trPr>
        <w:tc>
          <w:tcPr>
            <w:tcW w:w="62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960" w:hanging="790"/>
        <w:spacing w:after="0" w:line="238" w:lineRule="auto"/>
        <w:tabs>
          <w:tab w:leader="none" w:pos="7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fourth quarter of 2001, we transferred our shopping center in Bradenton, Florida to held for investment after the contract to sell the property was terminated. We recorded impairment charges of $1,471 on this property during the second quarter of 2001. During the first quarter of 2001, we sold another shopping center located in Havre, Montana, which had a carrying value of $1,034, for no gain.</w:t>
      </w:r>
    </w:p>
    <w:p>
      <w:pPr>
        <w:spacing w:after="0" w:line="175" w:lineRule="exact"/>
        <w:rPr>
          <w:rFonts w:ascii="Courier New" w:cs="Courier New" w:eastAsia="Courier New" w:hAnsi="Courier New"/>
          <w:sz w:val="15"/>
          <w:szCs w:val="15"/>
          <w:color w:val="auto"/>
        </w:rPr>
      </w:pPr>
    </w:p>
    <w:p>
      <w:pPr>
        <w:ind w:left="790" w:right="4040" w:hanging="790"/>
        <w:spacing w:after="0" w:line="237" w:lineRule="auto"/>
        <w:tabs>
          <w:tab w:leader="none" w:pos="7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transferred three assisted living facilities from held for investment during the third quarter of 2001. We recorded impairment charges of $2,225 on these properties at the time of transfer based on anticipated sales proceeds. We sold these facilities during the first quarter of 2002 for a gain of $669.</w:t>
      </w:r>
    </w:p>
    <w:p>
      <w:pPr>
        <w:spacing w:after="0" w:line="172"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"Changes in Financial Condition - Investments in Real Estate".</w:t>
      </w:r>
    </w:p>
    <w:p>
      <w:pPr>
        <w:spacing w:after="0" w:line="175" w:lineRule="exact"/>
        <w:rPr>
          <w:sz w:val="20"/>
          <w:szCs w:val="20"/>
          <w:color w:val="auto"/>
        </w:rPr>
      </w:pPr>
    </w:p>
    <w:p>
      <w:pPr>
        <w:ind w:left="10" w:right="4140" w:firstLine="793"/>
        <w:spacing w:after="0" w:line="235" w:lineRule="auto"/>
        <w:rPr>
          <w:sz w:val="20"/>
          <w:szCs w:val="20"/>
          <w:color w:val="auto"/>
        </w:rPr>
      </w:pPr>
      <w:r>
        <w:rPr>
          <w:rFonts w:ascii="Courier New" w:cs="Courier New" w:eastAsia="Courier New" w:hAnsi="Courier New"/>
          <w:sz w:val="15"/>
          <w:szCs w:val="15"/>
          <w:color w:val="auto"/>
        </w:rPr>
        <w:t>Investment in Real Estate. Our investment in real estate consisted of the following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520" w:type="dxa"/>
            <w:vAlign w:val="bottom"/>
          </w:tcPr>
          <w:p>
            <w:pPr>
              <w:spacing w:after="0"/>
              <w:rPr>
                <w:sz w:val="14"/>
                <w:szCs w:val="14"/>
                <w:color w:val="auto"/>
              </w:rPr>
            </w:pPr>
          </w:p>
        </w:tc>
        <w:tc>
          <w:tcPr>
            <w:tcW w:w="44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2002</w:t>
            </w:r>
          </w:p>
        </w:tc>
        <w:tc>
          <w:tcPr>
            <w:tcW w:w="340" w:type="dxa"/>
            <w:vAlign w:val="bottom"/>
          </w:tcPr>
          <w:p>
            <w:pPr>
              <w:spacing w:after="0"/>
              <w:rPr>
                <w:sz w:val="14"/>
                <w:szCs w:val="14"/>
                <w:color w:val="auto"/>
              </w:rPr>
            </w:pPr>
          </w:p>
        </w:tc>
        <w:tc>
          <w:tcPr>
            <w:tcW w:w="1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Properties held for investment</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Office buildings.....................................................</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27,602</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32,132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32,112</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Retail...............................................................</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9,090</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29,637</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9,515</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Building improvements................................................</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17,387</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17,513</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11,346</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Tenant improvements and lease commissions............................</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2,795</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4,537</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1,744</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56,904</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83,871</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54,769</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Accumulated depreciation.............................................</w:t>
            </w:r>
          </w:p>
        </w:tc>
        <w:tc>
          <w:tcPr>
            <w:tcW w:w="6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(5,316)</w:t>
            </w:r>
          </w:p>
        </w:tc>
        <w:tc>
          <w:tcPr>
            <w:tcW w:w="34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(5,327)</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(2,359)</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51,588</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78,544</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52,410</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Loans accounted for as investments in real estate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Multi-family residential.............................................</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Nonresidential.......................................................</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2,188</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45,689</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2,188</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45,786</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Properties held for lease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Land and land improvements</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1,256</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Building.............................................................</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15,641</w:t>
            </w:r>
          </w:p>
        </w:tc>
      </w:t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Accumulated depreciation.............................................</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16,042</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Investment in real estate partnerships..................................</w:t>
            </w:r>
          </w:p>
        </w:tc>
        <w:tc>
          <w:tcPr>
            <w:tcW w:w="6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4,900</w:t>
            </w:r>
          </w:p>
        </w:tc>
        <w:tc>
          <w:tcPr>
            <w:tcW w:w="340" w:type="dxa"/>
            <w:vAlign w:val="bottom"/>
          </w:tcPr>
          <w:p>
            <w:pPr>
              <w:spacing w:after="0"/>
              <w:rPr>
                <w:sz w:val="24"/>
                <w:szCs w:val="2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7,916</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8,523</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58,676</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116,896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122,761</w:t>
            </w:r>
          </w:p>
        </w:tc>
      </w:tr>
      <w:tr>
        <w:trPr>
          <w:trHeight w:val="170"/>
        </w:trPr>
        <w:tc>
          <w:tcPr>
            <w:tcW w:w="65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960" w:firstLine="793"/>
        <w:spacing w:after="0" w:line="257" w:lineRule="auto"/>
        <w:rPr>
          <w:sz w:val="20"/>
          <w:szCs w:val="20"/>
          <w:color w:val="auto"/>
        </w:rPr>
      </w:pPr>
      <w:r>
        <w:rPr>
          <w:rFonts w:ascii="Courier New" w:cs="Courier New" w:eastAsia="Courier New" w:hAnsi="Courier New"/>
          <w:sz w:val="14"/>
          <w:szCs w:val="14"/>
          <w:color w:val="auto"/>
        </w:rPr>
        <w:t>Properties Held for Investment. Properties held for investment at December 31, 2002 consisted of one office building (approximately 60.61% leased) located in Jacksonville, Florida and one shopping center (approximately 68.57% leased) located in Halifax, Nova Scotia. The $26,956 decline in the aggregate net carrying value of our properties held for investment during 2002 was primarily due to the sale of our shopping center in Bradenton, Florida, which had a carrying value of $19,902, and impairment charges of $14,459 to reduce the remaining properties to our estimate of their net realizable value, offset in part by $8,771 of net capitalized improvements. These properties were acquired by us as a result of our acquisition of OAC. The increase in our investment during 2001 was due primarily to capitalized improvements and the transfer of our shopping center in Bradenton, Florida from held for sale.</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010"/>
          </w:cols>
          <w:pgMar w:left="230" w:top="627" w:right="659" w:bottom="0" w:gutter="0" w:footer="0" w:header="0"/>
        </w:sectPr>
      </w:pPr>
    </w:p>
    <w:bookmarkStart w:id="71" w:name="page72"/>
    <w:bookmarkEnd w:id="71"/>
    <w:p>
      <w:pPr>
        <w:ind w:left="10" w:right="52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700" w:firstLine="793"/>
        <w:spacing w:after="0" w:line="257" w:lineRule="auto"/>
        <w:rPr>
          <w:sz w:val="20"/>
          <w:szCs w:val="20"/>
          <w:color w:val="auto"/>
        </w:rPr>
      </w:pPr>
      <w:r>
        <w:rPr>
          <w:rFonts w:ascii="Courier New" w:cs="Courier New" w:eastAsia="Courier New" w:hAnsi="Courier New"/>
          <w:sz w:val="14"/>
          <w:szCs w:val="14"/>
          <w:color w:val="auto"/>
        </w:rPr>
        <w:t>Loans Accounted for as Investments in Real Estate. We acquired certain acquisition, development and construction loans in January 2000 in which we participate in the expected residual profits of the underlying real estate and where the borrower has not contributed substantial equity to the project. As such, we account for these loans under the equity method of accounting as though we have an investment in a real estate limited partnership. The decline in our investment during 2002 and 2001 is due primarily to repayments of loans. At December 31, 2002 the remaining balance consisted of one loan.</w:t>
      </w:r>
    </w:p>
    <w:p>
      <w:pPr>
        <w:spacing w:after="0" w:line="167" w:lineRule="exact"/>
        <w:rPr>
          <w:sz w:val="20"/>
          <w:szCs w:val="20"/>
          <w:color w:val="auto"/>
        </w:rPr>
      </w:pPr>
    </w:p>
    <w:p>
      <w:pPr>
        <w:ind w:left="10" w:right="3780" w:firstLine="793"/>
        <w:spacing w:after="0" w:line="237" w:lineRule="auto"/>
        <w:rPr>
          <w:sz w:val="20"/>
          <w:szCs w:val="20"/>
          <w:color w:val="auto"/>
        </w:rPr>
      </w:pPr>
      <w:r>
        <w:rPr>
          <w:rFonts w:ascii="Courier New" w:cs="Courier New" w:eastAsia="Courier New" w:hAnsi="Courier New"/>
          <w:sz w:val="15"/>
          <w:szCs w:val="15"/>
          <w:color w:val="auto"/>
        </w:rPr>
        <w:t>Properties Held for Lease. During the third quarter of 2001, we recorded an impairment charge of $2,225 on our three assisted living facilities based on anticipated sales proceeds and transferred our investment to real estate held for sale.</w:t>
      </w:r>
    </w:p>
    <w:p>
      <w:pPr>
        <w:spacing w:after="0" w:line="176"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Investment in Real Estate Partnerships. Consists of interests in two limited partnerships operating as real estate ventures, consisting of multi-family type properties.</w:t>
      </w:r>
    </w:p>
    <w:p>
      <w:pPr>
        <w:spacing w:after="0" w:line="175" w:lineRule="exact"/>
        <w:rPr>
          <w:sz w:val="20"/>
          <w:szCs w:val="20"/>
          <w:color w:val="auto"/>
        </w:rPr>
      </w:pPr>
    </w:p>
    <w:p>
      <w:pPr>
        <w:ind w:left="10" w:right="3960" w:firstLine="793"/>
        <w:spacing w:after="0" w:line="235" w:lineRule="auto"/>
        <w:rPr>
          <w:sz w:val="20"/>
          <w:szCs w:val="20"/>
          <w:color w:val="auto"/>
        </w:rPr>
      </w:pPr>
      <w:r>
        <w:rPr>
          <w:rFonts w:ascii="Courier New" w:cs="Courier New" w:eastAsia="Courier New" w:hAnsi="Courier New"/>
          <w:sz w:val="15"/>
          <w:szCs w:val="15"/>
          <w:color w:val="auto"/>
        </w:rPr>
        <w:t>See "Changes in Financial Condition - Real Estate Held for Sale" and Note 8 to our Consolidated Financial Statements.</w:t>
      </w:r>
    </w:p>
    <w:p>
      <w:pPr>
        <w:spacing w:after="0" w:line="176" w:lineRule="exact"/>
        <w:rPr>
          <w:sz w:val="20"/>
          <w:szCs w:val="20"/>
          <w:color w:val="auto"/>
        </w:rPr>
      </w:pPr>
    </w:p>
    <w:p>
      <w:pPr>
        <w:ind w:left="10" w:right="3780" w:firstLine="793"/>
        <w:spacing w:after="0" w:line="238" w:lineRule="auto"/>
        <w:rPr>
          <w:sz w:val="20"/>
          <w:szCs w:val="20"/>
          <w:color w:val="auto"/>
        </w:rPr>
      </w:pPr>
      <w:r>
        <w:rPr>
          <w:rFonts w:ascii="Courier New" w:cs="Courier New" w:eastAsia="Courier New" w:hAnsi="Courier New"/>
          <w:sz w:val="15"/>
          <w:szCs w:val="15"/>
          <w:color w:val="auto"/>
        </w:rPr>
        <w:t>Affordable Housing Properties. Historically, we invested in multi-family residential projects which have been allocated low-income housing tax credits under Section 42 of the Internal Revenue Code of 1986, as amended, by a state tax credit allocating agency. We ceased making new investments in 2000 as part of our shift in strategy to fee-based businesses and because the volume of tax credits being generated was exceeding our ability to utilize them effectively. Since that time, we also began marketing each of these properties for sale on an asset-by-asset basis. As a result, our investment in affordable housing properties had been declining during the past three years. The carrying values of our affordable housing investments are as follows at the dates indicated:</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6460" w:type="dxa"/>
            <w:vAlign w:val="bottom"/>
          </w:tcPr>
          <w:p>
            <w:pPr>
              <w:spacing w:after="0"/>
              <w:rPr>
                <w:sz w:val="14"/>
                <w:szCs w:val="14"/>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460" w:type="dxa"/>
            <w:vAlign w:val="bottom"/>
          </w:tcPr>
          <w:p>
            <w:pPr>
              <w:spacing w:after="0"/>
              <w:rPr>
                <w:sz w:val="14"/>
                <w:szCs w:val="14"/>
                <w:color w:val="auto"/>
              </w:rPr>
            </w:pP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Properties subject to sale agreements (1)..............................</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4,458</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49,893</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93,210</w:t>
            </w:r>
          </w:p>
        </w:tc>
      </w:tr>
      <w:tr>
        <w:trPr>
          <w:trHeight w:val="170"/>
        </w:trPr>
        <w:tc>
          <w:tcPr>
            <w:tcW w:w="6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Properties not yet sold................................................</w:t>
            </w:r>
          </w:p>
        </w:tc>
        <w:tc>
          <w:tcPr>
            <w:tcW w:w="5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10,861</w:t>
            </w:r>
          </w:p>
        </w:tc>
        <w:tc>
          <w:tcPr>
            <w:tcW w:w="4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52,176</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49,602</w:t>
            </w:r>
          </w:p>
        </w:tc>
      </w:tr>
      <w:tr>
        <w:trPr>
          <w:trHeight w:val="170"/>
        </w:trPr>
        <w:tc>
          <w:tcPr>
            <w:tcW w:w="6460" w:type="dxa"/>
            <w:vAlign w:val="bottom"/>
          </w:tcPr>
          <w:p>
            <w:pPr>
              <w:spacing w:after="0"/>
              <w:rPr>
                <w:sz w:val="14"/>
                <w:szCs w:val="14"/>
                <w:color w:val="auto"/>
              </w:rPr>
            </w:pP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15,319</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102,069</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142,812</w:t>
            </w:r>
          </w:p>
        </w:tc>
      </w:tr>
      <w:tr>
        <w:trPr>
          <w:trHeight w:val="170"/>
        </w:trPr>
        <w:tc>
          <w:tcPr>
            <w:tcW w:w="6460" w:type="dxa"/>
            <w:vAlign w:val="bottom"/>
          </w:tcPr>
          <w:p>
            <w:pPr>
              <w:spacing w:after="0"/>
              <w:rPr>
                <w:sz w:val="14"/>
                <w:szCs w:val="14"/>
                <w:color w:val="auto"/>
              </w:rPr>
            </w:pP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700" w:hanging="790"/>
        <w:spacing w:after="0" w:line="237" w:lineRule="auto"/>
        <w:tabs>
          <w:tab w:leader="none" w:pos="7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our properties are subject to sales agreements that resulted in the transfer of tax credits and operating results for these properties to the purchaser but did not qualify as sales for accounting purposes due to insufficient cash received or contingencies with respect to potential repurchase requirements.</w:t>
      </w:r>
    </w:p>
    <w:p>
      <w:pPr>
        <w:spacing w:after="0" w:line="178"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The decline in our investment during 2002 and 2001 was due to sales and loss provisions to increase reserves, offset by additional investments to complete existing projects under construction. Loss provisions represent estimated losses from future sales or from sales that have not yet qualified as such for accounting purposes and include revisions to completion cost estimates and modifications to projected sales results. During 2002, sales of $73,087 (net of reserves) and loss provisions of $17,350 exceeded additional investments of $3,687. During 2001, sales totaled $55,652 (net of reserves), loss provisions were $15,587 and additional investments amounted to $30,496.</w:t>
      </w:r>
    </w:p>
    <w:p>
      <w:pPr>
        <w:spacing w:after="0" w:line="179"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Low-income housing tax credit partnerships in which we invest both as a limited and, through a subsidiary, as general partner are presented on a consolidated basis and totaled $3,357, $73,463 and $74,228 at December 31, 2002, 2001 and 2000, respectively. We account for investments made on or after May 18, 1995, in which we invest solely as a limited partner, using the equity method. We account for limited partnership investments made prior to May 18, 1995 under the effective yield method as a reduction of income tax expense.</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See Note 10 to our Consolidated Financial Statements.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750"/>
          </w:cols>
          <w:pgMar w:left="230" w:top="627" w:right="919" w:bottom="1440" w:gutter="0" w:footer="0" w:header="0"/>
        </w:sectPr>
      </w:pPr>
    </w:p>
    <w:bookmarkStart w:id="72" w:name="page73"/>
    <w:bookmarkEnd w:id="72"/>
    <w:p>
      <w:pPr>
        <w:ind w:left="10" w:right="55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4420" w:firstLine="793"/>
        <w:spacing w:after="0" w:line="238" w:lineRule="auto"/>
        <w:rPr>
          <w:sz w:val="20"/>
          <w:szCs w:val="20"/>
          <w:color w:val="auto"/>
        </w:rPr>
      </w:pPr>
      <w:r>
        <w:rPr>
          <w:rFonts w:ascii="Courier New" w:cs="Courier New" w:eastAsia="Courier New" w:hAnsi="Courier New"/>
          <w:sz w:val="15"/>
          <w:szCs w:val="15"/>
          <w:color w:val="auto"/>
        </w:rPr>
        <w:t>Loans, Net. Our loans have been declining since 1998 as sales, resolutions and foreclosures more than offset acquisitions and originations. This reflects our strategy to dispose of assets associated with non-core business lines. Originations in 2002, 2001 and 2000 represent loans made to facilitate sales of real estate assets that we owned and fundings of pre-existing commitments on construction loans. Otherwise, we have not originated or acquired any loans since 2000.</w:t>
      </w:r>
    </w:p>
    <w:p>
      <w:pPr>
        <w:spacing w:after="0" w:line="177" w:lineRule="exact"/>
        <w:rPr>
          <w:sz w:val="20"/>
          <w:szCs w:val="20"/>
          <w:color w:val="auto"/>
        </w:rPr>
      </w:pPr>
    </w:p>
    <w:p>
      <w:pPr>
        <w:ind w:left="10" w:right="4240" w:firstLine="793"/>
        <w:spacing w:after="0" w:line="259" w:lineRule="auto"/>
        <w:rPr>
          <w:sz w:val="20"/>
          <w:szCs w:val="20"/>
          <w:color w:val="auto"/>
        </w:rPr>
      </w:pPr>
      <w:r>
        <w:rPr>
          <w:rFonts w:ascii="Courier New" w:cs="Courier New" w:eastAsia="Courier New" w:hAnsi="Courier New"/>
          <w:sz w:val="14"/>
          <w:szCs w:val="14"/>
          <w:color w:val="auto"/>
        </w:rPr>
        <w:t>Beginning in 2002, we combined all of our loan portfolio types into a single balance sheet caption and integrated the related disclosures. Those portfolios were discount loans, loans and loans available for sale. All prior periods presented have been reclassified to conform to the 2002 presentation.</w:t>
      </w:r>
    </w:p>
    <w:p>
      <w:pPr>
        <w:spacing w:after="0" w:line="163" w:lineRule="exact"/>
        <w:rPr>
          <w:sz w:val="20"/>
          <w:szCs w:val="20"/>
          <w:color w:val="auto"/>
        </w:rPr>
      </w:pPr>
    </w:p>
    <w:p>
      <w:pPr>
        <w:ind w:left="10" w:right="4060" w:firstLine="793"/>
        <w:spacing w:after="0" w:line="235" w:lineRule="auto"/>
        <w:rPr>
          <w:sz w:val="20"/>
          <w:szCs w:val="20"/>
          <w:color w:val="auto"/>
        </w:rPr>
      </w:pPr>
      <w:r>
        <w:rPr>
          <w:rFonts w:ascii="Courier New" w:cs="Courier New" w:eastAsia="Courier New" w:hAnsi="Courier New"/>
          <w:sz w:val="15"/>
          <w:szCs w:val="15"/>
          <w:color w:val="auto"/>
        </w:rPr>
        <w:t>Composition of Loans. The following table sets forth the composition of our loans by type of loan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754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2002</w:t>
            </w:r>
          </w:p>
        </w:tc>
        <w:tc>
          <w:tcPr>
            <w:tcW w:w="44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jc w:val="right"/>
              <w:ind w:right="2007"/>
              <w:spacing w:after="0"/>
              <w:rPr>
                <w:sz w:val="20"/>
                <w:szCs w:val="20"/>
                <w:color w:val="auto"/>
              </w:rPr>
            </w:pPr>
            <w:r>
              <w:rPr>
                <w:rFonts w:ascii="Courier New" w:cs="Courier New" w:eastAsia="Courier New" w:hAnsi="Courier New"/>
                <w:sz w:val="15"/>
                <w:szCs w:val="15"/>
                <w:color w:val="auto"/>
                <w:w w:val="95"/>
              </w:rPr>
              <w:t>Principal balance</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Single family residential loans....</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2,163</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58,118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301,290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647,137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805,039</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Multi-family residential loans.....</w:t>
            </w:r>
          </w:p>
        </w:tc>
        <w:tc>
          <w:tcPr>
            <w:tcW w:w="5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26,017</w:t>
            </w:r>
          </w:p>
        </w:tc>
        <w:tc>
          <w:tcPr>
            <w:tcW w:w="44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33,319</w:t>
            </w:r>
          </w:p>
        </w:tc>
        <w:tc>
          <w:tcPr>
            <w:tcW w:w="400" w:type="dxa"/>
            <w:vAlign w:val="bottom"/>
          </w:tcPr>
          <w:p>
            <w:pPr>
              <w:spacing w:after="0"/>
              <w:rPr>
                <w:sz w:val="24"/>
                <w:szCs w:val="2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150,797</w:t>
            </w:r>
          </w:p>
        </w:tc>
        <w:tc>
          <w:tcPr>
            <w:tcW w:w="380" w:type="dxa"/>
            <w:vAlign w:val="bottom"/>
          </w:tcPr>
          <w:p>
            <w:pPr>
              <w:spacing w:after="0"/>
              <w:rPr>
                <w:sz w:val="24"/>
                <w:szCs w:val="2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272,927</w:t>
            </w:r>
          </w:p>
        </w:tc>
        <w:tc>
          <w:tcPr>
            <w:tcW w:w="3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319,771</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Nonresidential real estate loans: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Office buildings.................</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41,215</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56,713</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98,425</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162,529</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247,131</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Hotels...........................</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11,668</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38,576</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102,120</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113,444</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137,038</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Retail properties................</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27,500</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47,492</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85,924</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105,247</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21,230</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Land.............................</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6,190</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4,162</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properties.................</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1,388</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807</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36,511</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87,148</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180,072</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81,771</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143,588</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322,981</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474,558</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589,633</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loans (1)....................</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17,287</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17,874</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8,649</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109,951</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235,056</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792,355</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1,412,496</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1,723,092</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Unaccreted discount and deferred fees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Single family residential loans....</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(16,467)</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(74,219)</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(147,918)</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(162,166)</w:t>
            </w:r>
          </w:p>
        </w:tc>
      </w:tr>
      <w:tr>
        <w:trPr>
          <w:trHeight w:val="170"/>
        </w:trPr>
        <w:tc>
          <w:tcPr>
            <w:tcW w:w="3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Multi-family residential loans....</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(650)</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(5,341)</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(38,602)</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(21,908)</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Nonresidential real estate loans...</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(10,572)</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(19,318)</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(40,548)</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(58,036)</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(70,522)</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loans........................</w:t>
            </w: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(996)</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(11,988)</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(36,435)</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(120,145)</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(245,552)</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(254,993)</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97,963</w:t>
            </w:r>
          </w:p>
        </w:tc>
        <w:tc>
          <w:tcPr>
            <w:tcW w:w="44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198,621</w:t>
            </w:r>
          </w:p>
        </w:tc>
        <w:tc>
          <w:tcPr>
            <w:tcW w:w="40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672,210</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1,166,944</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1,468,099</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Undisbursed loan funds................</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(2,914)</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(8,879)</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(24,654)</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(7,099)</w:t>
            </w:r>
          </w:p>
        </w:tc>
      </w:tr>
      <w:tr>
        <w:trPr>
          <w:trHeight w:val="170"/>
        </w:trPr>
        <w:tc>
          <w:tcPr>
            <w:tcW w:w="3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Allowance for loan losses.............</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(20,761)</w:t>
            </w:r>
          </w:p>
        </w:tc>
        <w:tc>
          <w:tcPr>
            <w:tcW w:w="44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(10,414)</w:t>
            </w:r>
          </w:p>
        </w:tc>
        <w:tc>
          <w:tcPr>
            <w:tcW w:w="40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(23,279)</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(26,440)</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(26,330)</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76,857</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185,293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640,052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1,115,850</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1,434,670</w:t>
            </w:r>
          </w:p>
        </w:tc>
      </w:tr>
      <w:tr>
        <w:trPr>
          <w:trHeight w:val="170"/>
        </w:trPr>
        <w:tc>
          <w:tcPr>
            <w:tcW w:w="356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060" w:hanging="790"/>
        <w:spacing w:after="0" w:line="238" w:lineRule="auto"/>
        <w:tabs>
          <w:tab w:leader="none" w:pos="7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$17,188, $17,664 and $8,248 at December 31, 2000, 1999 and 1998, respectively, of charged-off unsecured credit card receivables which were acquired at a discount. Collections were accounted for under the cost recovery method through December 31, 2001, when we reduced the net book value of the receivables to zero as a result of collections and reserves.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110"/>
          </w:cols>
          <w:pgMar w:left="230" w:top="627" w:right="559" w:bottom="1440" w:gutter="0" w:footer="0" w:header="0"/>
        </w:sectPr>
      </w:pPr>
    </w:p>
    <w:bookmarkStart w:id="73" w:name="page74"/>
    <w:bookmarkEnd w:id="73"/>
    <w:p>
      <w:pPr>
        <w:ind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Contractual Principal Repayments. The following table sets forth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certain information at December 31, 2002 regarding the dollar amount of loans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maturing based on scheduled contractual amortization, as well as the dollar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8"/>
              </w:rPr>
              <w:t>amount of loans which have fixed or adjustable interest rates. We report demand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7"/>
              </w:rPr>
              <w:t>loans (loans having no stated schedule of repayments and no stated maturity)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98"/>
              </w:rPr>
              <w:t>overdrafts as due in one year or less. We have not reduced</w:t>
            </w: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loan balances for (i)</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98"/>
              </w:rPr>
              <w:t>undisbursed loan proceeds, unearned fees and the allowance</w:t>
            </w:r>
          </w:p>
        </w:tc>
        <w:tc>
          <w:tcPr>
            <w:tcW w:w="1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 loan losses 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(ii) non-performing loans.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Maturing in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920" w:type="dxa"/>
            <w:vAlign w:val="bottom"/>
          </w:tcPr>
          <w:p>
            <w:pPr>
              <w:spacing w:after="0"/>
              <w:rPr>
                <w:sz w:val="14"/>
                <w:szCs w:val="14"/>
                <w:color w:val="auto"/>
              </w:rPr>
            </w:pPr>
          </w:p>
        </w:tc>
        <w:tc>
          <w:tcPr>
            <w:tcW w:w="708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After</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After Five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One Year</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One</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Through Five</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Through Ten</w:t>
            </w:r>
          </w:p>
        </w:tc>
        <w:tc>
          <w:tcPr>
            <w:tcW w:w="3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After Ten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Year or Less</w:t>
            </w:r>
          </w:p>
        </w:tc>
        <w:tc>
          <w:tcPr>
            <w:tcW w:w="580" w:type="dxa"/>
            <w:vAlign w:val="bottom"/>
          </w:tcPr>
          <w:p>
            <w:pPr>
              <w:spacing w:after="0"/>
              <w:rPr>
                <w:sz w:val="14"/>
                <w:szCs w:val="1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34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9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1,846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Multi-family residential loans.............</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25,158</w:t>
            </w:r>
          </w:p>
        </w:tc>
        <w:tc>
          <w:tcPr>
            <w:tcW w:w="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859</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Nonresidential real estate and land loans..</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39,168</w:t>
            </w:r>
          </w:p>
        </w:tc>
        <w:tc>
          <w:tcPr>
            <w:tcW w:w="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41,365</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1,238</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81,771</w:t>
            </w:r>
          </w:p>
        </w:tc>
      </w:tr>
      <w:tr>
        <w:trPr>
          <w:trHeight w:val="170"/>
        </w:trPr>
        <w:tc>
          <w:tcPr>
            <w:tcW w:w="39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64,458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42,270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3,084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109,951</w:t>
            </w:r>
          </w:p>
        </w:tc>
      </w:tr>
      <w:tr>
        <w:trPr>
          <w:trHeight w:val="170"/>
        </w:trPr>
        <w:tc>
          <w:tcPr>
            <w:tcW w:w="39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rate terms on amounts due:</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Fixed...................................</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27,015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42,120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2,432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71,627</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Adjustable..............................</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37,443</w:t>
            </w:r>
          </w:p>
        </w:tc>
        <w:tc>
          <w:tcPr>
            <w:tcW w:w="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652</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38,324</w:t>
            </w:r>
          </w:p>
        </w:tc>
      </w:tr>
      <w:tr>
        <w:trPr>
          <w:trHeight w:val="170"/>
        </w:trPr>
        <w:tc>
          <w:tcPr>
            <w:tcW w:w="39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64,458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42,270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3,084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109,951</w:t>
            </w:r>
          </w:p>
        </w:tc>
      </w:tr>
      <w:tr>
        <w:trPr>
          <w:trHeight w:val="170"/>
        </w:trPr>
        <w:tc>
          <w:tcPr>
            <w:tcW w:w="39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Scheduled contractual principal repayments may not reflect the actual maturities of loans because of prepayments and, in the case of conventional mortgage loans, due-on-sale clauses.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1000"/>
          </w:cols>
          <w:pgMar w:left="240" w:top="627" w:right="659" w:bottom="1440" w:gutter="0" w:footer="0" w:header="0"/>
        </w:sectPr>
      </w:pPr>
    </w:p>
    <w:bookmarkStart w:id="74" w:name="page75"/>
    <w:bookmarkEnd w:id="74"/>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Activity in Loans. The following table sets forth the activity in our</w:t>
      </w: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loans during the periods indicated: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8"/>
        </w:trPr>
        <w:tc>
          <w:tcPr>
            <w:tcW w:w="4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140" w:type="dxa"/>
            <w:vAlign w:val="bottom"/>
          </w:tcPr>
          <w:p>
            <w:pPr>
              <w:spacing w:after="0"/>
              <w:rPr>
                <w:sz w:val="14"/>
                <w:szCs w:val="14"/>
                <w:color w:val="auto"/>
              </w:rPr>
            </w:pPr>
          </w:p>
        </w:tc>
        <w:tc>
          <w:tcPr>
            <w:tcW w:w="6860" w:type="dxa"/>
            <w:vAlign w:val="bottom"/>
            <w:gridSpan w:val="7"/>
          </w:tcPr>
          <w:p>
            <w:pPr>
              <w:ind w:left="1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 ..............</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185,293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640,052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$ 1,115,850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$ 1,434,670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$ 1,877,516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Acquisitions (1)</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164,920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570,082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1,408,254</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21,378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123,529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231,130</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Nonresidential real estate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25,612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226,877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264,697</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10,030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17,414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14,699</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221,940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937,902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1,918,780</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Originations (2)</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728,509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959,105</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11,260</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36,165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56,657</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Nonresidential real estate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7,218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13,035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17,258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116,452</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18,478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18,144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39,792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749,459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1,132,214</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Resolutions and repayments (3)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(50,965)</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(139,232)</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(312,856)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(541,286)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(844,749)</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Loans transferred to real estate owned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(16,000)</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(92,949)</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(201,010)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(220,775)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(391,238)</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Sales (4)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(77,636)</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(343,262)</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(369,630)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(1,237,178)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(2,354,836)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Decrease (increase) in undisbursed loan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proceeds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5,965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15,774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(17,555)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15,111</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Decrease (increase) in discount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24,447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83,710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125,406</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9,441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85,078</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Decrease (increase) in allowance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(10,347)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12,865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4,786</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(3,206)</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 ....................</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76,857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185,293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640,052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$ 1,115,850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$ 1,434,670</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140" w:type="dxa"/>
            <w:vAlign w:val="bottom"/>
          </w:tcPr>
          <w:p>
            <w:pPr>
              <w:spacing w:after="0"/>
              <w:rPr>
                <w:sz w:val="14"/>
                <w:szCs w:val="14"/>
                <w:color w:val="auto"/>
              </w:rPr>
            </w:pPr>
          </w:p>
        </w:tc>
        <w:tc>
          <w:tcPr>
            <w:tcW w:w="6860" w:type="dxa"/>
            <w:vAlign w:val="bottom"/>
            <w:gridSpan w:val="7"/>
          </w:tcPr>
          <w:p>
            <w:pPr>
              <w:ind w:left="160"/>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Number of Loans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at beginning of period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4,282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8,765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12,425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15,194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Acquisitions (1)</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Single  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7,767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15,654</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Multi-family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Nonresidential real estate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2,231</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8,017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16,063</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Originations (2)</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4,293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9,625</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Nonresidential real estate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4,306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9,625</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Resolutions and repayments (4)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(662)</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(2,326)</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Loans transferred to real estate owned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(2,455)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(3,278)</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Sales (5) ...................................</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(2,691)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(10,793)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(22,853)</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 ....................</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4,282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8,765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12,425</w:t>
            </w:r>
          </w:p>
        </w:tc>
      </w:tr>
      <w:tr>
        <w:trPr>
          <w:trHeight w:val="170"/>
        </w:trPr>
        <w:tc>
          <w:tcPr>
            <w:tcW w:w="414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960" w:hanging="790"/>
        <w:spacing w:after="0" w:line="238" w:lineRule="auto"/>
        <w:tabs>
          <w:tab w:leader="none" w:pos="7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exclude certain commercial and multi-family loans which we account for as investments in real estate. See "Changes in Financial Condition - Investment in Real Estate." The decline in acquisitions reflect our strategic decision to exit non-core businesses and dispose of the related assets. Single family acquisitions in 2002 represent repurchases of loans previously sold. Acquisitions during 1999 included $121,113 of loans we acquired as a result of our acquisition of OAC. Acquisitions of other loans during 2000, 1999 and 1998 consisted primarily of charged-off unsecured credit card receivables we acquired at a discount. Acquisitions of single family loans during 1998 included $421,188 we purchased from the UK operations of Cityscape Financial Corp.</w:t>
      </w:r>
    </w:p>
    <w:p>
      <w:pPr>
        <w:spacing w:after="0" w:line="181" w:lineRule="exact"/>
        <w:rPr>
          <w:rFonts w:ascii="Courier New" w:cs="Courier New" w:eastAsia="Courier New" w:hAnsi="Courier New"/>
          <w:sz w:val="15"/>
          <w:szCs w:val="15"/>
          <w:color w:val="auto"/>
        </w:rPr>
      </w:pPr>
    </w:p>
    <w:p>
      <w:pPr>
        <w:ind w:left="790" w:right="3960" w:hanging="790"/>
        <w:spacing w:after="0" w:line="238" w:lineRule="auto"/>
        <w:tabs>
          <w:tab w:leader="none" w:pos="7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Multi-family, nonresidential real estate and other originations in 2002, 2001 and 2000 represent loans made to facilitate sales of our own assets and fundings of construction loans we originated in prior years. Originations of single family loans during 1999 and 1998 included approximately $509,800 and $254,300, respectively, originated by Ocwen UK prior to its sale.</w:t>
      </w:r>
    </w:p>
    <w:p>
      <w:pPr>
        <w:sectPr>
          <w:pgSz w:w="11900" w:h="16838" w:orient="portrait"/>
          <w:cols w:equalWidth="0" w:num="1">
            <w:col w:w="11010"/>
          </w:cols>
          <w:pgMar w:left="230" w:top="627" w:right="659" w:bottom="0" w:gutter="0" w:footer="0" w:header="0"/>
        </w:sectPr>
      </w:pPr>
    </w:p>
    <w:bookmarkStart w:id="75" w:name="page76"/>
    <w:bookmarkEnd w:id="75"/>
    <w:p>
      <w:pPr>
        <w:ind w:left="22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305" w:right="1440" w:bottom="1440" w:gutter="0" w:footer="0" w:header="0"/>
        </w:sectPr>
      </w:pPr>
    </w:p>
    <w:bookmarkStart w:id="76" w:name="page77"/>
    <w:bookmarkEnd w:id="76"/>
    <w:p>
      <w:pPr>
        <w:ind w:left="10" w:right="53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790" w:right="3880" w:hanging="790"/>
        <w:spacing w:after="0" w:line="238" w:lineRule="auto"/>
        <w:tabs>
          <w:tab w:leader="none" w:pos="79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and repayments consists of loans which we resolved in a manner which resulted in partial or full repayment of the loan to us, as well as principal payments on loans which have been brought current in accordance with their original or modified terms (whether pursuant to forbearance agreements or otherwise) or on other loans which have not been resolved.</w:t>
      </w:r>
    </w:p>
    <w:p>
      <w:pPr>
        <w:spacing w:after="0" w:line="175" w:lineRule="exact"/>
        <w:rPr>
          <w:rFonts w:ascii="Courier New" w:cs="Courier New" w:eastAsia="Courier New" w:hAnsi="Courier New"/>
          <w:sz w:val="15"/>
          <w:szCs w:val="15"/>
          <w:color w:val="auto"/>
        </w:rPr>
      </w:pPr>
    </w:p>
    <w:p>
      <w:pPr>
        <w:ind w:left="790" w:right="3880" w:hanging="790"/>
        <w:spacing w:after="0" w:line="235" w:lineRule="auto"/>
        <w:tabs>
          <w:tab w:leader="none" w:pos="79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securitizations of performing single family loans in 1999 and 1998.</w:t>
      </w:r>
    </w:p>
    <w:p>
      <w:pPr>
        <w:spacing w:after="0" w:line="176" w:lineRule="exact"/>
        <w:rPr>
          <w:sz w:val="20"/>
          <w:szCs w:val="20"/>
          <w:color w:val="auto"/>
        </w:rPr>
      </w:pPr>
    </w:p>
    <w:p>
      <w:pPr>
        <w:ind w:left="10" w:right="4240" w:firstLine="793"/>
        <w:spacing w:after="0" w:line="265" w:lineRule="auto"/>
        <w:rPr>
          <w:sz w:val="20"/>
          <w:szCs w:val="20"/>
          <w:color w:val="auto"/>
        </w:rPr>
      </w:pPr>
      <w:r>
        <w:rPr>
          <w:rFonts w:ascii="Courier New" w:cs="Courier New" w:eastAsia="Courier New" w:hAnsi="Courier New"/>
          <w:sz w:val="14"/>
          <w:szCs w:val="14"/>
          <w:color w:val="auto"/>
        </w:rPr>
        <w:t>The following table sets forth certain information relating to our non-performing loans and allowance for loan losses at the dates indicated:</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67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040" w:type="dxa"/>
            <w:vAlign w:val="bottom"/>
          </w:tcPr>
          <w:p>
            <w:pPr>
              <w:spacing w:after="0"/>
              <w:rPr>
                <w:sz w:val="14"/>
                <w:szCs w:val="14"/>
                <w:color w:val="auto"/>
              </w:rPr>
            </w:pP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Non-performing loans (1)</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Single family.............................</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32,430</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181,998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344,884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392,983</w:t>
            </w: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Multi-family..............................</w:t>
            </w:r>
          </w:p>
        </w:tc>
        <w:tc>
          <w:tcPr>
            <w:tcW w:w="3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14,822</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23,637</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17,754</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31,135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31,367</w:t>
            </w: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Commercial real estate and other..........</w:t>
            </w:r>
          </w:p>
        </w:tc>
        <w:tc>
          <w:tcPr>
            <w:tcW w:w="3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59,382</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38,240</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97,795</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73,628</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63,438</w:t>
            </w:r>
          </w:p>
        </w:tc>
      </w:tr>
      <w:tr>
        <w:trPr>
          <w:trHeight w:val="170"/>
        </w:trPr>
        <w:tc>
          <w:tcPr>
            <w:tcW w:w="4040" w:type="dxa"/>
            <w:vAlign w:val="bottom"/>
          </w:tcPr>
          <w:p>
            <w:pPr>
              <w:spacing w:after="0"/>
              <w:rPr>
                <w:sz w:val="14"/>
                <w:szCs w:val="14"/>
                <w:color w:val="auto"/>
              </w:rPr>
            </w:pP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75,549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94,307</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297,547</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449,647</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487,788</w:t>
            </w:r>
          </w:p>
        </w:tc>
      </w:tr>
      <w:tr>
        <w:trPr>
          <w:trHeight w:val="170"/>
        </w:trPr>
        <w:tc>
          <w:tcPr>
            <w:tcW w:w="4040" w:type="dxa"/>
            <w:vAlign w:val="bottom"/>
          </w:tcPr>
          <w:p>
            <w:pPr>
              <w:spacing w:after="0"/>
              <w:rPr>
                <w:sz w:val="14"/>
                <w:szCs w:val="14"/>
                <w:color w:val="auto"/>
              </w:rPr>
            </w:pP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Non-performing loans as a percentage of (1)</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loans (2)............................</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77.39%</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48.19%</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44.86%</w:t>
            </w:r>
          </w:p>
        </w:tc>
        <w:tc>
          <w:tcPr>
            <w:tcW w:w="32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39.36%</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33.39%</w:t>
            </w: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6.18%</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5.51%</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13.23%</w:t>
            </w:r>
          </w:p>
        </w:tc>
        <w:tc>
          <w:tcPr>
            <w:tcW w:w="32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13.70%</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14.78%</w:t>
            </w:r>
          </w:p>
        </w:tc>
      </w:tr>
      <w:tr>
        <w:trPr>
          <w:trHeight w:val="339"/>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Allowance for loan losses as a percentage of:</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loans (2)............................</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21.27%</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5.32%</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3.51%</w:t>
            </w:r>
          </w:p>
        </w:tc>
        <w:tc>
          <w:tcPr>
            <w:tcW w:w="32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w:t>
            </w: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Non-performing loans (1)...................</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27.48%</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11.04%</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7.82%</w:t>
            </w:r>
          </w:p>
        </w:tc>
        <w:tc>
          <w:tcPr>
            <w:tcW w:w="32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5.88%</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w:t>
            </w:r>
          </w:p>
        </w:tc>
      </w:tr>
    </w:tbl>
    <w:p>
      <w:pPr>
        <w:spacing w:after="0" w:line="344" w:lineRule="exact"/>
        <w:rPr>
          <w:sz w:val="20"/>
          <w:szCs w:val="20"/>
          <w:color w:val="auto"/>
        </w:rPr>
      </w:pPr>
    </w:p>
    <w:p>
      <w:pPr>
        <w:ind w:left="790" w:right="4060" w:hanging="790"/>
        <w:spacing w:after="0" w:line="237" w:lineRule="auto"/>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which are contractually past due 90 days or more in accordance with the original terms of the loan agreement. We do not accrue interest on loans past due 90 days or more.</w:t>
      </w:r>
    </w:p>
    <w:p>
      <w:pPr>
        <w:spacing w:after="0" w:line="174" w:lineRule="exact"/>
        <w:rPr>
          <w:rFonts w:ascii="Courier New" w:cs="Courier New" w:eastAsia="Courier New" w:hAnsi="Courier New"/>
          <w:sz w:val="15"/>
          <w:szCs w:val="15"/>
          <w:color w:val="auto"/>
        </w:rPr>
      </w:pPr>
    </w:p>
    <w:p>
      <w:pPr>
        <w:ind w:left="790" w:right="3980" w:hanging="790"/>
        <w:spacing w:after="0" w:line="235" w:lineRule="auto"/>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are net of unaccreted discount, unamortized deferred fees and undisbursed loan funds.</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our Consolidated Financial Statements</w:t>
      </w:r>
    </w:p>
    <w:p>
      <w:pPr>
        <w:spacing w:after="0" w:line="175" w:lineRule="exact"/>
        <w:rPr>
          <w:sz w:val="20"/>
          <w:szCs w:val="20"/>
          <w:color w:val="auto"/>
        </w:rPr>
      </w:pPr>
    </w:p>
    <w:p>
      <w:pPr>
        <w:ind w:left="10" w:right="4240" w:firstLine="793"/>
        <w:spacing w:after="0" w:line="235" w:lineRule="auto"/>
        <w:rPr>
          <w:sz w:val="20"/>
          <w:szCs w:val="20"/>
          <w:color w:val="auto"/>
        </w:rPr>
      </w:pPr>
      <w:r>
        <w:rPr>
          <w:rFonts w:ascii="Courier New" w:cs="Courier New" w:eastAsia="Courier New" w:hAnsi="Courier New"/>
          <w:sz w:val="15"/>
          <w:szCs w:val="15"/>
          <w:color w:val="auto"/>
        </w:rPr>
        <w:t>Match Funded Assets. Our match funded assets were comprised of the following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00" w:type="dxa"/>
            <w:vAlign w:val="bottom"/>
          </w:tcPr>
          <w:p>
            <w:pPr>
              <w:spacing w:after="0"/>
              <w:rPr>
                <w:sz w:val="14"/>
                <w:szCs w:val="14"/>
                <w:color w:val="auto"/>
              </w:rPr>
            </w:pPr>
          </w:p>
        </w:tc>
        <w:tc>
          <w:tcPr>
            <w:tcW w:w="42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Single family residential loans..........................................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38,129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53,123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80,834</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Allowance for loan losses................................................</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(144)</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Match funded loans, net...............................................</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37,985</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52,953</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80,549</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Match funded securities..................................................</w:t>
            </w:r>
          </w:p>
        </w:tc>
        <w:tc>
          <w:tcPr>
            <w:tcW w:w="44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8,057</w:t>
            </w:r>
          </w:p>
        </w:tc>
        <w:tc>
          <w:tcPr>
            <w:tcW w:w="5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19,435</w:t>
            </w:r>
          </w:p>
        </w:tc>
        <w:tc>
          <w:tcPr>
            <w:tcW w:w="4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36,438</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97"/>
              </w:rPr>
              <w:t>Match funded advances on loans serviced for others: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Principal and interest................................................</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66,524</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65,705</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Taxes and insurance...................................................</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30,301</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21,900</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24,877</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14,358</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121,702</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101,963</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167,744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174,351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116,987</w:t>
            </w:r>
          </w:p>
        </w:tc>
      </w:tr>
      <w:tr>
        <w:trPr>
          <w:trHeight w:val="170"/>
        </w:trPr>
        <w:tc>
          <w:tcPr>
            <w:tcW w:w="660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880" w:firstLine="793"/>
        <w:spacing w:after="0" w:line="257" w:lineRule="auto"/>
        <w:rPr>
          <w:sz w:val="20"/>
          <w:szCs w:val="20"/>
          <w:color w:val="auto"/>
        </w:rPr>
      </w:pPr>
      <w:r>
        <w:rPr>
          <w:rFonts w:ascii="Courier New" w:cs="Courier New" w:eastAsia="Courier New" w:hAnsi="Courier New"/>
          <w:sz w:val="14"/>
          <w:szCs w:val="14"/>
          <w:color w:val="auto"/>
        </w:rPr>
        <w:t>We acquired single family residential match funded loans in connection with our acquisition of OAC. OAC had previously securitized these loans and transferred them to a real estate mortgage investment conduit on November 13, 1998. The transfer did not qualify as a sale for accounting purposes since we retained effective control of the loans transferred. Accordingly, we report the proceeds we received from the transfer as a secured borrowing with pledge of collateral (bonds-match funded agreements). Non-performing loans</w:t>
      </w:r>
    </w:p>
    <w:p>
      <w:pPr>
        <w:spacing w:after="0" w:line="1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850"/>
          </w:cols>
          <w:pgMar w:left="230" w:top="627" w:right="819" w:bottom="396" w:gutter="0" w:footer="0" w:header="0"/>
        </w:sectPr>
      </w:pPr>
    </w:p>
    <w:bookmarkStart w:id="77" w:name="page78"/>
    <w:bookmarkEnd w:id="77"/>
    <w:p>
      <w:pPr>
        <w:ind w:left="1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ind w:left="10"/>
        <w:spacing w:after="0"/>
        <w:rPr>
          <w:sz w:val="20"/>
          <w:szCs w:val="20"/>
          <w:color w:val="auto"/>
        </w:rPr>
      </w:pPr>
      <w:r>
        <w:rPr>
          <w:rFonts w:ascii="Courier New" w:cs="Courier New" w:eastAsia="Courier New" w:hAnsi="Courier New"/>
          <w:sz w:val="15"/>
          <w:szCs w:val="15"/>
          <w:color w:val="auto"/>
        </w:rPr>
        <w:t>RESULTS OF OPERATIONS</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jc w:val="both"/>
        <w:ind w:left="10" w:right="4760"/>
        <w:spacing w:after="0" w:line="237" w:lineRule="auto"/>
        <w:rPr>
          <w:sz w:val="20"/>
          <w:szCs w:val="20"/>
          <w:color w:val="auto"/>
        </w:rPr>
      </w:pPr>
      <w:r>
        <w:rPr>
          <w:rFonts w:ascii="Courier New" w:cs="Courier New" w:eastAsia="Courier New" w:hAnsi="Courier New"/>
          <w:sz w:val="15"/>
          <w:szCs w:val="15"/>
          <w:color w:val="auto"/>
        </w:rPr>
        <w:t>amounted to $3,120, $4,405 and $2,831 at December 31, 2002, 2001 and 2000, respectively. The declines in the balance during 2002 and 2001 were due to repayment of loan principal.</w:t>
      </w:r>
    </w:p>
    <w:p>
      <w:pPr>
        <w:spacing w:after="0" w:line="175" w:lineRule="exact"/>
        <w:rPr>
          <w:sz w:val="20"/>
          <w:szCs w:val="20"/>
          <w:color w:val="auto"/>
        </w:rPr>
      </w:pPr>
    </w:p>
    <w:p>
      <w:pPr>
        <w:ind w:left="10" w:right="4240" w:firstLine="793"/>
        <w:spacing w:after="0" w:line="238" w:lineRule="auto"/>
        <w:rPr>
          <w:sz w:val="20"/>
          <w:szCs w:val="20"/>
          <w:color w:val="auto"/>
        </w:rPr>
      </w:pPr>
      <w:r>
        <w:rPr>
          <w:rFonts w:ascii="Courier New" w:cs="Courier New" w:eastAsia="Courier New" w:hAnsi="Courier New"/>
          <w:sz w:val="15"/>
          <w:szCs w:val="15"/>
          <w:color w:val="auto"/>
        </w:rPr>
        <w:t>Match funded securities resulted from our transfer of unrated residual securities to a trust on December 16, 1999 in exchange for non-recourse notes. The transfer did not qualify as a sale for accounting purposes since we retained effective control over the securities transferred. Accordingly, we reported the amount of proceeds that we received from the transfer as a secured borrowing with pledge of collateral (bonds-match funded agreements). The declines in the balance during 2002 and 2001 were primarily due to principal repayments. The following table presents information regarding our match funded securities summarized by classification and rating:</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Anticipated</w:t>
            </w:r>
          </w:p>
        </w:tc>
      </w:tr>
      <w:tr>
        <w:trPr>
          <w:trHeight w:val="170"/>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Original</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Anticipated</w:t>
            </w:r>
          </w:p>
        </w:tc>
        <w:tc>
          <w:tcPr>
            <w:tcW w:w="1100" w:type="dxa"/>
            <w:vAlign w:val="bottom"/>
          </w:tcPr>
          <w:p>
            <w:pPr>
              <w:spacing w:after="0"/>
              <w:rPr>
                <w:sz w:val="14"/>
                <w:szCs w:val="14"/>
                <w:color w:val="auto"/>
              </w:rPr>
            </w:pPr>
          </w:p>
        </w:tc>
        <w:tc>
          <w:tcPr>
            <w:tcW w:w="1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Weighted</w:t>
            </w:r>
          </w:p>
        </w:tc>
      </w:tr>
      <w:tr>
        <w:trPr>
          <w:trHeight w:val="170"/>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Anticipated</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Yield to</w:t>
            </w:r>
          </w:p>
        </w:tc>
        <w:tc>
          <w:tcPr>
            <w:tcW w:w="1100" w:type="dxa"/>
            <w:vAlign w:val="bottom"/>
          </w:tcPr>
          <w:p>
            <w:pPr>
              <w:spacing w:after="0"/>
              <w:rPr>
                <w:sz w:val="14"/>
                <w:szCs w:val="14"/>
                <w:color w:val="auto"/>
              </w:rPr>
            </w:pP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Yield to</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Maturity at</w:t>
            </w:r>
          </w:p>
        </w:tc>
        <w:tc>
          <w:tcPr>
            <w:tcW w:w="1100" w:type="dxa"/>
            <w:vAlign w:val="bottom"/>
          </w:tcPr>
          <w:p>
            <w:pPr>
              <w:spacing w:after="0"/>
              <w:rPr>
                <w:sz w:val="14"/>
                <w:szCs w:val="14"/>
                <w:color w:val="auto"/>
              </w:rPr>
            </w:pP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Remaining</w:t>
            </w:r>
          </w:p>
        </w:tc>
      </w:tr>
      <w:tr>
        <w:trPr>
          <w:trHeight w:val="170"/>
        </w:trPr>
        <w:tc>
          <w:tcPr>
            <w:tcW w:w="29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Fair Value</w:t>
            </w:r>
          </w:p>
        </w:tc>
        <w:tc>
          <w:tcPr>
            <w:tcW w:w="1440" w:type="dxa"/>
            <w:vAlign w:val="bottom"/>
          </w:tcPr>
          <w:p>
            <w:pPr>
              <w:ind w:left="160"/>
              <w:spacing w:after="0"/>
              <w:rPr>
                <w:sz w:val="20"/>
                <w:szCs w:val="20"/>
                <w:color w:val="auto"/>
              </w:rPr>
            </w:pPr>
            <w:r>
              <w:rPr>
                <w:rFonts w:ascii="Courier New" w:cs="Courier New" w:eastAsia="Courier New" w:hAnsi="Courier New"/>
                <w:sz w:val="15"/>
                <w:szCs w:val="15"/>
                <w:color w:val="auto"/>
              </w:rPr>
              <w:t>Percent Owned</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Maturity</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12/31/02 (1)</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Coupon</w:t>
            </w: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5"/>
              </w:rPr>
              <w:t>Life(2)</w:t>
            </w:r>
          </w:p>
        </w:tc>
      </w:tr>
      <w:tr>
        <w:trPr>
          <w:trHeight w:val="170"/>
        </w:trPr>
        <w:tc>
          <w:tcPr>
            <w:tcW w:w="294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Unrated residuals...............</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8,057</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17.47%</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3.61%</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N/A</w:t>
            </w:r>
          </w:p>
        </w:tc>
        <w:tc>
          <w:tcPr>
            <w:tcW w:w="128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6.44 years</w:t>
            </w:r>
          </w:p>
        </w:tc>
      </w:tr>
      <w:tr>
        <w:trPr>
          <w:trHeight w:val="170"/>
        </w:trPr>
        <w:tc>
          <w:tcPr>
            <w:tcW w:w="294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4" w:lineRule="exact"/>
        <w:rPr>
          <w:sz w:val="20"/>
          <w:szCs w:val="20"/>
          <w:color w:val="auto"/>
        </w:rPr>
      </w:pPr>
    </w:p>
    <w:p>
      <w:pPr>
        <w:ind w:left="790" w:right="4600" w:hanging="790"/>
        <w:spacing w:after="0" w:line="260" w:lineRule="auto"/>
        <w:tabs>
          <w:tab w:leader="none" w:pos="79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2002 anticipated yield to maturity from that originally anticipated are primarily the result of changes in prepayment assumptions and, to a lesser extent, loss assumptions.</w:t>
      </w:r>
    </w:p>
    <w:p>
      <w:pPr>
        <w:spacing w:after="0" w:line="162" w:lineRule="exact"/>
        <w:rPr>
          <w:rFonts w:ascii="Courier New" w:cs="Courier New" w:eastAsia="Courier New" w:hAnsi="Courier New"/>
          <w:sz w:val="14"/>
          <w:szCs w:val="14"/>
          <w:color w:val="auto"/>
        </w:rPr>
      </w:pPr>
    </w:p>
    <w:p>
      <w:pPr>
        <w:ind w:left="790" w:right="4600" w:hanging="790"/>
        <w:spacing w:after="0" w:line="235" w:lineRule="auto"/>
        <w:tabs>
          <w:tab w:leader="none" w:pos="79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the weighted average duration based on the December 31, 2002 book value.</w:t>
      </w:r>
    </w:p>
    <w:p>
      <w:pPr>
        <w:spacing w:after="0" w:line="176" w:lineRule="exact"/>
        <w:rPr>
          <w:sz w:val="20"/>
          <w:szCs w:val="20"/>
          <w:color w:val="auto"/>
        </w:rPr>
      </w:pPr>
    </w:p>
    <w:p>
      <w:pPr>
        <w:ind w:left="10" w:right="4320" w:firstLine="793"/>
        <w:spacing w:after="0" w:line="237" w:lineRule="auto"/>
        <w:rPr>
          <w:sz w:val="20"/>
          <w:szCs w:val="20"/>
          <w:color w:val="auto"/>
        </w:rPr>
      </w:pPr>
      <w:r>
        <w:rPr>
          <w:rFonts w:ascii="Courier New" w:cs="Courier New" w:eastAsia="Courier New" w:hAnsi="Courier New"/>
          <w:sz w:val="15"/>
          <w:szCs w:val="15"/>
          <w:color w:val="auto"/>
        </w:rPr>
        <w:t>The following table sets forth the principal amount of mortgage loans by the geographic location of the property securing the mortgages that underlie our match funded securities at December 31, 2002:</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California</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Florida</w:t>
            </w:r>
          </w:p>
        </w:tc>
        <w:tc>
          <w:tcPr>
            <w:tcW w:w="1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Illinois</w:t>
            </w:r>
          </w:p>
        </w:tc>
        <w:tc>
          <w:tcPr>
            <w:tcW w:w="1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New York</w:t>
            </w:r>
          </w:p>
        </w:tc>
        <w:tc>
          <w:tcPr>
            <w:tcW w:w="18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Oregon</w:t>
            </w:r>
          </w:p>
        </w:tc>
        <w:tc>
          <w:tcPr>
            <w:tcW w:w="1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Other (1)</w:t>
            </w:r>
          </w:p>
        </w:tc>
        <w:tc>
          <w:tcPr>
            <w:tcW w:w="16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724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7"/>
              </w:rPr>
              <w:t>----------  ----------  ----------  ----------  ----------  ----------  ----------</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27,014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8,051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114,939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190,229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Multi-family............................</w:t>
            </w:r>
          </w:p>
        </w:tc>
        <w:tc>
          <w:tcPr>
            <w:tcW w:w="34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1,033</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397</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w:t>
            </w:r>
          </w:p>
        </w:tc>
        <w:tc>
          <w:tcPr>
            <w:tcW w:w="1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3,075</w:t>
            </w:r>
          </w:p>
        </w:tc>
        <w:tc>
          <w:tcPr>
            <w:tcW w:w="16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5,236</w:t>
            </w:r>
          </w:p>
        </w:tc>
      </w:tr>
      <w:tr>
        <w:trPr>
          <w:trHeight w:val="170"/>
        </w:trPr>
        <w:tc>
          <w:tcPr>
            <w:tcW w:w="37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8,051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118,014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195,465</w:t>
            </w:r>
          </w:p>
        </w:tc>
      </w:tr>
      <w:tr>
        <w:trPr>
          <w:trHeight w:val="170"/>
        </w:trPr>
        <w:tc>
          <w:tcPr>
            <w:tcW w:w="37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Percentage of total.....................</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14.35%</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11.47%</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60.38%</w:t>
            </w:r>
          </w:p>
        </w:tc>
        <w:tc>
          <w:tcPr>
            <w:tcW w:w="16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7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790" w:right="4860" w:hanging="790"/>
        <w:spacing w:after="0" w:line="235" w:lineRule="auto"/>
        <w:tabs>
          <w:tab w:leader="none" w:pos="79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44 other states, none of which aggregated over $6,943 in any one state.</w:t>
      </w:r>
    </w:p>
    <w:p>
      <w:pPr>
        <w:spacing w:after="0" w:line="176" w:lineRule="exact"/>
        <w:rPr>
          <w:sz w:val="20"/>
          <w:szCs w:val="20"/>
          <w:color w:val="auto"/>
        </w:rPr>
      </w:pPr>
    </w:p>
    <w:p>
      <w:pPr>
        <w:ind w:left="10" w:right="4240" w:firstLine="793"/>
        <w:spacing w:after="0" w:line="257" w:lineRule="auto"/>
        <w:rPr>
          <w:sz w:val="20"/>
          <w:szCs w:val="20"/>
          <w:color w:val="auto"/>
        </w:rPr>
      </w:pPr>
      <w:r>
        <w:rPr>
          <w:rFonts w:ascii="Courier New" w:cs="Courier New" w:eastAsia="Courier New" w:hAnsi="Courier New"/>
          <w:sz w:val="14"/>
          <w:szCs w:val="14"/>
          <w:color w:val="auto"/>
        </w:rPr>
        <w:t>Match funded advances on loans serviced for others resulted from our transfer of certain residential loan servicing related advances to a third party in exchange for cash. The transfer did not qualify as a sale for accounting purposes since we retained effective control of the advances. Accordingly, we report the amount of proceeds we received from the sale as a secured borrowing with pledge of collateral (bonds-match funded agreements.) See "Bonds-Match Funded Agreements" and Note 6 to our Consolidated Financial Statements.</w:t>
      </w:r>
    </w:p>
    <w:p>
      <w:pPr>
        <w:spacing w:after="0" w:line="1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290"/>
          </w:cols>
          <w:pgMar w:left="230" w:top="622" w:right="37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w w:val="98"/>
              </w:rPr>
              <w:t>MANAGEMENT'S DISCUSSION AND ANALYSIS OF FINANCIAL CONDITION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(Dollars in thousands, except share data)</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260" w:type="dxa"/>
            <w:vAlign w:val="bottom"/>
            <w:gridSpan w:val="6"/>
          </w:tcPr>
          <w:p>
            <w:pPr>
              <w:spacing w:after="0"/>
              <w:rPr>
                <w:sz w:val="20"/>
                <w:szCs w:val="20"/>
                <w:color w:val="auto"/>
              </w:rPr>
            </w:pPr>
            <w:r>
              <w:rPr>
                <w:rFonts w:ascii="Courier New" w:cs="Courier New" w:eastAsia="Courier New" w:hAnsi="Courier New"/>
                <w:sz w:val="15"/>
                <w:szCs w:val="15"/>
                <w:color w:val="auto"/>
                <w:w w:val="98"/>
              </w:rPr>
              <w:t>- --------------------------------------------------------------------------------</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7040" w:type="dxa"/>
            <w:vAlign w:val="bottom"/>
            <w:gridSpan w:val="5"/>
          </w:tcPr>
          <w:p>
            <w:pPr>
              <w:ind w:left="780"/>
              <w:spacing w:after="0"/>
              <w:rPr>
                <w:sz w:val="20"/>
                <w:szCs w:val="20"/>
                <w:color w:val="auto"/>
              </w:rPr>
            </w:pPr>
            <w:r>
              <w:rPr>
                <w:rFonts w:ascii="Courier New" w:cs="Courier New" w:eastAsia="Courier New" w:hAnsi="Courier New"/>
                <w:sz w:val="15"/>
                <w:szCs w:val="15"/>
                <w:color w:val="auto"/>
                <w:w w:val="99"/>
              </w:rPr>
              <w:t>Allowances for Loan Losses. As discussed in the "Results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7"/>
              </w:rPr>
              <w:t>- - Provision for Loan Losses" section, we maintain an allowance for loan losses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w w:val="98"/>
              </w:rPr>
              <w:t>for each of our loans at a level which we consider adequate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provide for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probable losses based upon an evaluation of known and inherent risks. The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7"/>
              </w:rPr>
              <w:t>following tables set forth (a) the breakdown of the allowance for loan losses on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9"/>
              </w:rPr>
              <w:t>our loans by loan category and (b) the percentage of loans in each category to</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gridSpan w:val="4"/>
          </w:tcPr>
          <w:p>
            <w:pPr>
              <w:spacing w:after="0"/>
              <w:rPr>
                <w:sz w:val="20"/>
                <w:szCs w:val="20"/>
                <w:color w:val="auto"/>
              </w:rPr>
            </w:pPr>
            <w:r>
              <w:rPr>
                <w:rFonts w:ascii="Courier New" w:cs="Courier New" w:eastAsia="Courier New" w:hAnsi="Courier New"/>
                <w:sz w:val="15"/>
                <w:szCs w:val="15"/>
                <w:color w:val="auto"/>
              </w:rPr>
              <w:t>total loans in the respective categories at the dates indicated: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4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67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2002</w:t>
            </w:r>
          </w:p>
        </w:tc>
        <w:tc>
          <w:tcPr>
            <w:tcW w:w="56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3,401</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3,493</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11,168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10,522</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6,637</w:t>
            </w:r>
          </w:p>
        </w:tc>
        <w:tc>
          <w:tcPr>
            <w:tcW w:w="5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2,186</w:t>
            </w:r>
          </w:p>
        </w:tc>
        <w:tc>
          <w:tcPr>
            <w:tcW w:w="2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2,798</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3,403</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5,171</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Nonresidential real estate loans..........</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13,970</w:t>
            </w:r>
          </w:p>
        </w:tc>
        <w:tc>
          <w:tcPr>
            <w:tcW w:w="5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4,827</w:t>
            </w:r>
          </w:p>
        </w:tc>
        <w:tc>
          <w:tcPr>
            <w:tcW w:w="2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8,210</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10,602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10,637</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 loans (1)...........................</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8,778</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20,761</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10,414</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23,279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26,440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26,330</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Match funded loans</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320" w:hanging="790"/>
        <w:spacing w:after="0" w:line="265" w:lineRule="auto"/>
        <w:tabs>
          <w:tab w:leader="none" w:pos="79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loan losses on other discount loans pertains to our charged-off unsecured credit card receivables acquired at a discount.</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670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04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Percentage of Loans to Total Loans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34.2%</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Nonresidential real estate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170"/>
        </w:trPr>
        <w:tc>
          <w:tcPr>
            <w:tcW w:w="404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04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4400" w:firstLine="793"/>
        <w:spacing w:after="0" w:line="237" w:lineRule="auto"/>
        <w:rPr>
          <w:sz w:val="20"/>
          <w:szCs w:val="20"/>
          <w:color w:val="auto"/>
        </w:rPr>
      </w:pPr>
      <w:r>
        <w:rPr>
          <w:rFonts w:ascii="Courier New" w:cs="Courier New" w:eastAsia="Courier New" w:hAnsi="Courier New"/>
          <w:sz w:val="15"/>
          <w:szCs w:val="15"/>
          <w:color w:val="auto"/>
        </w:rPr>
        <w:t>The allocation of the allowance to each category is not necessarily indicative of future losses and does not restrict our use of the allowance to absorb losses in any other category.</w:t>
      </w:r>
    </w:p>
    <w:p>
      <w:pPr>
        <w:spacing w:after="0" w:line="175" w:lineRule="exact"/>
        <w:rPr>
          <w:sz w:val="20"/>
          <w:szCs w:val="20"/>
          <w:color w:val="auto"/>
        </w:rPr>
      </w:pPr>
    </w:p>
    <w:p>
      <w:pPr>
        <w:ind w:left="10" w:right="4140" w:firstLine="793"/>
        <w:spacing w:after="0" w:line="235"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our loans during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65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4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Balance at beginning of period....................</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10,414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23,279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26,440</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26,330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27,188</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Provision for loan losses.........................</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13,655</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15,478</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15,270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7,070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18,509</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Single family residential loans................</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(974)</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(5,964)</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(7,132)</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(4,417)</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(14,786)</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Multi-family residential loans.................</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(2,550)</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(2,648)</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Nonresidential real estate loans...............</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(2,549)</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(11,654)</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(9,386)</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(2,687)</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(2,888)</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loans....................................</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(10,337)</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charge-offs...........................</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(3,756)</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(28,827)</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(19,068)</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(8,060)</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(20,349)</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Single family residential loans................</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Nonresidential real estate loans...............</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recoveries............................</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982</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charge-offs.............................</w:t>
            </w:r>
          </w:p>
        </w:tc>
        <w:tc>
          <w:tcPr>
            <w:tcW w:w="5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(3,308)</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(28,343)</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(18,431)</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(7,663)</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(19,367)</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Acquired allowance (OAC acquisition)..............</w:t>
            </w:r>
          </w:p>
        </w:tc>
        <w:tc>
          <w:tcPr>
            <w:tcW w:w="5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703</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Balance at end of period..........................</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20,761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10,414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23,279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26,440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26,330</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90"/>
          </w:cols>
          <w:pgMar w:left="230" w:top="622" w:right="479" w:bottom="57" w:gutter="0" w:footer="0" w:header="0"/>
        </w:sectPr>
      </w:pPr>
    </w:p>
    <w:bookmarkStart w:id="79" w:name="page80"/>
    <w:bookmarkEnd w:id="79"/>
    <w:p>
      <w:pPr>
        <w:ind w:left="22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019"/>
          </w:cols>
          <w:pgMar w:left="1440" w:top="305" w:right="1440" w:bottom="1440" w:gutter="0" w:footer="0" w:header="0"/>
        </w:sectPr>
      </w:pPr>
    </w:p>
    <w:bookmarkStart w:id="80" w:name="page81"/>
    <w:bookmarkEnd w:id="80"/>
    <w:p>
      <w:pPr>
        <w:ind w:right="53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060" w:firstLine="793"/>
        <w:spacing w:after="0" w:line="238" w:lineRule="auto"/>
        <w:rPr>
          <w:sz w:val="20"/>
          <w:szCs w:val="20"/>
          <w:color w:val="auto"/>
        </w:rPr>
      </w:pPr>
      <w:r>
        <w:rPr>
          <w:rFonts w:ascii="Courier New" w:cs="Courier New" w:eastAsia="Courier New" w:hAnsi="Courier New"/>
          <w:sz w:val="15"/>
          <w:szCs w:val="15"/>
          <w:color w:val="auto"/>
        </w:rPr>
        <w:t>Real Estate Owned, Net. Real estate owned, net, has been declining since 1998 as sales more than offset loan foreclosures during those years. At December 31, 2002 our portfolio of real estate owned consisted of only 55 properties. Declines in our originations and acquisitions of loans (none since 2000) have contributed to the decline in foreclosures. Our real estate owned consists almost entirely of properties we acquired by foreclosure or deed-in-lieu thereof on loans we previously acquired at a discount.</w:t>
      </w:r>
    </w:p>
    <w:p>
      <w:pPr>
        <w:spacing w:after="0" w:line="177" w:lineRule="exact"/>
        <w:rPr>
          <w:sz w:val="20"/>
          <w:szCs w:val="20"/>
          <w:color w:val="auto"/>
        </w:rPr>
      </w:pPr>
    </w:p>
    <w:p>
      <w:pPr>
        <w:ind w:right="3880"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composition of our real estate owned by property type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65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4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04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Single family..............................</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56,679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78,172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98,831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Multi-family...............................</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2,602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20,130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Nonresidential.............................</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60,153</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94,041</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89,590</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86,732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82,590</w:t>
            </w:r>
          </w:p>
        </w:tc>
      </w:tr>
      <w:tr>
        <w:trPr>
          <w:trHeight w:val="170"/>
        </w:trPr>
        <w:tc>
          <w:tcPr>
            <w:tcW w:w="404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62,039</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110,465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146,419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167,506</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201,551</w:t>
            </w:r>
          </w:p>
        </w:tc>
      </w:tr>
      <w:tr>
        <w:trPr>
          <w:trHeight w:val="170"/>
        </w:trPr>
        <w:tc>
          <w:tcPr>
            <w:tcW w:w="404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140" w:firstLine="793"/>
        <w:spacing w:after="0" w:line="235" w:lineRule="auto"/>
        <w:rPr>
          <w:sz w:val="20"/>
          <w:szCs w:val="20"/>
          <w:color w:val="auto"/>
        </w:rPr>
      </w:pPr>
      <w:r>
        <w:rPr>
          <w:rFonts w:ascii="Courier New" w:cs="Courier New" w:eastAsia="Courier New" w:hAnsi="Courier New"/>
          <w:sz w:val="15"/>
          <w:szCs w:val="15"/>
          <w:color w:val="auto"/>
        </w:rPr>
        <w:t>The following tables set forth the activity in our real estate owned during the years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2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110,465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146,419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167,506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201,551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167,265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Properties acquired through foreclosure or</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deed-in-lieu thereof:</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16,000</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92,949</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201,010</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220,775</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391,238</w:t>
            </w: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Less discount transferred............................</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(35,698)</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(60,246)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(63,664)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(110,716)</w:t>
            </w: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advances transferred.............................</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6,790</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11,741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13,308</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16,551</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9,492</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64,041</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152,505</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170,419</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297,073</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Capital improvements...................................</w:t>
            </w:r>
          </w:p>
        </w:tc>
        <w:tc>
          <w:tcPr>
            <w:tcW w:w="4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2,298</w:t>
            </w:r>
          </w:p>
        </w:tc>
        <w:tc>
          <w:tcPr>
            <w:tcW w:w="220" w:type="dxa"/>
            <w:vAlign w:val="bottom"/>
          </w:tcPr>
          <w:p>
            <w:pPr>
              <w:spacing w:after="0"/>
              <w:rPr>
                <w:sz w:val="24"/>
                <w:szCs w:val="2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12,737</w:t>
            </w:r>
          </w:p>
        </w:tc>
        <w:tc>
          <w:tcPr>
            <w:tcW w:w="26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6,775</w:t>
            </w:r>
          </w:p>
        </w:tc>
        <w:tc>
          <w:tcPr>
            <w:tcW w:w="220" w:type="dxa"/>
            <w:vAlign w:val="bottom"/>
          </w:tcPr>
          <w:p>
            <w:pPr>
              <w:spacing w:after="0"/>
              <w:rPr>
                <w:sz w:val="24"/>
                <w:szCs w:val="2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Acquired in connection with acquisitions of loans......</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9,059</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47,808</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(53,670)</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(111,776)</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(188,465)</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(250,453)</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(280,565)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Increase in valuation allowance........................</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(956)</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(1,856)</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(2,979)</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146,419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167,506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201,551</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220" w:type="dxa"/>
            <w:vAlign w:val="bottom"/>
          </w:tcPr>
          <w:p>
            <w:pPr>
              <w:spacing w:after="0"/>
              <w:rPr>
                <w:sz w:val="24"/>
                <w:szCs w:val="2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24"/>
                <w:szCs w:val="24"/>
                <w:color w:val="auto"/>
              </w:rPr>
            </w:pPr>
          </w:p>
        </w:tc>
        <w:tc>
          <w:tcPr>
            <w:tcW w:w="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Number of Properties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1,298</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1,672</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Properties acquired through foreclosure or</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deed-in-lieu thereof..................................</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2,455</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2,534</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Acquired in connection with acquisitions of loans......</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931</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(1,654)</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(3,792)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(3,087)</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1,298</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020" w:type="dxa"/>
            <w:vAlign w:val="bottom"/>
          </w:tcPr>
          <w:p>
            <w:pPr>
              <w:ind w:left="3420"/>
              <w:spacing w:after="0"/>
              <w:rPr>
                <w:sz w:val="20"/>
                <w:szCs w:val="20"/>
                <w:color w:val="auto"/>
              </w:rPr>
            </w:pPr>
            <w:r>
              <w:rPr>
                <w:rFonts w:ascii="Courier New" w:cs="Courier New" w:eastAsia="Courier New" w:hAnsi="Courier New"/>
                <w:sz w:val="15"/>
                <w:szCs w:val="15"/>
                <w:color w:val="auto"/>
              </w:rPr>
              <w:t>53</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920"/>
          </w:cols>
          <w:pgMar w:left="240" w:top="627" w:right="739"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The following tables set</w:t>
            </w:r>
          </w:p>
        </w:tc>
        <w:tc>
          <w:tcPr>
            <w:tcW w:w="4240" w:type="dxa"/>
            <w:vAlign w:val="bottom"/>
            <w:gridSpan w:val="5"/>
          </w:tcPr>
          <w:p>
            <w:pPr>
              <w:spacing w:after="0"/>
              <w:rPr>
                <w:sz w:val="20"/>
                <w:szCs w:val="20"/>
                <w:color w:val="auto"/>
              </w:rPr>
            </w:pPr>
            <w:r>
              <w:rPr>
                <w:rFonts w:ascii="Courier New" w:cs="Courier New" w:eastAsia="Courier New" w:hAnsi="Courier New"/>
                <w:sz w:val="15"/>
                <w:szCs w:val="15"/>
                <w:color w:val="auto"/>
              </w:rPr>
              <w:t>forth the amount of time that we have held our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780" w:type="dxa"/>
            <w:vAlign w:val="bottom"/>
            <w:gridSpan w:val="3"/>
          </w:tcPr>
          <w:p>
            <w:pPr>
              <w:spacing w:after="0"/>
              <w:rPr>
                <w:sz w:val="20"/>
                <w:szCs w:val="20"/>
                <w:color w:val="auto"/>
              </w:rPr>
            </w:pPr>
            <w:r>
              <w:rPr>
                <w:rFonts w:ascii="Courier New" w:cs="Courier New" w:eastAsia="Courier New" w:hAnsi="Courier New"/>
                <w:sz w:val="15"/>
                <w:szCs w:val="15"/>
                <w:color w:val="auto"/>
              </w:rPr>
              <w:t>real estate owned at the dates indicated:</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8"/>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260" w:type="dxa"/>
            <w:vAlign w:val="bottom"/>
          </w:tcPr>
          <w:p>
            <w:pPr>
              <w:spacing w:after="0"/>
              <w:rPr>
                <w:sz w:val="24"/>
                <w:szCs w:val="2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Nonresidential</w:t>
            </w:r>
          </w:p>
        </w:tc>
        <w:tc>
          <w:tcPr>
            <w:tcW w:w="400" w:type="dxa"/>
            <w:vAlign w:val="bottom"/>
          </w:tcPr>
          <w:p>
            <w:pPr>
              <w:spacing w:after="0"/>
              <w:rPr>
                <w:sz w:val="24"/>
                <w:szCs w:val="24"/>
                <w:color w:val="auto"/>
              </w:rPr>
            </w:pPr>
          </w:p>
        </w:tc>
        <w:tc>
          <w:tcPr>
            <w:tcW w:w="19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Single Family</w:t>
            </w:r>
          </w:p>
        </w:tc>
        <w:tc>
          <w:tcPr>
            <w:tcW w:w="300" w:type="dxa"/>
            <w:vAlign w:val="bottom"/>
          </w:tcPr>
          <w:p>
            <w:pPr>
              <w:spacing w:after="0"/>
              <w:rPr>
                <w:sz w:val="24"/>
                <w:szCs w:val="24"/>
                <w:color w:val="auto"/>
              </w:rPr>
            </w:pPr>
          </w:p>
        </w:tc>
        <w:tc>
          <w:tcPr>
            <w:tcW w:w="19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Multi-family</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140" w:type="dxa"/>
            <w:vAlign w:val="bottom"/>
          </w:tcPr>
          <w:p>
            <w:pPr>
              <w:spacing w:after="0"/>
              <w:rPr>
                <w:sz w:val="14"/>
                <w:szCs w:val="14"/>
                <w:color w:val="auto"/>
              </w:rPr>
            </w:pPr>
          </w:p>
        </w:tc>
        <w:tc>
          <w:tcPr>
            <w:tcW w:w="23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Book</w:t>
            </w:r>
          </w:p>
        </w:tc>
        <w:tc>
          <w:tcPr>
            <w:tcW w:w="11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Book</w:t>
            </w:r>
          </w:p>
        </w:tc>
        <w:tc>
          <w:tcPr>
            <w:tcW w:w="1060" w:type="dxa"/>
            <w:vAlign w:val="bottom"/>
          </w:tcPr>
          <w:p>
            <w:pPr>
              <w:spacing w:after="0"/>
              <w:rPr>
                <w:sz w:val="14"/>
                <w:szCs w:val="14"/>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Net Book</w:t>
            </w:r>
          </w:p>
        </w:tc>
        <w:tc>
          <w:tcPr>
            <w:tcW w:w="82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2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Count</w:t>
            </w:r>
          </w:p>
        </w:tc>
        <w:tc>
          <w:tcPr>
            <w:tcW w:w="40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Count</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Count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One to six months.............</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Seven to 12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13 to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18,616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19,225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Over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41,537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42,638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72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60,153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62,039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260" w:type="dxa"/>
            <w:vAlign w:val="bottom"/>
          </w:tcPr>
          <w:p>
            <w:pPr>
              <w:spacing w:after="0"/>
              <w:rPr>
                <w:sz w:val="24"/>
                <w:szCs w:val="2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Nonresidential</w:t>
            </w:r>
          </w:p>
        </w:tc>
        <w:tc>
          <w:tcPr>
            <w:tcW w:w="400" w:type="dxa"/>
            <w:vAlign w:val="bottom"/>
          </w:tcPr>
          <w:p>
            <w:pPr>
              <w:spacing w:after="0"/>
              <w:rPr>
                <w:sz w:val="24"/>
                <w:szCs w:val="24"/>
                <w:color w:val="auto"/>
              </w:rPr>
            </w:pPr>
          </w:p>
        </w:tc>
        <w:tc>
          <w:tcPr>
            <w:tcW w:w="19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Single Family</w:t>
            </w:r>
          </w:p>
        </w:tc>
        <w:tc>
          <w:tcPr>
            <w:tcW w:w="300" w:type="dxa"/>
            <w:vAlign w:val="bottom"/>
          </w:tcPr>
          <w:p>
            <w:pPr>
              <w:spacing w:after="0"/>
              <w:rPr>
                <w:sz w:val="24"/>
                <w:szCs w:val="24"/>
                <w:color w:val="auto"/>
              </w:rPr>
            </w:pPr>
          </w:p>
        </w:tc>
        <w:tc>
          <w:tcPr>
            <w:tcW w:w="19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Multi-family</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140" w:type="dxa"/>
            <w:vAlign w:val="bottom"/>
          </w:tcPr>
          <w:p>
            <w:pPr>
              <w:spacing w:after="0"/>
              <w:rPr>
                <w:sz w:val="14"/>
                <w:szCs w:val="14"/>
                <w:color w:val="auto"/>
              </w:rPr>
            </w:pPr>
          </w:p>
        </w:tc>
        <w:tc>
          <w:tcPr>
            <w:tcW w:w="23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Book</w:t>
            </w:r>
          </w:p>
        </w:tc>
        <w:tc>
          <w:tcPr>
            <w:tcW w:w="11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Book</w:t>
            </w:r>
          </w:p>
        </w:tc>
        <w:tc>
          <w:tcPr>
            <w:tcW w:w="1060" w:type="dxa"/>
            <w:vAlign w:val="bottom"/>
          </w:tcPr>
          <w:p>
            <w:pPr>
              <w:spacing w:after="0"/>
              <w:rPr>
                <w:sz w:val="14"/>
                <w:szCs w:val="14"/>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Net Book</w:t>
            </w:r>
          </w:p>
        </w:tc>
        <w:tc>
          <w:tcPr>
            <w:tcW w:w="82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2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Count</w:t>
            </w:r>
          </w:p>
        </w:tc>
        <w:tc>
          <w:tcPr>
            <w:tcW w:w="40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Count</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Count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One to six months.............</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6,150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6,150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Seven to 12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21,607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5,815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27,422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13 to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3,837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4,214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Over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72,057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72,679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72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94,041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$ 110,465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260" w:type="dxa"/>
            <w:vAlign w:val="bottom"/>
          </w:tcPr>
          <w:p>
            <w:pPr>
              <w:spacing w:after="0"/>
              <w:rPr>
                <w:sz w:val="24"/>
                <w:szCs w:val="2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Nonresidential</w:t>
            </w:r>
          </w:p>
        </w:tc>
        <w:tc>
          <w:tcPr>
            <w:tcW w:w="400" w:type="dxa"/>
            <w:vAlign w:val="bottom"/>
          </w:tcPr>
          <w:p>
            <w:pPr>
              <w:spacing w:after="0"/>
              <w:rPr>
                <w:sz w:val="24"/>
                <w:szCs w:val="24"/>
                <w:color w:val="auto"/>
              </w:rPr>
            </w:pPr>
          </w:p>
        </w:tc>
        <w:tc>
          <w:tcPr>
            <w:tcW w:w="19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Single Family</w:t>
            </w:r>
          </w:p>
        </w:tc>
        <w:tc>
          <w:tcPr>
            <w:tcW w:w="300" w:type="dxa"/>
            <w:vAlign w:val="bottom"/>
          </w:tcPr>
          <w:p>
            <w:pPr>
              <w:spacing w:after="0"/>
              <w:rPr>
                <w:sz w:val="24"/>
                <w:szCs w:val="24"/>
                <w:color w:val="auto"/>
              </w:rPr>
            </w:pPr>
          </w:p>
        </w:tc>
        <w:tc>
          <w:tcPr>
            <w:tcW w:w="19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Multi-family</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140" w:type="dxa"/>
            <w:vAlign w:val="bottom"/>
          </w:tcPr>
          <w:p>
            <w:pPr>
              <w:spacing w:after="0"/>
              <w:rPr>
                <w:sz w:val="14"/>
                <w:szCs w:val="14"/>
                <w:color w:val="auto"/>
              </w:rPr>
            </w:pPr>
          </w:p>
        </w:tc>
        <w:tc>
          <w:tcPr>
            <w:tcW w:w="23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Book</w:t>
            </w:r>
          </w:p>
        </w:tc>
        <w:tc>
          <w:tcPr>
            <w:tcW w:w="11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Book</w:t>
            </w:r>
          </w:p>
        </w:tc>
        <w:tc>
          <w:tcPr>
            <w:tcW w:w="1060" w:type="dxa"/>
            <w:vAlign w:val="bottom"/>
          </w:tcPr>
          <w:p>
            <w:pPr>
              <w:spacing w:after="0"/>
              <w:rPr>
                <w:sz w:val="14"/>
                <w:szCs w:val="14"/>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Net Book</w:t>
            </w:r>
          </w:p>
        </w:tc>
        <w:tc>
          <w:tcPr>
            <w:tcW w:w="82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2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Count</w:t>
            </w:r>
          </w:p>
        </w:tc>
        <w:tc>
          <w:tcPr>
            <w:tcW w:w="40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Count</w:t>
            </w:r>
          </w:p>
        </w:tc>
        <w:tc>
          <w:tcPr>
            <w:tcW w:w="30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Count</w:t>
            </w:r>
          </w:p>
        </w:tc>
        <w:tc>
          <w:tcPr>
            <w:tcW w:w="32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Count</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One to six months.............</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37,340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804</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38,776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Seven to 12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14,172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18,426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13 to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19,702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24,299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Over 24 months................</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64,198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64,918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72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89,590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56,679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$ 146,419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w:t>
            </w:r>
          </w:p>
        </w:tc>
      </w:tr>
      <w:tr>
        <w:trPr>
          <w:trHeight w:val="170"/>
        </w:trPr>
        <w:tc>
          <w:tcPr>
            <w:tcW w:w="27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 actively manage our real estate owned. Our sales of real estate</w:t>
      </w:r>
    </w:p>
    <w:p>
      <w:pPr>
        <w:spacing w:after="0"/>
        <w:rPr>
          <w:sz w:val="20"/>
          <w:szCs w:val="20"/>
          <w:color w:val="auto"/>
        </w:rPr>
      </w:pPr>
      <w:r>
        <w:rPr>
          <w:rFonts w:ascii="Courier New" w:cs="Courier New" w:eastAsia="Courier New" w:hAnsi="Courier New"/>
          <w:sz w:val="15"/>
          <w:szCs w:val="15"/>
          <w:color w:val="auto"/>
        </w:rPr>
        <w:t>owned resulted in losses, net of the provision for loss, of $(16,582), $(3,655)</w:t>
      </w:r>
    </w:p>
    <w:p>
      <w:pPr>
        <w:spacing w:after="0"/>
        <w:rPr>
          <w:sz w:val="20"/>
          <w:szCs w:val="20"/>
          <w:color w:val="auto"/>
        </w:rPr>
      </w:pPr>
      <w:r>
        <w:rPr>
          <w:rFonts w:ascii="Courier New" w:cs="Courier New" w:eastAsia="Courier New" w:hAnsi="Courier New"/>
          <w:sz w:val="15"/>
          <w:szCs w:val="15"/>
          <w:color w:val="auto"/>
        </w:rPr>
        <w:t>and $(4,159) during 2002, 2001 and 2000, respectively, which are included in</w:t>
      </w:r>
    </w:p>
    <w:p>
      <w:pPr>
        <w:spacing w:after="0" w:line="238" w:lineRule="auto"/>
        <w:rPr>
          <w:sz w:val="20"/>
          <w:szCs w:val="20"/>
          <w:color w:val="auto"/>
        </w:rPr>
      </w:pPr>
      <w:r>
        <w:rPr>
          <w:rFonts w:ascii="Courier New" w:cs="Courier New" w:eastAsia="Courier New" w:hAnsi="Courier New"/>
          <w:sz w:val="15"/>
          <w:szCs w:val="15"/>
          <w:color w:val="auto"/>
        </w:rPr>
        <w:t>determining our total net gain (loss) on real estate owned. Nonresidential real</w:t>
      </w:r>
    </w:p>
    <w:p>
      <w:pPr>
        <w:spacing w:after="0"/>
        <w:rPr>
          <w:sz w:val="20"/>
          <w:szCs w:val="20"/>
          <w:color w:val="auto"/>
        </w:rPr>
      </w:pPr>
      <w:r>
        <w:rPr>
          <w:rFonts w:ascii="Courier New" w:cs="Courier New" w:eastAsia="Courier New" w:hAnsi="Courier New"/>
          <w:sz w:val="15"/>
          <w:szCs w:val="15"/>
          <w:color w:val="auto"/>
        </w:rPr>
        <w:t>estate owned that we have held in excess of 24 months at December 31, 2002</w:t>
      </w:r>
    </w:p>
    <w:p>
      <w:pPr>
        <w:spacing w:after="0"/>
        <w:rPr>
          <w:sz w:val="20"/>
          <w:szCs w:val="20"/>
          <w:color w:val="auto"/>
        </w:rPr>
      </w:pPr>
      <w:r>
        <w:rPr>
          <w:rFonts w:ascii="Courier New" w:cs="Courier New" w:eastAsia="Courier New" w:hAnsi="Courier New"/>
          <w:sz w:val="15"/>
          <w:szCs w:val="15"/>
          <w:color w:val="auto"/>
        </w:rPr>
        <w:t>primarily consisted of a single large retail shopping mall with a carrying value</w:t>
      </w:r>
    </w:p>
    <w:p>
      <w:pPr>
        <w:spacing w:after="0" w:line="238" w:lineRule="auto"/>
        <w:rPr>
          <w:sz w:val="20"/>
          <w:szCs w:val="20"/>
          <w:color w:val="auto"/>
        </w:rPr>
      </w:pPr>
      <w:r>
        <w:rPr>
          <w:rFonts w:ascii="Courier New" w:cs="Courier New" w:eastAsia="Courier New" w:hAnsi="Courier New"/>
          <w:sz w:val="15"/>
          <w:szCs w:val="15"/>
          <w:color w:val="auto"/>
        </w:rPr>
        <w:t>of $41,000. As anticipated, this property migrated into the over 24 month</w:t>
      </w:r>
    </w:p>
    <w:p>
      <w:pPr>
        <w:spacing w:after="0"/>
        <w:rPr>
          <w:sz w:val="20"/>
          <w:szCs w:val="20"/>
          <w:color w:val="auto"/>
        </w:rPr>
      </w:pPr>
      <w:r>
        <w:rPr>
          <w:rFonts w:ascii="Courier New" w:cs="Courier New" w:eastAsia="Courier New" w:hAnsi="Courier New"/>
          <w:sz w:val="15"/>
          <w:szCs w:val="15"/>
          <w:color w:val="auto"/>
        </w:rPr>
        <w:t>category in 2000 because it was being repositioned for sale. Nonresidential</w:t>
      </w:r>
    </w:p>
    <w:p>
      <w:pPr>
        <w:spacing w:after="0"/>
        <w:rPr>
          <w:sz w:val="20"/>
          <w:szCs w:val="20"/>
          <w:color w:val="auto"/>
        </w:rPr>
      </w:pPr>
      <w:r>
        <w:rPr>
          <w:rFonts w:ascii="Courier New" w:cs="Courier New" w:eastAsia="Courier New" w:hAnsi="Courier New"/>
          <w:sz w:val="15"/>
          <w:szCs w:val="15"/>
          <w:color w:val="auto"/>
        </w:rPr>
        <w:t>properties held for 13 to 24 months as of December 31, 2002 consisted of four</w:t>
      </w:r>
    </w:p>
    <w:p>
      <w:pPr>
        <w:spacing w:after="0"/>
        <w:rPr>
          <w:sz w:val="20"/>
          <w:szCs w:val="20"/>
          <w:color w:val="auto"/>
        </w:rPr>
      </w:pPr>
      <w:r>
        <w:rPr>
          <w:rFonts w:ascii="Courier New" w:cs="Courier New" w:eastAsia="Courier New" w:hAnsi="Courier New"/>
          <w:sz w:val="15"/>
          <w:szCs w:val="15"/>
          <w:color w:val="auto"/>
        </w:rPr>
        <w:t>hotels, one of which was sold in January 2003 and had a carrying value of</w:t>
      </w:r>
    </w:p>
    <w:p>
      <w:pPr>
        <w:spacing w:after="0" w:line="238" w:lineRule="auto"/>
        <w:rPr>
          <w:sz w:val="20"/>
          <w:szCs w:val="20"/>
          <w:color w:val="auto"/>
        </w:rPr>
      </w:pPr>
      <w:r>
        <w:rPr>
          <w:rFonts w:ascii="Courier New" w:cs="Courier New" w:eastAsia="Courier New" w:hAnsi="Courier New"/>
          <w:sz w:val="15"/>
          <w:szCs w:val="15"/>
          <w:color w:val="auto"/>
        </w:rPr>
        <w:t>$5,801. The average period during which we held the real estate owned which was</w:t>
      </w:r>
    </w:p>
    <w:p>
      <w:pPr>
        <w:spacing w:after="0"/>
        <w:rPr>
          <w:sz w:val="20"/>
          <w:szCs w:val="20"/>
          <w:color w:val="auto"/>
        </w:rPr>
      </w:pPr>
      <w:r>
        <w:rPr>
          <w:rFonts w:ascii="Courier New" w:cs="Courier New" w:eastAsia="Courier New" w:hAnsi="Courier New"/>
          <w:sz w:val="15"/>
          <w:szCs w:val="15"/>
          <w:color w:val="auto"/>
        </w:rPr>
        <w:t>sold during the years ended December 31, 2002, 2001 and 2000, was 13 months, 8</w:t>
      </w:r>
    </w:p>
    <w:p>
      <w:pPr>
        <w:spacing w:after="0"/>
        <w:rPr>
          <w:sz w:val="20"/>
          <w:szCs w:val="20"/>
          <w:color w:val="auto"/>
        </w:rPr>
      </w:pPr>
      <w:r>
        <w:rPr>
          <w:rFonts w:ascii="Courier New" w:cs="Courier New" w:eastAsia="Courier New" w:hAnsi="Courier New"/>
          <w:sz w:val="15"/>
          <w:szCs w:val="15"/>
          <w:color w:val="auto"/>
        </w:rPr>
        <w:t>months and 7 months, respectively.</w:t>
      </w:r>
    </w:p>
    <w:p>
      <w:pPr>
        <w:spacing w:after="0" w:line="174" w:lineRule="exact"/>
        <w:rPr>
          <w:sz w:val="20"/>
          <w:szCs w:val="20"/>
          <w:color w:val="auto"/>
        </w:rPr>
      </w:pPr>
    </w:p>
    <w:p>
      <w:pPr>
        <w:ind w:right="4560" w:firstLine="793"/>
        <w:spacing w:after="0" w:line="238" w:lineRule="auto"/>
        <w:rPr>
          <w:sz w:val="20"/>
          <w:szCs w:val="20"/>
          <w:color w:val="auto"/>
        </w:rPr>
      </w:pPr>
      <w:r>
        <w:rPr>
          <w:rFonts w:ascii="Courier New" w:cs="Courier New" w:eastAsia="Courier New" w:hAnsi="Courier New"/>
          <w:sz w:val="15"/>
          <w:szCs w:val="15"/>
          <w:color w:val="auto"/>
        </w:rPr>
        <w:t>We value properties acquired through foreclosure or by deed-in-lieu thereof at the lower of amortized cost or fair value less costs of disposition. We periodically reevaluate properties included in the our real estate owned portfolio to determine that we are carrying them at the lower of cost or fair value less estimated costs to sell. We record holding and maintenance costs we incur related to properties as expenses in the period incurred. We recognize decreases in value in real estate owned after acquisition as a valuation allowance. We reflect subsequent increases related to the valuation of real estate owned as a reduction in the valuation allowance, but not below zero. We charge or credit to income, respectively, increases and decreases in the valuation allowance.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1520"/>
          </w:cols>
          <w:pgMar w:left="240" w:top="622" w:right="13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MANAGEMENT'S DISCUSSION AND ANALYSIS OF FINANCIAL CONDITION</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(Dollars in thousands, except share data)</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400" w:type="dxa"/>
            <w:vAlign w:val="bottom"/>
            <w:gridSpan w:val="5"/>
          </w:tcPr>
          <w:p>
            <w:pPr>
              <w:spacing w:after="0"/>
              <w:rPr>
                <w:sz w:val="20"/>
                <w:szCs w:val="20"/>
                <w:color w:val="auto"/>
              </w:rPr>
            </w:pPr>
            <w:r>
              <w:rPr>
                <w:rFonts w:ascii="Courier New" w:cs="Courier New" w:eastAsia="Courier New" w:hAnsi="Courier New"/>
                <w:sz w:val="15"/>
                <w:szCs w:val="15"/>
                <w:color w:val="auto"/>
                <w:w w:val="99"/>
              </w:rPr>
              <w:t>- --------------------------------------------------------------------------------</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6520" w:type="dxa"/>
            <w:vAlign w:val="bottom"/>
            <w:gridSpan w:val="4"/>
          </w:tcPr>
          <w:p>
            <w:pPr>
              <w:ind w:left="780"/>
              <w:spacing w:after="0"/>
              <w:rPr>
                <w:sz w:val="20"/>
                <w:szCs w:val="20"/>
                <w:color w:val="auto"/>
              </w:rPr>
            </w:pPr>
            <w:r>
              <w:rPr>
                <w:rFonts w:ascii="Courier New" w:cs="Courier New" w:eastAsia="Courier New" w:hAnsi="Courier New"/>
                <w:sz w:val="15"/>
                <w:szCs w:val="15"/>
                <w:color w:val="auto"/>
                <w:w w:val="97"/>
              </w:rPr>
              <w:t>The following table sets forth the activity, in aggregate, in the</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gridSpan w:val="4"/>
          </w:tcPr>
          <w:p>
            <w:pPr>
              <w:spacing w:after="0"/>
              <w:rPr>
                <w:sz w:val="20"/>
                <w:szCs w:val="20"/>
                <w:color w:val="auto"/>
              </w:rPr>
            </w:pPr>
            <w:r>
              <w:rPr>
                <w:rFonts w:ascii="Courier New" w:cs="Courier New" w:eastAsia="Courier New" w:hAnsi="Courier New"/>
                <w:sz w:val="15"/>
                <w:szCs w:val="15"/>
                <w:color w:val="auto"/>
              </w:rPr>
              <w:t>valuation allowance on our real estate owned during the years indicated:</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4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2002</w:t>
            </w:r>
          </w:p>
        </w:tc>
        <w:tc>
          <w:tcPr>
            <w:tcW w:w="44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24"/>
                <w:szCs w:val="2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24"/>
                <w:szCs w:val="2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66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19,098</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15,325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12,346</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Provisions for losses.............................</w:t>
            </w:r>
          </w:p>
        </w:tc>
        <w:tc>
          <w:tcPr>
            <w:tcW w:w="54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19,685</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17,766</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26,674</w:t>
            </w: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28,008</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18,626</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5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(5,304)</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(2,352)</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(4,129)</w:t>
            </w:r>
          </w:p>
        </w:tc>
        <w:tc>
          <w:tcPr>
            <w:tcW w:w="34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(8,012)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(2,028)</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(7,835)</w:t>
            </w:r>
          </w:p>
        </w:tc>
        <w:tc>
          <w:tcPr>
            <w:tcW w:w="4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(14,458)</w:t>
            </w:r>
          </w:p>
        </w:tc>
        <w:tc>
          <w:tcPr>
            <w:tcW w:w="34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(21,584)</w:t>
            </w:r>
          </w:p>
        </w:tc>
        <w:tc>
          <w:tcPr>
            <w:tcW w:w="34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(18,140)</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(13,619)</w:t>
            </w:r>
          </w:p>
        </w:tc>
      </w:tr>
      <w:tr>
        <w:trPr>
          <w:trHeight w:val="170"/>
        </w:trPr>
        <w:tc>
          <w:tcPr>
            <w:tcW w:w="466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25,644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19,098</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17,181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15,325</w:t>
            </w:r>
          </w:p>
        </w:tc>
      </w:tr>
      <w:tr>
        <w:trPr>
          <w:trHeight w:val="170"/>
        </w:trPr>
        <w:tc>
          <w:tcPr>
            <w:tcW w:w="466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Valuation allowance as a percentage of total</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gross real estate owned (1)....................</w:t>
            </w:r>
          </w:p>
        </w:tc>
        <w:tc>
          <w:tcPr>
            <w:tcW w:w="5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29.25%</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14.74%</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11.02%</w:t>
            </w:r>
          </w:p>
        </w:tc>
        <w:tc>
          <w:tcPr>
            <w:tcW w:w="34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bl>
    <w:p>
      <w:pPr>
        <w:spacing w:after="0" w:line="344" w:lineRule="exact"/>
        <w:rPr>
          <w:sz w:val="20"/>
          <w:szCs w:val="20"/>
          <w:color w:val="auto"/>
        </w:rPr>
      </w:pPr>
    </w:p>
    <w:p>
      <w:pPr>
        <w:ind w:left="790" w:right="4140" w:hanging="790"/>
        <w:spacing w:after="0" w:line="238"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this ratio since 1998 reflects an increasing valuation allowance and a declining balance of gross real estate owned. The valuation allowance has not declined proportionately primarily because of the large retail shopping mall we are repositioning for sale, as discussed above. The valuation allowance on this property amounted to $21,053 at December 31, 2002.</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7 to our Consolidated Financial Statements.</w:t>
      </w:r>
    </w:p>
    <w:p>
      <w:pPr>
        <w:spacing w:after="0" w:line="175" w:lineRule="exact"/>
        <w:rPr>
          <w:sz w:val="20"/>
          <w:szCs w:val="20"/>
          <w:color w:val="auto"/>
        </w:rPr>
      </w:pPr>
    </w:p>
    <w:p>
      <w:pPr>
        <w:ind w:left="10" w:right="4140" w:firstLine="793"/>
        <w:spacing w:after="0" w:line="237" w:lineRule="auto"/>
        <w:rPr>
          <w:sz w:val="20"/>
          <w:szCs w:val="20"/>
          <w:color w:val="auto"/>
        </w:rPr>
      </w:pPr>
      <w:r>
        <w:rPr>
          <w:rFonts w:ascii="Courier New" w:cs="Courier New" w:eastAsia="Courier New" w:hAnsi="Courier New"/>
          <w:sz w:val="15"/>
          <w:szCs w:val="15"/>
          <w:color w:val="auto"/>
        </w:rPr>
        <w:t>Advances on Loans and Loans Serviced for Others. Advances related to our loan portfolios and loans we serviced for others consisted of the following at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640" w:type="dxa"/>
            <w:vAlign w:val="bottom"/>
          </w:tcPr>
          <w:p>
            <w:pPr>
              <w:spacing w:after="0"/>
              <w:rPr>
                <w:sz w:val="14"/>
                <w:szCs w:val="14"/>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660" w:type="dxa"/>
            <w:vAlign w:val="bottom"/>
          </w:tcPr>
          <w:p>
            <w:pPr>
              <w:spacing w:after="0"/>
              <w:rPr>
                <w:sz w:val="14"/>
                <w:szCs w:val="14"/>
                <w:color w:val="auto"/>
              </w:rPr>
            </w:pPr>
          </w:p>
        </w:tc>
        <w:tc>
          <w:tcPr>
            <w:tcW w:w="1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Taxes and insurance.....................................</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2,214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11,168</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502</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4,135</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11,840</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638</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6,349</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23,008</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Loans serviced for others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Principal and interest..................................</w:t>
            </w: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63,326</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107,319</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95,191</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Taxes and insurance.....................................</w:t>
            </w: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117,937</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99,972</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64,159</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84,455</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69,543</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44,697</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265,718</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276,834</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204,047</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266,356</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283,183</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227,055</w:t>
            </w:r>
          </w:p>
        </w:tc>
      </w:tr>
      <w:tr>
        <w:trPr>
          <w:trHeight w:val="170"/>
        </w:trPr>
        <w:tc>
          <w:tcPr>
            <w:tcW w:w="56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4060" w:firstLine="793"/>
        <w:spacing w:after="0" w:line="238" w:lineRule="auto"/>
        <w:rPr>
          <w:sz w:val="20"/>
          <w:szCs w:val="20"/>
          <w:color w:val="auto"/>
        </w:rPr>
      </w:pPr>
      <w:r>
        <w:rPr>
          <w:rFonts w:ascii="Courier New" w:cs="Courier New" w:eastAsia="Courier New" w:hAnsi="Courier New"/>
          <w:sz w:val="15"/>
          <w:szCs w:val="15"/>
          <w:color w:val="auto"/>
        </w:rPr>
        <w:t>The decline in advances on loans reflects the decline in our investment in loans. See "Changes in Financial Condition - Loans, Net". The balances of advances on loans serviced for others do not include match funded advances that are transferred to a third party in a transaction that does not qualify as a sale for accounting purposes and that we account for as a secured borrowing. See "Changes in Financial Condition - Match Funded Assets".</w:t>
      </w:r>
    </w:p>
    <w:p>
      <w:pPr>
        <w:spacing w:after="0" w:line="176" w:lineRule="exact"/>
        <w:rPr>
          <w:sz w:val="20"/>
          <w:szCs w:val="20"/>
          <w:color w:val="auto"/>
        </w:rPr>
      </w:pPr>
    </w:p>
    <w:p>
      <w:pPr>
        <w:ind w:left="10" w:right="4060" w:firstLine="793"/>
        <w:spacing w:after="0" w:line="238" w:lineRule="auto"/>
        <w:rPr>
          <w:sz w:val="20"/>
          <w:szCs w:val="20"/>
          <w:color w:val="auto"/>
        </w:rPr>
      </w:pPr>
      <w:r>
        <w:rPr>
          <w:rFonts w:ascii="Courier New" w:cs="Courier New" w:eastAsia="Courier New" w:hAnsi="Courier New"/>
          <w:sz w:val="15"/>
          <w:szCs w:val="15"/>
          <w:color w:val="auto"/>
        </w:rPr>
        <w:t>Mortgage Servicing Rights. The unamortized balance of mortgage servicing rights is primarily residential. The increase in our investment reflects the growth of our residential loan servicing business through purchases of rights to service loans for others. See "Results of Operations - Non-Interest Income - Servicing and Other Fees" and Note 9 to our Consolidated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December 31,</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5640" w:type="dxa"/>
            <w:vAlign w:val="bottom"/>
          </w:tcPr>
          <w:p>
            <w:pPr>
              <w:spacing w:after="0"/>
              <w:rPr>
                <w:sz w:val="14"/>
                <w:szCs w:val="14"/>
                <w:color w:val="auto"/>
              </w:rPr>
            </w:pPr>
          </w:p>
        </w:tc>
        <w:tc>
          <w:tcPr>
            <w:tcW w:w="49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2002</w:t>
            </w:r>
          </w:p>
        </w:tc>
        <w:tc>
          <w:tcPr>
            <w:tcW w:w="60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101,107</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51,426</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11,683</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600" w:type="dxa"/>
            <w:vAlign w:val="bottom"/>
          </w:tcPr>
          <w:p>
            <w:pPr>
              <w:spacing w:after="0"/>
              <w:rPr>
                <w:sz w:val="14"/>
                <w:szCs w:val="14"/>
                <w:color w:val="auto"/>
              </w:rPr>
            </w:pP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128,891</w:t>
            </w:r>
          </w:p>
        </w:tc>
        <w:tc>
          <w:tcPr>
            <w:tcW w:w="6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79,522</w:t>
            </w:r>
          </w:p>
        </w:tc>
        <w:tc>
          <w:tcPr>
            <w:tcW w:w="5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49,779</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60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(58,153)</w:t>
            </w:r>
          </w:p>
        </w:tc>
        <w:tc>
          <w:tcPr>
            <w:tcW w:w="60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(29,841)</w:t>
            </w: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(10,036)</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Sale.........................................................</w:t>
            </w:r>
          </w:p>
        </w:tc>
        <w:tc>
          <w:tcPr>
            <w:tcW w:w="60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(234)</w:t>
            </w:r>
          </w:p>
        </w:tc>
        <w:tc>
          <w:tcPr>
            <w:tcW w:w="6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171,611</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101,107</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51,426</w:t>
            </w:r>
          </w:p>
        </w:tc>
      </w:tr>
      <w:tr>
        <w:trPr>
          <w:trHeight w:val="170"/>
        </w:trPr>
        <w:tc>
          <w:tcPr>
            <w:tcW w:w="564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10"/>
          </w:cols>
          <w:pgMar w:left="230" w:top="622" w:right="559" w:bottom="57" w:gutter="0" w:footer="0" w:header="0"/>
        </w:sectPr>
      </w:pPr>
    </w:p>
    <w:bookmarkStart w:id="83" w:name="page84"/>
    <w:bookmarkEnd w:id="83"/>
    <w:p>
      <w:pPr>
        <w:ind w:left="22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019"/>
          </w:cols>
          <w:pgMar w:left="1440" w:top="305" w:right="1440" w:bottom="1440" w:gutter="0" w:footer="0" w:header="0"/>
        </w:sectPr>
      </w:pPr>
    </w:p>
    <w:bookmarkStart w:id="84" w:name="page85"/>
    <w:bookmarkEnd w:id="84"/>
    <w:p>
      <w:pPr>
        <w:ind w:right="530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800" w:firstLine="793"/>
        <w:spacing w:after="0" w:line="237" w:lineRule="auto"/>
        <w:rPr>
          <w:sz w:val="20"/>
          <w:szCs w:val="20"/>
          <w:color w:val="auto"/>
        </w:rPr>
      </w:pPr>
      <w:r>
        <w:rPr>
          <w:rFonts w:ascii="Courier New" w:cs="Courier New" w:eastAsia="Courier New" w:hAnsi="Courier New"/>
          <w:sz w:val="15"/>
          <w:szCs w:val="15"/>
          <w:color w:val="auto"/>
        </w:rPr>
        <w:t>At December 31, 2002, we serviced loans under approximately 275 servicing agreements for 21 clients. Purchases during 2002 were all residential and $65,800 were acquired under flow agreements with third party lenders whereby we have committed to purchase newly originated mortgage servicing rights up to an agreed upon aggregate amount.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Other Assets. Other assets consisted of the following at the dates</w:t>
      </w:r>
    </w:p>
    <w:tbl>
      <w:tblPr>
        <w:tblLayout w:type="fixed"/>
        <w:tblInd w:w="0" w:type="dxa"/>
        <w:tblCellMar>
          <w:top w:w="0" w:type="dxa"/>
          <w:left w:w="0" w:type="dxa"/>
          <w:bottom w:w="0" w:type="dxa"/>
          <w:right w:w="0" w:type="dxa"/>
        </w:tblCellMar>
      </w:tblP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indicated: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8"/>
        </w:trPr>
        <w:tc>
          <w:tcPr>
            <w:tcW w:w="2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2002</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Affordable housing sales, net (1)............................................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40,299</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Trade, net (2)...............................................................</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10,819</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10,722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3,862</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4,665</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2,445</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55,783</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29,240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6,307</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Rent receivable.................................................................</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1,586</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1,647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3,215</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Accrued interest receivable.....................................................</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3,481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6,896</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Loan acquisition costs..........................................................</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2,988</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Intangible assets, net..........................................................</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4,010</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6,059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Goodwill, net...................................................................</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1,618</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6,971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10,083</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debt issuance costs, net...............................................</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2,202</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3,983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6,391</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 securities, at cost..................................................</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5,361</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4,659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13,257</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tax asset, net (3).....................................................</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8,387</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8,411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95,991</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7,708</w:t>
            </w:r>
          </w:p>
        </w:tc>
        <w:tc>
          <w:tcPr>
            <w:tcW w:w="5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7,582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9,506</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87,389</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72,033</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$ 161,844</w:t>
            </w:r>
          </w:p>
        </w:tc>
      </w:tr>
      <w:tr>
        <w:trPr>
          <w:trHeight w:val="170"/>
        </w:trPr>
        <w:tc>
          <w:tcPr>
            <w:tcW w:w="2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w:t>
            </w: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Represents uncollected proceeds from the sale of Affordable Housing</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Properties. See "Changes in Financial Condition - Affordable Housing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Properties".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(2)</w:t>
            </w: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Trade receivables are principally generated by the operations of our</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Residential Loan Servicing, OTX, Ocwen Realty Advisors and Unsecured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Collections business segments.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w:t>
            </w: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Deferred tax assets are net of valuation allowances of $199,270,</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$165,221 and $58,873, respectively. See "Results of Operations - Income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Tax Expense (Benefit)".</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260" w:type="dxa"/>
            <w:vAlign w:val="bottom"/>
          </w:tcPr>
          <w:p>
            <w:pPr>
              <w:spacing w:after="0"/>
              <w:rPr>
                <w:sz w:val="24"/>
                <w:szCs w:val="24"/>
                <w:color w:val="auto"/>
              </w:rPr>
            </w:pPr>
          </w:p>
        </w:tc>
        <w:tc>
          <w:tcPr>
            <w:tcW w:w="6960" w:type="dxa"/>
            <w:vAlign w:val="bottom"/>
          </w:tcPr>
          <w:p>
            <w:pPr>
              <w:ind w:left="3160"/>
              <w:spacing w:after="0"/>
              <w:rPr>
                <w:sz w:val="20"/>
                <w:szCs w:val="20"/>
                <w:color w:val="auto"/>
              </w:rPr>
            </w:pPr>
            <w:r>
              <w:rPr>
                <w:rFonts w:ascii="Courier New" w:cs="Courier New" w:eastAsia="Courier New" w:hAnsi="Courier New"/>
                <w:sz w:val="15"/>
                <w:szCs w:val="15"/>
                <w:color w:val="auto"/>
              </w:rPr>
              <w:t>56</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840"/>
          </w:cols>
          <w:pgMar w:left="240" w:top="627" w:right="819" w:bottom="1440" w:gutter="0" w:footer="0" w:header="0"/>
        </w:sectPr>
      </w:pPr>
    </w:p>
    <w:bookmarkStart w:id="85" w:name="page86"/>
    <w:bookmarkEnd w:id="85"/>
    <w:p>
      <w:pPr>
        <w:ind w:left="10" w:right="55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10" w:right="4240" w:firstLine="793"/>
        <w:spacing w:after="0" w:line="237" w:lineRule="auto"/>
        <w:rPr>
          <w:sz w:val="20"/>
          <w:szCs w:val="20"/>
          <w:color w:val="auto"/>
        </w:rPr>
      </w:pPr>
      <w:r>
        <w:rPr>
          <w:rFonts w:ascii="Courier New" w:cs="Courier New" w:eastAsia="Courier New" w:hAnsi="Courier New"/>
          <w:sz w:val="15"/>
          <w:szCs w:val="15"/>
          <w:color w:val="auto"/>
        </w:rPr>
        <w:t>Deposits. Our deposits decreased during 2001 and 2000 primarily as a result of maturing brokered certificates of deposits. We did not issue any new brokered certificates of deposit during 2002 or 2001 and, at this time, do not intend to issue any such deposits in the foreseeable future. We plan to retain non-brokered deposits as a source of financing our operations.</w:t>
      </w:r>
    </w:p>
    <w:p>
      <w:pPr>
        <w:spacing w:after="0" w:line="178" w:lineRule="exact"/>
        <w:rPr>
          <w:sz w:val="20"/>
          <w:szCs w:val="20"/>
          <w:color w:val="auto"/>
        </w:rPr>
      </w:pPr>
    </w:p>
    <w:p>
      <w:pPr>
        <w:jc w:val="both"/>
        <w:ind w:left="10" w:right="4240" w:firstLine="793"/>
        <w:spacing w:after="0" w:line="235" w:lineRule="auto"/>
        <w:rPr>
          <w:sz w:val="20"/>
          <w:szCs w:val="20"/>
          <w:color w:val="auto"/>
        </w:rPr>
      </w:pPr>
      <w:r>
        <w:rPr>
          <w:rFonts w:ascii="Courier New" w:cs="Courier New" w:eastAsia="Courier New" w:hAnsi="Courier New"/>
          <w:sz w:val="15"/>
          <w:szCs w:val="15"/>
          <w:color w:val="auto"/>
        </w:rPr>
        <w:t>The following table sets forth information related to our deposits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820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7"/>
                <w:szCs w:val="7"/>
                <w:color w:val="auto"/>
                <w:w w:val="76"/>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of</w:t>
            </w:r>
          </w:p>
        </w:tc>
        <w:tc>
          <w:tcPr>
            <w:tcW w:w="9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of</w:t>
            </w:r>
          </w:p>
        </w:tc>
        <w:tc>
          <w:tcPr>
            <w:tcW w:w="110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of</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Amount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Deposits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Deposits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Non interest- bearing</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checking accounts............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5,624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13,523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NOW and money market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checking accounts............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15,479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14,670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Savings accounts................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23,690</w:t>
            </w:r>
          </w:p>
        </w:tc>
        <w:tc>
          <w:tcPr>
            <w:tcW w:w="8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22,390</w:t>
            </w: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29,467</w:t>
            </w:r>
          </w:p>
        </w:tc>
        <w:tc>
          <w:tcPr>
            <w:tcW w:w="8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Certificates of deposit (1)(2)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402,917</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636,037</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1,176,566</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Unamortized deferred fees.......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(1,549)</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Total certificates of deposit...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402,280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634,488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1,172,577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97.6</w:t>
            </w: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425,970</w:t>
            </w:r>
          </w:p>
        </w:tc>
        <w:tc>
          <w:tcPr>
            <w:tcW w:w="8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656,878</w:t>
            </w:r>
          </w:p>
        </w:tc>
        <w:tc>
          <w:tcPr>
            <w:tcW w:w="8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$1,202,044</w:t>
            </w:r>
          </w:p>
        </w:tc>
        <w:tc>
          <w:tcPr>
            <w:tcW w:w="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060" w:hanging="790"/>
        <w:spacing w:after="0" w:line="238" w:lineRule="auto"/>
        <w:tabs>
          <w:tab w:leader="none" w:pos="79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$198,248, $484,698 and $968,432 at December 31, 2002, 2001 and 2000, respectively, of brokered deposits originated through national, regional and local investment banking firms which solicit deposits from their customers, all of which are non-cancelable. Certificates of deposit with a face value of $18,194, which carry an interest rate of 6% and mature December 16, 2008, are callable on their semiannual interest payment dates with thirty days notice.</w:t>
      </w:r>
    </w:p>
    <w:p>
      <w:pPr>
        <w:spacing w:after="0" w:line="176" w:lineRule="exact"/>
        <w:rPr>
          <w:rFonts w:ascii="Courier New" w:cs="Courier New" w:eastAsia="Courier New" w:hAnsi="Courier New"/>
          <w:sz w:val="15"/>
          <w:szCs w:val="15"/>
          <w:color w:val="auto"/>
        </w:rPr>
      </w:pPr>
    </w:p>
    <w:p>
      <w:pPr>
        <w:ind w:left="790" w:right="4140" w:hanging="790"/>
        <w:spacing w:after="0" w:line="258" w:lineRule="auto"/>
        <w:tabs>
          <w:tab w:leader="none" w:pos="79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2002, 2001 and 2000, certificates of deposit with outstanding balances of $100 or more amounted to $125,451, $82,771 and $125,820, respectively. Of the $125,451 of uninsured deposits at December 31, 2002, $49,507 were from political subdivisions in New Jersey and were secured or collateralized as required under state law.</w:t>
      </w:r>
    </w:p>
    <w:p>
      <w:pPr>
        <w:spacing w:after="0" w:line="165" w:lineRule="exact"/>
        <w:rPr>
          <w:sz w:val="20"/>
          <w:szCs w:val="20"/>
          <w:color w:val="auto"/>
        </w:rPr>
      </w:pPr>
    </w:p>
    <w:p>
      <w:pPr>
        <w:ind w:left="10" w:right="4680" w:firstLine="793"/>
        <w:spacing w:after="0" w:line="235" w:lineRule="auto"/>
        <w:rPr>
          <w:sz w:val="20"/>
          <w:szCs w:val="20"/>
          <w:color w:val="auto"/>
        </w:rPr>
      </w:pPr>
      <w:r>
        <w:rPr>
          <w:rFonts w:ascii="Courier New" w:cs="Courier New" w:eastAsia="Courier New" w:hAnsi="Courier New"/>
          <w:sz w:val="15"/>
          <w:szCs w:val="15"/>
          <w:color w:val="auto"/>
        </w:rPr>
        <w:t>The following table sets forth remaining maturities for our term deposits in amounts of $100 or more at December 31, 2002:</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Matures within three months........................................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$ 47,505</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Matures after three months through six months......................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28,782</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Matures after six months through twelve months.....................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34,258</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Matures after twelve months........................................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14,906</w:t>
            </w:r>
          </w:p>
        </w:tc>
      </w:tr>
      <w:tr>
        <w:trPr>
          <w:trHeight w:val="170"/>
        </w:trPr>
        <w:tc>
          <w:tcPr>
            <w:tcW w:w="6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$125,451</w:t>
            </w:r>
          </w:p>
        </w:tc>
      </w:tr>
      <w:tr>
        <w:trPr>
          <w:trHeight w:val="170"/>
        </w:trPr>
        <w:tc>
          <w:tcPr>
            <w:tcW w:w="6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Escrow Deposits on Loans and Loans Serviced for Others. Escrow deposits</w:t>
      </w:r>
    </w:p>
    <w:p>
      <w:pPr>
        <w:ind w:left="10"/>
        <w:spacing w:after="0"/>
        <w:rPr>
          <w:sz w:val="20"/>
          <w:szCs w:val="20"/>
          <w:color w:val="auto"/>
        </w:rPr>
      </w:pPr>
      <w:r>
        <w:rPr>
          <w:rFonts w:ascii="Courier New" w:cs="Courier New" w:eastAsia="Courier New" w:hAnsi="Courier New"/>
          <w:sz w:val="15"/>
          <w:szCs w:val="15"/>
          <w:color w:val="auto"/>
        </w:rPr>
        <w:t>on our loans and loans we serviced for others amounted to $84,986, $73,565 and</w:t>
      </w:r>
    </w:p>
    <w:p>
      <w:pPr>
        <w:ind w:left="10"/>
        <w:spacing w:after="0"/>
        <w:rPr>
          <w:sz w:val="20"/>
          <w:szCs w:val="20"/>
          <w:color w:val="auto"/>
        </w:rPr>
      </w:pPr>
      <w:r>
        <w:rPr>
          <w:rFonts w:ascii="Courier New" w:cs="Courier New" w:eastAsia="Courier New" w:hAnsi="Courier New"/>
          <w:sz w:val="15"/>
          <w:szCs w:val="15"/>
          <w:color w:val="auto"/>
        </w:rPr>
        <w:t>$56,316 at December 31, 2002, 2001 and 2000, respectively. The balance consisted</w:t>
      </w:r>
    </w:p>
    <w:p>
      <w:pPr>
        <w:ind w:left="10"/>
        <w:spacing w:after="0" w:line="238" w:lineRule="auto"/>
        <w:rPr>
          <w:sz w:val="20"/>
          <w:szCs w:val="20"/>
          <w:color w:val="auto"/>
        </w:rPr>
      </w:pPr>
      <w:r>
        <w:rPr>
          <w:rFonts w:ascii="Courier New" w:cs="Courier New" w:eastAsia="Courier New" w:hAnsi="Courier New"/>
          <w:sz w:val="15"/>
          <w:szCs w:val="15"/>
          <w:color w:val="auto"/>
        </w:rPr>
        <w:t>principally of custodial deposit balances representing collections that we made</w:t>
      </w:r>
    </w:p>
    <w:p>
      <w:pPr>
        <w:ind w:left="10"/>
        <w:spacing w:after="0"/>
        <w:rPr>
          <w:sz w:val="20"/>
          <w:szCs w:val="20"/>
          <w:color w:val="auto"/>
        </w:rPr>
      </w:pPr>
      <w:r>
        <w:rPr>
          <w:rFonts w:ascii="Courier New" w:cs="Courier New" w:eastAsia="Courier New" w:hAnsi="Courier New"/>
          <w:sz w:val="15"/>
          <w:szCs w:val="15"/>
          <w:color w:val="auto"/>
        </w:rPr>
        <w:t>from borrowers for the payment of taxes and insurance premiums on mortgage</w:t>
      </w:r>
    </w:p>
    <w:p>
      <w:pPr>
        <w:ind w:left="10"/>
        <w:spacing w:after="0"/>
        <w:rPr>
          <w:sz w:val="20"/>
          <w:szCs w:val="20"/>
          <w:color w:val="auto"/>
        </w:rPr>
      </w:pPr>
      <w:r>
        <w:rPr>
          <w:rFonts w:ascii="Courier New" w:cs="Courier New" w:eastAsia="Courier New" w:hAnsi="Courier New"/>
          <w:sz w:val="15"/>
          <w:szCs w:val="15"/>
          <w:color w:val="auto"/>
        </w:rPr>
        <w:t>properties underlying loans that we serviced for others. The balance has</w:t>
      </w:r>
    </w:p>
    <w:p>
      <w:pPr>
        <w:ind w:left="10"/>
        <w:spacing w:after="0" w:line="238" w:lineRule="auto"/>
        <w:rPr>
          <w:sz w:val="20"/>
          <w:szCs w:val="20"/>
          <w:color w:val="auto"/>
        </w:rPr>
      </w:pPr>
      <w:r>
        <w:rPr>
          <w:rFonts w:ascii="Courier New" w:cs="Courier New" w:eastAsia="Courier New" w:hAnsi="Courier New"/>
          <w:sz w:val="15"/>
          <w:szCs w:val="15"/>
          <w:color w:val="auto"/>
        </w:rPr>
        <w:t>increased principally because of an increase in loans we serviced for others.</w:t>
      </w:r>
    </w:p>
    <w:p>
      <w:pPr>
        <w:ind w:left="10"/>
        <w:spacing w:after="0"/>
        <w:rPr>
          <w:sz w:val="20"/>
          <w:szCs w:val="20"/>
          <w:color w:val="auto"/>
        </w:rPr>
      </w:pPr>
      <w:r>
        <w:rPr>
          <w:rFonts w:ascii="Courier New" w:cs="Courier New" w:eastAsia="Courier New" w:hAnsi="Courier New"/>
          <w:sz w:val="15"/>
          <w:szCs w:val="15"/>
          <w:color w:val="auto"/>
        </w:rPr>
        <w:t>See "Results of Operations - Non-Interest Income - Servicing and Other Fees."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1110"/>
          </w:cols>
          <w:pgMar w:left="230" w:top="627" w:right="559" w:bottom="1440" w:gutter="0" w:footer="0" w:header="0"/>
        </w:sectPr>
      </w:pPr>
    </w:p>
    <w:bookmarkStart w:id="86" w:name="page87"/>
    <w:bookmarkEnd w:id="86"/>
    <w:p>
      <w:pPr>
        <w:ind w:left="10" w:right="53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880" w:firstLine="793"/>
        <w:spacing w:after="0" w:line="238" w:lineRule="auto"/>
        <w:rPr>
          <w:sz w:val="20"/>
          <w:szCs w:val="20"/>
          <w:color w:val="auto"/>
        </w:rPr>
      </w:pPr>
      <w:r>
        <w:rPr>
          <w:rFonts w:ascii="Courier New" w:cs="Courier New" w:eastAsia="Courier New" w:hAnsi="Courier New"/>
          <w:sz w:val="15"/>
          <w:szCs w:val="15"/>
          <w:color w:val="auto"/>
        </w:rPr>
        <w:t>Bonds-Match Funded Agreements. Bonds-match funded agreements represent proceeds received from transfers of loans, residual securities and advances on our loans serviced for others. Because we retained effective control over the assets transferred, these transfers did not qualify as sales for accounting purposes and, therefore, we report them as secured borrowings with pledges of collateral. Our bonds-match funded agreements were comprised of the following at the dates indicated:</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1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Collateral</w:t>
            </w:r>
          </w:p>
        </w:tc>
        <w:tc>
          <w:tcPr>
            <w:tcW w:w="3000" w:type="dxa"/>
            <w:vAlign w:val="bottom"/>
          </w:tcPr>
          <w:p>
            <w:pPr>
              <w:ind w:left="760"/>
              <w:spacing w:after="0"/>
              <w:rPr>
                <w:sz w:val="20"/>
                <w:szCs w:val="20"/>
                <w:color w:val="auto"/>
              </w:rPr>
            </w:pPr>
            <w:r>
              <w:rPr>
                <w:rFonts w:ascii="Courier New" w:cs="Courier New" w:eastAsia="Courier New" w:hAnsi="Courier New"/>
                <w:sz w:val="15"/>
                <w:szCs w:val="15"/>
                <w:color w:val="auto"/>
              </w:rPr>
              <w:t>Interest rate</w:t>
            </w:r>
          </w:p>
        </w:tc>
        <w:tc>
          <w:tcPr>
            <w:tcW w:w="22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 (1)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LIBOR plus 65-70 basis points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32,217</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72,101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Unrated residual securities (1)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9.50%</w:t>
            </w:r>
          </w:p>
        </w:tc>
        <w:tc>
          <w:tcPr>
            <w:tcW w:w="2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8,057</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18,997</w:t>
            </w:r>
          </w:p>
        </w:tc>
        <w:tc>
          <w:tcPr>
            <w:tcW w:w="2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34,949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Advances on loans serviced for others (2)</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LIBOR plus 160 basis points</w:t>
            </w:r>
          </w:p>
        </w:tc>
        <w:tc>
          <w:tcPr>
            <w:tcW w:w="2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106,797</w:t>
            </w:r>
          </w:p>
        </w:tc>
        <w:tc>
          <w:tcPr>
            <w:tcW w:w="22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91,766</w:t>
            </w:r>
          </w:p>
        </w:tc>
        <w:tc>
          <w:tcPr>
            <w:tcW w:w="2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147,071</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107,050</w:t>
            </w:r>
          </w:p>
        </w:tc>
      </w:tr>
      <w:tr>
        <w:trPr>
          <w:trHeight w:val="170"/>
        </w:trPr>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060" w:hanging="790"/>
        <w:spacing w:after="0" w:line="235" w:lineRule="auto"/>
        <w:tabs>
          <w:tab w:leader="none" w:pos="79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outstanding balance was primarily due to principal repayments.</w:t>
      </w:r>
    </w:p>
    <w:p>
      <w:pPr>
        <w:spacing w:after="0" w:line="175" w:lineRule="exact"/>
        <w:rPr>
          <w:rFonts w:ascii="Courier New" w:cs="Courier New" w:eastAsia="Courier New" w:hAnsi="Courier New"/>
          <w:sz w:val="15"/>
          <w:szCs w:val="15"/>
          <w:color w:val="auto"/>
        </w:rPr>
      </w:pPr>
    </w:p>
    <w:p>
      <w:pPr>
        <w:ind w:left="790" w:right="4140" w:hanging="790"/>
        <w:spacing w:after="0" w:line="237" w:lineRule="auto"/>
        <w:tabs>
          <w:tab w:leader="none" w:pos="79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sell additional advances on loans serviced for others up to a maximum balance of $200,000.</w:t>
      </w:r>
    </w:p>
    <w:p>
      <w:pPr>
        <w:spacing w:after="0" w:line="175" w:lineRule="exact"/>
        <w:rPr>
          <w:sz w:val="20"/>
          <w:szCs w:val="20"/>
          <w:color w:val="auto"/>
        </w:rPr>
      </w:pPr>
    </w:p>
    <w:p>
      <w:pPr>
        <w:ind w:left="10" w:right="4400" w:firstLine="793"/>
        <w:spacing w:after="0" w:line="265" w:lineRule="auto"/>
        <w:rPr>
          <w:sz w:val="20"/>
          <w:szCs w:val="20"/>
          <w:color w:val="auto"/>
        </w:rPr>
      </w:pPr>
      <w:r>
        <w:rPr>
          <w:rFonts w:ascii="Courier New" w:cs="Courier New" w:eastAsia="Courier New" w:hAnsi="Courier New"/>
          <w:sz w:val="14"/>
          <w:szCs w:val="14"/>
          <w:color w:val="auto"/>
        </w:rPr>
        <w:t>See "Changes in Financial Condition - Bonds-Match Funded Assets", "Liquidity, Commitments and Off-Balance Sheet Risks - Liquidity".</w:t>
      </w:r>
    </w:p>
    <w:p>
      <w:pPr>
        <w:spacing w:after="0" w:line="15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Notes, Debentures and Other Interest-Bearing Obligations. Notes,</w:t>
      </w:r>
    </w:p>
    <w:tbl>
      <w:tblPr>
        <w:tblLayout w:type="fixed"/>
        <w:tblInd w:w="10" w:type="dxa"/>
        <w:tblCellMar>
          <w:top w:w="0" w:type="dxa"/>
          <w:left w:w="0" w:type="dxa"/>
          <w:bottom w:w="0" w:type="dxa"/>
          <w:right w:w="0" w:type="dxa"/>
        </w:tblCellMar>
      </w:tblP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debentures and other interest-bearing obligations mature as follows: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spacing w:after="0"/>
              <w:rPr>
                <w:sz w:val="14"/>
                <w:szCs w:val="14"/>
                <w:color w:val="auto"/>
              </w:rPr>
            </w:pPr>
          </w:p>
        </w:tc>
        <w:tc>
          <w:tcPr>
            <w:tcW w:w="4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2002</w:t>
            </w:r>
          </w:p>
        </w:tc>
        <w:tc>
          <w:tcPr>
            <w:tcW w:w="40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w w:val="99"/>
              </w:rPr>
              <w:t>11.875% Notes due October 1 (1).............................................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43,475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87,025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100,050</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w w:val="99"/>
              </w:rPr>
              <w:t>Loan due September 30 (LIBOR plus 250 basis-points or a minimum of 8%) (2)..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4,235</w:t>
            </w:r>
          </w:p>
        </w:tc>
        <w:tc>
          <w:tcPr>
            <w:tcW w:w="4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w w:val="99"/>
              </w:rPr>
              <w:t>Loan due May 24 (LIBOR plus 250 basis points) (2)...........................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6,235</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6,235</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w w:val="99"/>
              </w:rPr>
              <w:t>12% Subordinated Debentures due June 15 (3).................................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33,500</w:t>
            </w:r>
          </w:p>
        </w:tc>
        <w:tc>
          <w:tcPr>
            <w:tcW w:w="4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67,000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w w:val="99"/>
              </w:rPr>
              <w:t>11.5% Redeemable Notes due July 1 (4).......................................</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81,210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160,305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173,330</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90" w:hanging="790"/>
        <w:spacing w:after="0"/>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26, 2002 we exercised our redemption option and called</w:t>
      </w:r>
    </w:p>
    <w:p>
      <w:pPr>
        <w:spacing w:after="0" w:line="5" w:lineRule="exact"/>
        <w:rPr>
          <w:rFonts w:ascii="Courier New" w:cs="Courier New" w:eastAsia="Courier New" w:hAnsi="Courier New"/>
          <w:sz w:val="15"/>
          <w:szCs w:val="15"/>
          <w:color w:val="auto"/>
        </w:rPr>
      </w:pPr>
    </w:p>
    <w:p>
      <w:pPr>
        <w:ind w:left="790" w:right="39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$40,000 of these notes at a price of 102.969%. Earlier during 2002, we repurchased $3,550 of these notes in the open market. The $13,025 decline in the outstanding balance during 2001 was due to repurchases in the open market.</w:t>
      </w:r>
    </w:p>
    <w:p>
      <w:pPr>
        <w:spacing w:after="0" w:line="176" w:lineRule="exact"/>
        <w:rPr>
          <w:rFonts w:ascii="Courier New" w:cs="Courier New" w:eastAsia="Courier New" w:hAnsi="Courier New"/>
          <w:sz w:val="15"/>
          <w:szCs w:val="15"/>
          <w:color w:val="auto"/>
        </w:rPr>
      </w:pPr>
    </w:p>
    <w:p>
      <w:pPr>
        <w:ind w:left="790" w:right="3880" w:hanging="790"/>
        <w:spacing w:after="0" w:line="238" w:lineRule="auto"/>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sale of three assisted living facilities during the third quarter of 2002, we repaid the loan due May 24, 2004 and entered into a new loan due September 30, 2003. The new loan is secured by the loan for $9,153 that we made to facilitate the sale of the assisted living facilities. See "Changes in Financial Condition - Loans, Net" and "- Real Estate Held for Sale."</w:t>
      </w:r>
    </w:p>
    <w:p>
      <w:pPr>
        <w:spacing w:after="0" w:line="175" w:lineRule="exact"/>
        <w:rPr>
          <w:rFonts w:ascii="Courier New" w:cs="Courier New" w:eastAsia="Courier New" w:hAnsi="Courier New"/>
          <w:sz w:val="15"/>
          <w:szCs w:val="15"/>
          <w:color w:val="auto"/>
        </w:rPr>
      </w:pPr>
    </w:p>
    <w:p>
      <w:pPr>
        <w:ind w:left="790" w:right="4320" w:hanging="790"/>
        <w:spacing w:after="0" w:line="235" w:lineRule="auto"/>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26, 2002 we exercised our redemption option and called $33,500 of these debentures at a price of 102.667%.</w:t>
      </w:r>
    </w:p>
    <w:p>
      <w:pPr>
        <w:spacing w:after="0" w:line="175" w:lineRule="exact"/>
        <w:rPr>
          <w:rFonts w:ascii="Courier New" w:cs="Courier New" w:eastAsia="Courier New" w:hAnsi="Courier New"/>
          <w:sz w:val="15"/>
          <w:szCs w:val="15"/>
          <w:color w:val="auto"/>
        </w:rPr>
      </w:pPr>
    </w:p>
    <w:p>
      <w:pPr>
        <w:ind w:left="790" w:right="4060" w:hanging="790"/>
        <w:spacing w:after="0" w:line="235" w:lineRule="auto"/>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5, 2002 we exercised our redemption option and called the remaining balance of these notes at a price of 105.75%.</w:t>
      </w:r>
    </w:p>
    <w:p>
      <w:pPr>
        <w:spacing w:after="0" w:line="176" w:lineRule="exact"/>
        <w:rPr>
          <w:sz w:val="20"/>
          <w:szCs w:val="20"/>
          <w:color w:val="auto"/>
        </w:rPr>
      </w:pPr>
    </w:p>
    <w:p>
      <w:pPr>
        <w:ind w:left="10" w:right="4060" w:firstLine="793"/>
        <w:spacing w:after="0" w:line="237" w:lineRule="auto"/>
        <w:rPr>
          <w:sz w:val="20"/>
          <w:szCs w:val="20"/>
          <w:color w:val="auto"/>
        </w:rPr>
      </w:pPr>
      <w:r>
        <w:rPr>
          <w:rFonts w:ascii="Courier New" w:cs="Courier New" w:eastAsia="Courier New" w:hAnsi="Courier New"/>
          <w:sz w:val="15"/>
          <w:szCs w:val="15"/>
          <w:color w:val="auto"/>
        </w:rPr>
        <w:t>For additional information regarding our notes and debentures, see "Results of Operations - Gain (Loss) on Repurchase of Debt" and Note 16 to our Consolidated Financial Statements.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930"/>
          </w:cols>
          <w:pgMar w:left="230" w:top="627" w:right="739" w:bottom="1440" w:gutter="0" w:footer="0" w:header="0"/>
        </w:sectPr>
      </w:pPr>
    </w:p>
    <w:bookmarkStart w:id="87" w:name="page88"/>
    <w:bookmarkEnd w:id="87"/>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Obligations Outstanding Under Lines of Credit. We have obtained secured line of credit arrangements from unaffiliated financial institutions as follows at the dates indicated:</w:t>
      </w:r>
    </w:p>
    <w:p>
      <w:pPr>
        <w:sectPr>
          <w:pgSz w:w="11900" w:h="16838" w:orient="portrait"/>
          <w:cols w:equalWidth="0" w:num="1">
            <w:col w:w="11010"/>
          </w:cols>
          <w:pgMar w:left="230" w:top="627" w:right="659"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10"/>
        <w:spacing w:after="0"/>
        <w:rPr>
          <w:sz w:val="20"/>
          <w:szCs w:val="20"/>
          <w:color w:val="auto"/>
        </w:rPr>
      </w:pPr>
      <w:r>
        <w:rPr>
          <w:rFonts w:ascii="Courier New" w:cs="Courier New" w:eastAsia="Courier New" w:hAnsi="Courier New"/>
          <w:sz w:val="15"/>
          <w:szCs w:val="15"/>
          <w:color w:val="auto"/>
        </w:rPr>
        <w:t>Collateral</w:t>
      </w:r>
    </w:p>
    <w:p>
      <w:pPr>
        <w:spacing w:after="0" w:line="5" w:lineRule="exact"/>
        <w:rPr>
          <w:sz w:val="20"/>
          <w:szCs w:val="20"/>
          <w:color w:val="auto"/>
        </w:rPr>
      </w:pPr>
    </w:p>
    <w:p>
      <w:pPr>
        <w:jc w:val="cente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Balance</w:t>
      </w:r>
    </w:p>
    <w:p>
      <w:pPr>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w:t>
      </w:r>
    </w:p>
    <w:p>
      <w:pPr>
        <w:spacing w:after="0"/>
        <w:rPr>
          <w:sz w:val="20"/>
          <w:szCs w:val="20"/>
          <w:color w:val="auto"/>
        </w:rPr>
      </w:pPr>
      <w:r>
        <w:rPr>
          <w:rFonts w:ascii="Courier New" w:cs="Courier New" w:eastAsia="Courier New" w:hAnsi="Courier New"/>
          <w:sz w:val="15"/>
          <w:szCs w:val="15"/>
          <w:color w:val="auto"/>
        </w:rPr>
        <w:t>Facility</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Committed</w:t>
      </w:r>
    </w:p>
    <w:p>
      <w:pPr>
        <w:ind w:left="180"/>
        <w:spacing w:after="0"/>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ind w:left="18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Interest Rate(1)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6">
            <w:col w:w="3170" w:space="180"/>
            <w:col w:w="1240" w:space="180"/>
            <w:col w:w="1040" w:space="180"/>
            <w:col w:w="1060" w:space="260"/>
            <w:col w:w="1160" w:space="260"/>
            <w:col w:w="2280"/>
          </w:cols>
          <w:pgMar w:left="230" w:top="627" w:right="659" w:bottom="565"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December 31, 2002</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Advances on loans serviced for</w:t>
      </w:r>
    </w:p>
    <w:p>
      <w:pPr>
        <w:sectPr>
          <w:pgSz w:w="11900" w:h="16838" w:orient="portrait"/>
          <w:cols w:equalWidth="0" w:num="1">
            <w:col w:w="11010"/>
          </w:cols>
          <w:pgMar w:left="230" w:top="627" w:right="659" w:bottom="565"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others.........................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78,511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$ 100,000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78,511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+ 200 basis points</w:t>
      </w:r>
    </w:p>
    <w:p>
      <w:pPr>
        <w:spacing w:after="0" w:line="10" w:lineRule="exact"/>
        <w:rPr>
          <w:sz w:val="20"/>
          <w:szCs w:val="20"/>
          <w:color w:val="auto"/>
        </w:rPr>
      </w:pPr>
    </w:p>
    <w:p>
      <w:pPr>
        <w:sectPr>
          <w:pgSz w:w="11900" w:h="16838" w:orient="portrait"/>
          <w:cols w:equalWidth="0" w:num="6">
            <w:col w:w="3170" w:space="360"/>
            <w:col w:w="780" w:space="460"/>
            <w:col w:w="780" w:space="540"/>
            <w:col w:w="780" w:space="360"/>
            <w:col w:w="880" w:space="440"/>
            <w:col w:w="2460"/>
          </w:cols>
          <w:pgMar w:left="230" w:top="627" w:right="659" w:bottom="565" w:gutter="0" w:footer="0" w:header="0"/>
          <w:type w:val="continuous"/>
        </w:sect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December 31, 2001</w:t>
      </w:r>
    </w:p>
    <w:p>
      <w:pPr>
        <w:ind w:left="270"/>
        <w:spacing w:after="0"/>
        <w:rPr>
          <w:sz w:val="20"/>
          <w:szCs w:val="20"/>
          <w:color w:val="auto"/>
        </w:rPr>
      </w:pPr>
      <w:r>
        <w:rPr>
          <w:rFonts w:ascii="Courier New" w:cs="Courier New" w:eastAsia="Courier New" w:hAnsi="Courier New"/>
          <w:sz w:val="15"/>
          <w:szCs w:val="15"/>
          <w:color w:val="auto"/>
        </w:rPr>
        <w:t>Real estate investments and</w:t>
      </w:r>
    </w:p>
    <w:p>
      <w:pPr>
        <w:sectPr>
          <w:pgSz w:w="11900" w:h="16838" w:orient="portrait"/>
          <w:cols w:equalWidth="0" w:num="1">
            <w:col w:w="11010"/>
          </w:cols>
          <w:pgMar w:left="230" w:top="627" w:right="659" w:bottom="565" w:gutter="0" w:footer="0" w:header="0"/>
          <w:type w:val="continuous"/>
        </w:sectPr>
      </w:pP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commercial loans...............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32,463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$ 115,580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June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+ 240 basis points</w:t>
      </w:r>
    </w:p>
    <w:p>
      <w:pPr>
        <w:spacing w:after="0" w:line="180" w:lineRule="exact"/>
        <w:rPr>
          <w:sz w:val="20"/>
          <w:szCs w:val="20"/>
          <w:color w:val="auto"/>
        </w:rPr>
      </w:pPr>
    </w:p>
    <w:p>
      <w:pPr>
        <w:sectPr>
          <w:pgSz w:w="11900" w:h="16838" w:orient="portrait"/>
          <w:cols w:equalWidth="0" w:num="6">
            <w:col w:w="3170" w:space="360"/>
            <w:col w:w="780" w:space="460"/>
            <w:col w:w="780" w:space="540"/>
            <w:col w:w="780" w:space="440"/>
            <w:col w:w="800" w:space="440"/>
            <w:col w:w="2460"/>
          </w:cols>
          <w:pgMar w:left="230" w:top="627" w:right="659" w:bottom="565"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Advances on loans serviced for</w:t>
      </w:r>
    </w:p>
    <w:p>
      <w:pPr>
        <w:sectPr>
          <w:pgSz w:w="11900" w:h="16838" w:orient="portrait"/>
          <w:cols w:equalWidth="0" w:num="1">
            <w:col w:w="11010"/>
          </w:cols>
          <w:pgMar w:left="230" w:top="627" w:right="659" w:bottom="565"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others.........................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51,841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$ 100,000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51,841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+ 200 basis points</w:t>
      </w:r>
    </w:p>
    <w:p>
      <w:pPr>
        <w:spacing w:after="0" w:line="10" w:lineRule="exact"/>
        <w:rPr>
          <w:sz w:val="20"/>
          <w:szCs w:val="20"/>
          <w:color w:val="auto"/>
        </w:rPr>
      </w:pPr>
    </w:p>
    <w:p>
      <w:pPr>
        <w:sectPr>
          <w:pgSz w:w="11900" w:h="16838" w:orient="portrait"/>
          <w:cols w:equalWidth="0" w:num="6">
            <w:col w:w="3170" w:space="620"/>
            <w:col w:w="520" w:space="460"/>
            <w:col w:w="780" w:space="540"/>
            <w:col w:w="780" w:space="360"/>
            <w:col w:w="1060" w:space="260"/>
            <w:col w:w="2460"/>
          </w:cols>
          <w:pgMar w:left="230" w:top="627" w:right="659" w:bottom="565" w:gutter="0" w:footer="0" w:header="0"/>
          <w:type w:val="continuous"/>
        </w:sectPr>
      </w:pPr>
    </w:p>
    <w:p>
      <w:pPr>
        <w:ind w:left="35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10"/>
          </w:cols>
          <w:pgMar w:left="230" w:top="627" w:right="659" w:bottom="565" w:gutter="0" w:footer="0" w:header="0"/>
          <w:type w:val="continuous"/>
        </w:sectPr>
      </w:pPr>
    </w:p>
    <w:p>
      <w:pPr>
        <w:spacing w:after="0" w:line="5" w:lineRule="exact"/>
        <w:rPr>
          <w:sz w:val="20"/>
          <w:szCs w:val="20"/>
          <w:color w:val="auto"/>
        </w:rPr>
      </w:pPr>
    </w:p>
    <w:p>
      <w:pPr>
        <w:ind w:left="3790" w:hanging="264"/>
        <w:spacing w:after="0"/>
        <w:tabs>
          <w:tab w:leader="none" w:pos="379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84,304</w:t>
      </w:r>
    </w:p>
    <w:p>
      <w:pPr>
        <w:ind w:left="3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commercial loans...............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32,933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$ 200,000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$ 115,580</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June 2001</w:t>
            </w:r>
          </w:p>
        </w:tc>
        <w:tc>
          <w:tcPr>
            <w:tcW w:w="2340" w:type="dxa"/>
            <w:vAlign w:val="bottom"/>
          </w:tcPr>
          <w:p>
            <w:pPr>
              <w:ind w:left="220"/>
              <w:spacing w:after="0"/>
              <w:rPr>
                <w:sz w:val="20"/>
                <w:szCs w:val="20"/>
                <w:color w:val="auto"/>
              </w:rPr>
            </w:pPr>
            <w:r>
              <w:rPr>
                <w:rFonts w:ascii="Courier New" w:cs="Courier New" w:eastAsia="Courier New" w:hAnsi="Courier New"/>
                <w:sz w:val="15"/>
                <w:szCs w:val="15"/>
                <w:color w:val="auto"/>
                <w:w w:val="97"/>
              </w:rPr>
              <w:t>LIBOR + 240 basis points</w:t>
            </w:r>
          </w:p>
        </w:tc>
      </w:tr>
      <w:tr>
        <w:trPr>
          <w:trHeight w:val="170"/>
        </w:trPr>
        <w:tc>
          <w:tcPr>
            <w:tcW w:w="334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40" w:type="dxa"/>
            <w:vAlign w:val="bottom"/>
          </w:tcPr>
          <w:p>
            <w:pPr>
              <w:spacing w:after="0"/>
              <w:rPr>
                <w:sz w:val="14"/>
                <w:szCs w:val="14"/>
                <w:color w:val="auto"/>
              </w:rPr>
            </w:pPr>
          </w:p>
        </w:tc>
      </w:tr>
    </w:tbl>
    <w:p>
      <w:pPr>
        <w:spacing w:after="0" w:line="344" w:lineRule="exact"/>
        <w:rPr>
          <w:sz w:val="20"/>
          <w:szCs w:val="20"/>
          <w:color w:val="auto"/>
        </w:rPr>
      </w:pPr>
    </w:p>
    <w:p>
      <w:pPr>
        <w:ind w:left="790" w:right="3960" w:hanging="790"/>
        <w:spacing w:after="0" w:line="235" w:lineRule="auto"/>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1.38%, 1.87% and 6.57% at December 31, 2002, 2001 and 2000, respectively.</w:t>
      </w:r>
    </w:p>
    <w:p>
      <w:pPr>
        <w:spacing w:after="0" w:line="176" w:lineRule="exact"/>
        <w:rPr>
          <w:sz w:val="20"/>
          <w:szCs w:val="20"/>
          <w:color w:val="auto"/>
        </w:rPr>
      </w:pPr>
    </w:p>
    <w:p>
      <w:pPr>
        <w:ind w:left="10" w:right="3960" w:firstLine="793"/>
        <w:spacing w:after="0" w:line="258" w:lineRule="auto"/>
        <w:rPr>
          <w:sz w:val="20"/>
          <w:szCs w:val="20"/>
          <w:color w:val="auto"/>
        </w:rPr>
      </w:pPr>
      <w:r>
        <w:rPr>
          <w:rFonts w:ascii="Courier New" w:cs="Courier New" w:eastAsia="Courier New" w:hAnsi="Courier New"/>
          <w:sz w:val="14"/>
          <w:szCs w:val="14"/>
          <w:color w:val="auto"/>
        </w:rPr>
        <w:t>The lines of credit collateralized by real estate investments and commercial loans expired and were repaid in May 2002. Lines of credit secured by advances on loans serviced for others were entered into during April 2001 to fund advances purchased in connection with our acquisition of rights to services loans for others. See Note 15 to our Consolidated Financial Statements.</w:t>
      </w:r>
    </w:p>
    <w:p>
      <w:pPr>
        <w:spacing w:after="0" w:line="165" w:lineRule="exact"/>
        <w:rPr>
          <w:sz w:val="20"/>
          <w:szCs w:val="20"/>
          <w:color w:val="auto"/>
        </w:rPr>
      </w:pPr>
    </w:p>
    <w:p>
      <w:pPr>
        <w:ind w:left="10" w:right="3960" w:firstLine="793"/>
        <w:spacing w:after="0" w:line="238" w:lineRule="auto"/>
        <w:rPr>
          <w:sz w:val="20"/>
          <w:szCs w:val="20"/>
          <w:color w:val="auto"/>
        </w:rPr>
      </w:pPr>
      <w:r>
        <w:rPr>
          <w:rFonts w:ascii="Courier New" w:cs="Courier New" w:eastAsia="Courier New" w:hAnsi="Courier New"/>
          <w:sz w:val="15"/>
          <w:szCs w:val="15"/>
          <w:color w:val="auto"/>
        </w:rPr>
        <w:t>Company Obligated, Mandatorily Redeemable Securities of Subsidiary Trust Holding Solely Junior Subordinated Debentures of the Company ("Capital Securities"). The outstanding balance of the 10.875% Capital Securities amounted to $56,249, $61,159, $79,530, respectively, at December 31, 2002, 2001 and 2000. During 2002, 2001 and 2000, we repurchased $4,910, $18,371 and $30,470, respectively, of our Capital Securities in the open market. See "Results of Operations -Gain (loss) on Repurchase of Debt, Net of Taxes" and Note 19 to our Consolidated Financial Statements.</w:t>
      </w:r>
    </w:p>
    <w:p>
      <w:pPr>
        <w:spacing w:after="0" w:line="178" w:lineRule="exact"/>
        <w:rPr>
          <w:sz w:val="20"/>
          <w:szCs w:val="20"/>
          <w:color w:val="auto"/>
        </w:rPr>
      </w:pPr>
    </w:p>
    <w:p>
      <w:pPr>
        <w:ind w:left="10" w:right="4040" w:firstLine="793"/>
        <w:spacing w:after="0" w:line="238" w:lineRule="auto"/>
        <w:rPr>
          <w:sz w:val="20"/>
          <w:szCs w:val="20"/>
          <w:color w:val="auto"/>
        </w:rPr>
      </w:pPr>
      <w:r>
        <w:rPr>
          <w:rFonts w:ascii="Courier New" w:cs="Courier New" w:eastAsia="Courier New" w:hAnsi="Courier New"/>
          <w:sz w:val="15"/>
          <w:szCs w:val="15"/>
          <w:color w:val="auto"/>
        </w:rPr>
        <w:t>Minority Interest in Subsidiaries. Minority interest of $1,778 at December 31, 2002, represents the investment by others in Global Servicing Solutions, LLC, which we formed during the third quarter of 2002 to establish, license and operate distressed asset management servicing companies in various countries around the world. See the Principles of Consolidation section of Note 1 to our Consolidated Financial Statements.</w:t>
      </w:r>
    </w:p>
    <w:p>
      <w:pPr>
        <w:spacing w:after="0" w:line="176" w:lineRule="exact"/>
        <w:rPr>
          <w:sz w:val="20"/>
          <w:szCs w:val="20"/>
          <w:color w:val="auto"/>
        </w:rPr>
      </w:pPr>
    </w:p>
    <w:p>
      <w:pPr>
        <w:ind w:left="10" w:right="4140" w:firstLine="793"/>
        <w:spacing w:after="0" w:line="238" w:lineRule="auto"/>
        <w:rPr>
          <w:sz w:val="20"/>
          <w:szCs w:val="20"/>
          <w:color w:val="auto"/>
        </w:rPr>
      </w:pPr>
      <w:r>
        <w:rPr>
          <w:rFonts w:ascii="Courier New" w:cs="Courier New" w:eastAsia="Courier New" w:hAnsi="Courier New"/>
          <w:sz w:val="15"/>
          <w:szCs w:val="15"/>
          <w:color w:val="auto"/>
        </w:rPr>
        <w:t>Stockholders' Equity. Stockholders' equity amounted to $310,718 at December 31, 2002 as compared to $379,106 at December 31, 2001 and $503,426 at December 31, 2000. The $68,388 and $124,320 declines in equity during 2002 and 2001, respectively, were primarily due to the $68,775 and $124,782 of net loss we incurred for those years. See Consolidated Statements of Changes in Stockholders' Equity and Notes 1 and 22 to our Consolidated Financial Statements.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Asset and Liability Management</w:t>
      </w:r>
    </w:p>
    <w:p>
      <w:pPr>
        <w:spacing w:after="0" w:line="175" w:lineRule="exact"/>
        <w:rPr>
          <w:sz w:val="20"/>
          <w:szCs w:val="20"/>
          <w:color w:val="auto"/>
        </w:rPr>
      </w:pPr>
    </w:p>
    <w:p>
      <w:pPr>
        <w:ind w:left="10" w:right="3960" w:firstLine="793"/>
        <w:spacing w:after="0" w:line="257"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Our objective is to attempt to control risks associated with interest rate and foreign currency exchange rate movements. In general, our strategy is to match our asset and liability balances within maturity categories and to manage our foreign currency rate exposure related to our investments in non-U.S. dollar functional currency operations to limit our exposure to earnings variations and variations in the value of our assets and liabilities as interest rates and foreign currency exchange rates change over time. Our Asset/Liability Management Committee (the "Committee"), which is composed of our officers, formulates and monitors our asset and liability management strategy in accordance with policies approved by our Board of Directors. The Committee meets to review, among other things, the sensitivity of the our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1010"/>
          </w:cols>
          <w:pgMar w:left="230" w:top="627" w:right="659" w:bottom="565" w:gutter="0" w:footer="0" w:header="0"/>
          <w:type w:val="continuous"/>
        </w:sectPr>
      </w:pPr>
    </w:p>
    <w:bookmarkStart w:id="88" w:name="page89"/>
    <w:bookmarkEnd w:id="88"/>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and borrowings. The Committee also approves and establishes pricing and funding decisions with respect to overall asset and liability composition.</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Committee's methods for evaluating interest rate risk include an analysis of the our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8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following table sets forth the estimated maturity or repricing of our interest-earning assets and interest-bearing liabilities at December 31, 2002. We determined the amounts of our assets and liabilities shown within a particular period in accordance with the contractual terms of the assets and liabilities, with the following exceptions:</w:t>
      </w:r>
    </w:p>
    <w:p>
      <w:pPr>
        <w:spacing w:after="0" w:line="348" w:lineRule="exact"/>
        <w:rPr>
          <w:sz w:val="20"/>
          <w:szCs w:val="20"/>
          <w:color w:val="auto"/>
        </w:rPr>
      </w:pPr>
    </w:p>
    <w:p>
      <w:pPr>
        <w:ind w:left="1220" w:right="3179" w:hanging="436"/>
        <w:spacing w:after="0" w:line="260" w:lineRule="auto"/>
        <w:tabs>
          <w:tab w:leader="none" w:pos="12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include adjustable-rate loans, performing discount loans, securities and FHLB advances in the period in which they are first scheduled to adjust and not in the period in which they mature.</w:t>
      </w:r>
    </w:p>
    <w:p>
      <w:pPr>
        <w:spacing w:after="0" w:line="162" w:lineRule="exact"/>
        <w:rPr>
          <w:rFonts w:ascii="Courier New" w:cs="Courier New" w:eastAsia="Courier New" w:hAnsi="Courier New"/>
          <w:sz w:val="14"/>
          <w:szCs w:val="14"/>
          <w:color w:val="auto"/>
        </w:rPr>
      </w:pPr>
    </w:p>
    <w:p>
      <w:pPr>
        <w:ind w:left="1220" w:right="3439" w:hanging="436"/>
        <w:spacing w:after="0" w:line="237" w:lineRule="auto"/>
        <w:tabs>
          <w:tab w:leader="none" w:pos="12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Fixed-rate mortgage-related securities reflect prepayments that were estimated using a prepayment model, broker estimates and empirical data.</w:t>
      </w:r>
    </w:p>
    <w:p>
      <w:pPr>
        <w:spacing w:after="0" w:line="174" w:lineRule="exact"/>
        <w:rPr>
          <w:rFonts w:ascii="Courier New" w:cs="Courier New" w:eastAsia="Courier New" w:hAnsi="Courier New"/>
          <w:sz w:val="15"/>
          <w:szCs w:val="15"/>
          <w:color w:val="auto"/>
        </w:rPr>
      </w:pPr>
    </w:p>
    <w:p>
      <w:pPr>
        <w:ind w:left="1220" w:right="3619" w:hanging="436"/>
        <w:spacing w:after="0" w:line="235" w:lineRule="auto"/>
        <w:tabs>
          <w:tab w:leader="none" w:pos="12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discount loans reflect the estimated timing of resolutions that result in repayment to us.</w:t>
      </w:r>
    </w:p>
    <w:p>
      <w:pPr>
        <w:spacing w:after="0" w:line="175" w:lineRule="exact"/>
        <w:rPr>
          <w:rFonts w:ascii="Courier New" w:cs="Courier New" w:eastAsia="Courier New" w:hAnsi="Courier New"/>
          <w:sz w:val="15"/>
          <w:szCs w:val="15"/>
          <w:color w:val="auto"/>
        </w:rPr>
      </w:pPr>
    </w:p>
    <w:p>
      <w:pPr>
        <w:ind w:left="1220" w:right="3179" w:hanging="436"/>
        <w:spacing w:after="0" w:line="237" w:lineRule="auto"/>
        <w:tabs>
          <w:tab w:leader="none" w:pos="12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 and money market checking deposits and savings deposits, which do not have contractual maturities, reflect estimated levels of attrition, which we based on detailed studies of each such category of deposit.</w:t>
      </w:r>
    </w:p>
    <w:p>
      <w:pPr>
        <w:spacing w:after="0" w:line="176" w:lineRule="exact"/>
        <w:rPr>
          <w:rFonts w:ascii="Courier New" w:cs="Courier New" w:eastAsia="Courier New" w:hAnsi="Courier New"/>
          <w:sz w:val="15"/>
          <w:szCs w:val="15"/>
          <w:color w:val="auto"/>
        </w:rPr>
      </w:pPr>
    </w:p>
    <w:p>
      <w:pPr>
        <w:ind w:left="1220" w:right="3259" w:hanging="436"/>
        <w:spacing w:after="0" w:line="237" w:lineRule="auto"/>
        <w:tabs>
          <w:tab w:leader="none" w:pos="12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exclude escrow deposits on loans and loans serviced for others and other non interest-bearing checking accounts, which amounted to $89,364 at December 31, 2002.</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7" w:right="1440" w:bottom="1440" w:gutter="0" w:footer="0" w:header="0"/>
        </w:sectPr>
      </w:pPr>
    </w:p>
    <w:bookmarkStart w:id="89" w:name="page90"/>
    <w:bookmarkEnd w:id="89"/>
    <w:p>
      <w:pPr>
        <w:ind w:left="1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ind w:left="10"/>
        <w:spacing w:after="0"/>
        <w:rPr>
          <w:sz w:val="20"/>
          <w:szCs w:val="20"/>
          <w:color w:val="auto"/>
        </w:rPr>
      </w:pPr>
      <w:r>
        <w:rPr>
          <w:rFonts w:ascii="Courier New" w:cs="Courier New" w:eastAsia="Courier New" w:hAnsi="Courier New"/>
          <w:sz w:val="15"/>
          <w:szCs w:val="15"/>
          <w:color w:val="auto"/>
        </w:rPr>
        <w:t>RESULTS OF OPERATIONS</w:t>
      </w: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We believe that these assumptions approximate actual experience and</w:t>
      </w:r>
    </w:p>
    <w:tbl>
      <w:tblPr>
        <w:tblLayout w:type="fixed"/>
        <w:tblInd w:w="10" w:type="dxa"/>
        <w:tblCellMar>
          <w:top w:w="0" w:type="dxa"/>
          <w:left w:w="0" w:type="dxa"/>
          <w:bottom w:w="0" w:type="dxa"/>
          <w:right w:w="0" w:type="dxa"/>
        </w:tblCellMar>
      </w:tblPr>
      <w:tr>
        <w:trPr>
          <w:trHeight w:val="170"/>
        </w:trPr>
        <w:tc>
          <w:tcPr>
            <w:tcW w:w="598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consider them reasonable; however, the interest rate sensitivity of</w:t>
            </w: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5"/>
              </w:rPr>
              <w:t>our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300" w:type="dxa"/>
            <w:vAlign w:val="bottom"/>
            <w:gridSpan w:val="4"/>
          </w:tcPr>
          <w:p>
            <w:pPr>
              <w:spacing w:after="0"/>
              <w:rPr>
                <w:sz w:val="20"/>
                <w:szCs w:val="20"/>
                <w:color w:val="auto"/>
              </w:rPr>
            </w:pPr>
            <w:r>
              <w:rPr>
                <w:rFonts w:ascii="Courier New" w:cs="Courier New" w:eastAsia="Courier New" w:hAnsi="Courier New"/>
                <w:sz w:val="15"/>
                <w:szCs w:val="15"/>
                <w:color w:val="auto"/>
                <w:w w:val="98"/>
              </w:rPr>
              <w:t>and liabilities in the table could vary substantially if we were to use</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6300" w:type="dxa"/>
            <w:vAlign w:val="bottom"/>
            <w:gridSpan w:val="4"/>
          </w:tcPr>
          <w:p>
            <w:pPr>
              <w:spacing w:after="0"/>
              <w:rPr>
                <w:sz w:val="20"/>
                <w:szCs w:val="20"/>
                <w:color w:val="auto"/>
              </w:rPr>
            </w:pPr>
            <w:r>
              <w:rPr>
                <w:rFonts w:ascii="Courier New" w:cs="Courier New" w:eastAsia="Courier New" w:hAnsi="Courier New"/>
                <w:sz w:val="15"/>
                <w:szCs w:val="15"/>
                <w:color w:val="auto"/>
                <w:w w:val="99"/>
              </w:rPr>
              <w:t>different assumptions or actual experience differs from the historical</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experience on which we based the assumptions.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78"/>
        </w:trPr>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2002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670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Four to</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More Than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Within Three</w:t>
            </w:r>
          </w:p>
        </w:tc>
        <w:tc>
          <w:tcPr>
            <w:tcW w:w="32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One Year to</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Three Years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Months</w:t>
            </w:r>
          </w:p>
        </w:tc>
        <w:tc>
          <w:tcPr>
            <w:tcW w:w="32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Months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Three Years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and Over</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Interest-earning deposits......................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30,649</w:t>
            </w:r>
          </w:p>
        </w:tc>
      </w:tr>
      <w:tr>
        <w:trPr>
          <w:trHeight w:val="170"/>
        </w:trPr>
        <w:tc>
          <w:tcPr>
            <w:tcW w:w="4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Federal funds sold............................</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85,000</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85,000</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Trading securities.............................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12,991</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14,954</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15,408</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15,542</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58,895</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Investment securities, net.....................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5,361</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5,361</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Loans, net (1).................................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36,178</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13,165</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27,222</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76,857</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Match funded assets, net (1)(2)................</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1,494</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17,198</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14,603</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12,747</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46,042</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rate-sensitive assets...................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171,673</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45,317</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57,233</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28,581</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302,804</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Rate-Sensitive Liabilities: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NOW and money market checking deposits.........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16,008</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1,096</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17,720</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Savings deposits...............................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801</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1,592</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Certificates of deposit........................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93,402</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175,912</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107,503</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25,463</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402,280</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interest-bearing deposits................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109,522</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176,336</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108,374</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27,360</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421,592</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Bonds-match funded agreements..................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141,011</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147,071</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78,511</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78,511</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Notes, debentures and other....................</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4,235</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43,475</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33,500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81,210</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rate-sensitive liabilities..............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333,279</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225,261</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142,484</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27,360</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728,384</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rate sensitivity gap excluding</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financial instruments.........................</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(161,606)</w:t>
            </w:r>
          </w:p>
        </w:tc>
        <w:tc>
          <w:tcPr>
            <w:tcW w:w="32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(179,944)</w:t>
            </w:r>
          </w:p>
        </w:tc>
        <w:tc>
          <w:tcPr>
            <w:tcW w:w="1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(85,251)</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(425,580)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Financial Instruments: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Interest rate caps...............................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Interest rate floors.............................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Total rate-sensitive financial instruments.......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rate sensitivity gap including</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financial instruments.........................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(161,606)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(179,352)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(424,988)</w:t>
            </w:r>
          </w:p>
        </w:tc>
      </w:tr>
      <w:tr>
        <w:trPr>
          <w:trHeight w:val="170"/>
        </w:trPr>
        <w:tc>
          <w:tcPr>
            <w:tcW w:w="458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Cumulative interest rate sensitivity gap (3).....</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(161,606)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(340,958)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(426,209)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(424,988)</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Cumulative interest rate sensitivity gap as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percentage of total rate-sensitive assets......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(53.37)%</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(112.60)%</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(140.75)%</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(140.35)%</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As of December 31, 2001</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Cumulative interest rate sensitivity gap (3).....</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(101,120)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(186,507)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(364,383)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(405,605)</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Cumulative interest rate sensitivity gap on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percentage of total rate-sensitive assets......</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(14.06)%</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(25.68)%</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(50.18)%</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(55.86)%</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39" w:lineRule="exact"/>
        <w:rPr>
          <w:sz w:val="20"/>
          <w:szCs w:val="20"/>
          <w:color w:val="auto"/>
        </w:rPr>
      </w:pPr>
    </w:p>
    <w:p>
      <w:pPr>
        <w:ind w:left="790" w:hanging="790"/>
        <w:spacing w:after="0"/>
        <w:tabs>
          <w:tab w:leader="none" w:pos="79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have not been reduced for non-performing loans.</w:t>
      </w:r>
    </w:p>
    <w:p>
      <w:pPr>
        <w:spacing w:after="0" w:line="174" w:lineRule="exact"/>
        <w:rPr>
          <w:rFonts w:ascii="Courier New" w:cs="Courier New" w:eastAsia="Courier New" w:hAnsi="Courier New"/>
          <w:sz w:val="15"/>
          <w:szCs w:val="15"/>
          <w:color w:val="auto"/>
        </w:rPr>
      </w:pPr>
    </w:p>
    <w:p>
      <w:pPr>
        <w:ind w:left="790" w:right="4420" w:hanging="790"/>
        <w:spacing w:after="0" w:line="235" w:lineRule="auto"/>
        <w:tabs>
          <w:tab w:leader="none" w:pos="79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$121,702 at December 31, 2002.</w:t>
      </w:r>
    </w:p>
    <w:p>
      <w:pPr>
        <w:spacing w:after="0" w:line="175" w:lineRule="exact"/>
        <w:rPr>
          <w:rFonts w:ascii="Courier New" w:cs="Courier New" w:eastAsia="Courier New" w:hAnsi="Courier New"/>
          <w:sz w:val="15"/>
          <w:szCs w:val="15"/>
          <w:color w:val="auto"/>
        </w:rPr>
      </w:pPr>
    </w:p>
    <w:p>
      <w:pPr>
        <w:ind w:left="790" w:right="4240" w:hanging="790"/>
        <w:spacing w:after="0" w:line="238" w:lineRule="auto"/>
        <w:tabs>
          <w:tab w:leader="none" w:pos="79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experienced an increasingly large negative interest rate sensitivity gap in recent years. This change has been the result of both our acquisition of OAC and our change in strategic focus away from capital-intensive businesses and into fee-based sources of income. The result has been an increase in the relative amount of our noninterest-bearing assets, such as real estate assets and loan servicing assets that are funded by interest-bearing liabilities. Consequently, the amount of the negative interest rate sensitivity gap may continue to increase as we continue our transition to fee-based businesses.</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1290"/>
          </w:cols>
          <w:pgMar w:left="230" w:top="622" w:right="379" w:bottom="1440" w:gutter="0" w:footer="0" w:header="0"/>
        </w:sectPr>
      </w:pPr>
    </w:p>
    <w:bookmarkStart w:id="90" w:name="page91"/>
    <w:bookmarkEnd w:id="90"/>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(shocks) in the term structure of interest rates of plus and minus 100, 200 and 300 basis points from the actual term structure observed at quarter end. The current NPV Ratio for each of the seven rate scenarios and the corresponding limits approved by the Board of Directors, as applied to Ocwen Financial Corporation and its subsidiaries, are as follows at December 31, 2002: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4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Board Limits</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Current</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Rate Shock in basis points</w:t>
            </w:r>
          </w:p>
        </w:tc>
        <w:tc>
          <w:tcPr>
            <w:tcW w:w="24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(minimum NPV Ratios)</w:t>
            </w:r>
          </w:p>
        </w:tc>
        <w:tc>
          <w:tcPr>
            <w:tcW w:w="2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NPV Ratios</w:t>
            </w:r>
          </w:p>
        </w:tc>
      </w:tr>
      <w:tr>
        <w:trPr>
          <w:trHeight w:val="170"/>
        </w:trPr>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w:t>
            </w:r>
          </w:p>
        </w:tc>
        <w:tc>
          <w:tcPr>
            <w:tcW w:w="2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+300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5.00%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30.38%</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+200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6.00%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30.22%</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30.06%</w:t>
            </w:r>
          </w:p>
        </w:tc>
      </w:tr>
      <w:tr>
        <w:trPr>
          <w:trHeight w:val="170"/>
        </w:trPr>
        <w:tc>
          <w:tcPr>
            <w:tcW w:w="25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8.00%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29.91%</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29.82%</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-200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6.00%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29.77%</w:t>
            </w:r>
          </w:p>
        </w:tc>
      </w:tr>
      <w:tr>
        <w:trPr>
          <w:trHeight w:val="170"/>
        </w:trPr>
        <w:tc>
          <w:tcPr>
            <w:tcW w:w="25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-300</w:t>
            </w:r>
          </w:p>
        </w:tc>
        <w:tc>
          <w:tcPr>
            <w:tcW w:w="24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5.00%</w:t>
            </w:r>
          </w:p>
        </w:tc>
        <w:tc>
          <w:tcPr>
            <w:tcW w:w="2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29.88%</w:t>
            </w:r>
          </w:p>
        </w:tc>
      </w:tr>
    </w:tbl>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Committee also regularly reviews interest rate risk by forecasting the impact of alternative interest rate environments on net interest income or expense and NPV and evaluating such impacts against the maximum potential changes in net interest income and NPV that is authorized by the Board of Directors, as applied to Ocwen Financial Corporation and its subsidiaries. The following table quantifies the potential changes in net interest expense and net portfolio value should interest rates go up or down (shocked) 300 basis points, assuming the yield curves of the rate shocks will be parallel to each other. We calculate the cash flows associated with the loan portfolios and securities available for sale based on prepayment and default rates that vary by asset. We generate projected losses, as well as prepayments, based upon the actual experience with the subject pool, as well as similar, more seasoned pools. To the extent available, we use loan characteristics such as loan-to-value ratio, interest rate, credit history, prepayment penalty terms and product types to produce the projected loss and prepayment assumptions that are included in the cash flow projections of the securities. When we shock interest rates we further adjust these projected loss and prepayment assumptions. The base interest rate scenario assumes interest rates at December 31, 2002. Actual results of Ocwen Financial Corporation and its subsidiaries could differ significantly from the results estimated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476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Estimated Changes in</w:t>
            </w:r>
          </w:p>
        </w:tc>
      </w:tr>
      <w:tr>
        <w:trPr>
          <w:trHeight w:val="170"/>
        </w:trPr>
        <w:tc>
          <w:tcPr>
            <w:tcW w:w="2460" w:type="dxa"/>
            <w:vAlign w:val="bottom"/>
          </w:tcPr>
          <w:p>
            <w:pPr>
              <w:spacing w:after="0"/>
              <w:rPr>
                <w:sz w:val="14"/>
                <w:szCs w:val="14"/>
                <w:color w:val="auto"/>
              </w:rPr>
            </w:pPr>
          </w:p>
        </w:tc>
        <w:tc>
          <w:tcPr>
            <w:tcW w:w="4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Rate Shock in basis points</w:t>
            </w:r>
          </w:p>
        </w:tc>
        <w:tc>
          <w:tcPr>
            <w:tcW w:w="25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Net Interest</w:t>
            </w:r>
          </w:p>
        </w:tc>
        <w:tc>
          <w:tcPr>
            <w:tcW w:w="22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NPV</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2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+300</w:t>
            </w:r>
          </w:p>
        </w:tc>
        <w:tc>
          <w:tcPr>
            <w:tcW w:w="25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91.68%</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0.35%</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+200</w:t>
            </w:r>
          </w:p>
        </w:tc>
        <w:tc>
          <w:tcPr>
            <w:tcW w:w="25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61.12%</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0.23%</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+100</w:t>
            </w:r>
          </w:p>
        </w:tc>
        <w:tc>
          <w:tcPr>
            <w:tcW w:w="25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30.56%</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0.11%</w:t>
            </w:r>
          </w:p>
        </w:tc>
      </w:tr>
      <w:tr>
        <w:trPr>
          <w:trHeight w:val="170"/>
        </w:trPr>
        <w:tc>
          <w:tcPr>
            <w:tcW w:w="24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w:t>
            </w:r>
          </w:p>
        </w:tc>
        <w:tc>
          <w:tcPr>
            <w:tcW w:w="25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0.00%</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0.00%</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-100</w:t>
            </w:r>
          </w:p>
        </w:tc>
        <w:tc>
          <w:tcPr>
            <w:tcW w:w="25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(30.56)%</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0.12%</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-200</w:t>
            </w:r>
          </w:p>
        </w:tc>
        <w:tc>
          <w:tcPr>
            <w:tcW w:w="25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(61.12)%</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0.31%</w:t>
            </w:r>
          </w:p>
        </w:tc>
      </w:tr>
      <w:tr>
        <w:trPr>
          <w:trHeight w:val="170"/>
        </w:trPr>
        <w:tc>
          <w:tcPr>
            <w:tcW w:w="24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-300</w:t>
            </w:r>
          </w:p>
        </w:tc>
        <w:tc>
          <w:tcPr>
            <w:tcW w:w="256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(91.68)%</w:t>
            </w:r>
          </w:p>
        </w:tc>
        <w:tc>
          <w:tcPr>
            <w:tcW w:w="22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1.02%</w:t>
            </w:r>
          </w:p>
        </w:tc>
      </w:tr>
      <w:tr>
        <w:trPr>
          <w:trHeight w:val="339"/>
        </w:trPr>
        <w:tc>
          <w:tcPr>
            <w:tcW w:w="2460" w:type="dxa"/>
            <w:vAlign w:val="bottom"/>
          </w:tcPr>
          <w:p>
            <w:pPr>
              <w:spacing w:after="0"/>
              <w:rPr>
                <w:sz w:val="24"/>
                <w:szCs w:val="24"/>
                <w:color w:val="auto"/>
              </w:rPr>
            </w:pPr>
          </w:p>
        </w:tc>
        <w:tc>
          <w:tcPr>
            <w:tcW w:w="25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62</w:t>
            </w:r>
          </w:p>
        </w:tc>
        <w:tc>
          <w:tcPr>
            <w:tcW w:w="220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91" w:name="page92"/>
    <w:bookmarkEnd w:id="91"/>
    <w:p>
      <w:pPr>
        <w:ind w:left="10" w:right="54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following table shows our financial instruments that are sensitive</w:t>
      </w:r>
    </w:p>
    <w:tbl>
      <w:tblPr>
        <w:tblLayout w:type="fixed"/>
        <w:tblInd w:w="10" w:type="dxa"/>
        <w:tblCellMar>
          <w:top w:w="0" w:type="dxa"/>
          <w:left w:w="0" w:type="dxa"/>
          <w:bottom w:w="0" w:type="dxa"/>
          <w:right w:w="0" w:type="dxa"/>
        </w:tblCellMar>
      </w:tblPr>
      <w:tr>
        <w:trPr>
          <w:trHeight w:val="170"/>
        </w:trPr>
        <w:tc>
          <w:tcPr>
            <w:tcW w:w="7260" w:type="dxa"/>
            <w:vAlign w:val="bottom"/>
            <w:gridSpan w:val="11"/>
          </w:tcPr>
          <w:p>
            <w:pPr>
              <w:spacing w:after="0"/>
              <w:rPr>
                <w:sz w:val="20"/>
                <w:szCs w:val="20"/>
                <w:color w:val="auto"/>
              </w:rPr>
            </w:pPr>
            <w:r>
              <w:rPr>
                <w:rFonts w:ascii="Courier New" w:cs="Courier New" w:eastAsia="Courier New" w:hAnsi="Courier New"/>
                <w:sz w:val="15"/>
                <w:szCs w:val="15"/>
                <w:color w:val="auto"/>
              </w:rPr>
              <w:t>to changes in interest rates, categorized by expected maturity or repricing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characteristics, and</w:t>
            </w:r>
          </w:p>
        </w:tc>
        <w:tc>
          <w:tcPr>
            <w:tcW w:w="5420" w:type="dxa"/>
            <w:vAlign w:val="bottom"/>
            <w:gridSpan w:val="9"/>
          </w:tcPr>
          <w:p>
            <w:pPr>
              <w:jc w:val="right"/>
              <w:ind w:right="227"/>
              <w:spacing w:after="0"/>
              <w:rPr>
                <w:sz w:val="20"/>
                <w:szCs w:val="20"/>
                <w:color w:val="auto"/>
              </w:rPr>
            </w:pPr>
            <w:r>
              <w:rPr>
                <w:rFonts w:ascii="Courier New" w:cs="Courier New" w:eastAsia="Courier New" w:hAnsi="Courier New"/>
                <w:sz w:val="15"/>
                <w:szCs w:val="15"/>
                <w:color w:val="auto"/>
                <w:w w:val="97"/>
              </w:rPr>
              <w:t>the fair values of those instruments at December 31, 2002: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8"/>
        </w:trPr>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Expected Maturity Date At December 31, 2002 (1)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2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w:t>
            </w: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2003</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1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2007</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Thereafter</w:t>
            </w:r>
          </w:p>
        </w:tc>
        <w:tc>
          <w:tcPr>
            <w:tcW w:w="1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Balance</w:t>
            </w: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Rate-Sensitive Assets: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Interest-earning deposits...........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30,649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30,649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30,649</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Federal funds.......................</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85,000</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Trading securities..................</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27,946</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8,486</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6,922</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4,364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3,006</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8,171</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58,895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58,895</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14.49%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13.91%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15.45%</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securities, net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5,361</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5,361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5,361</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Loans, net (2)......................</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49,342</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26,971</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76,857</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89,957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10.52%</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Match funded assets (2)(3)..........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18,692</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12,317</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2,287</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1,663</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1,472</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9,611</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46,042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46,098</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rate-sensitive assets.....</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$ 216,990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47,774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9,460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4,494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17,888</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$ 302,804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$ 315,960</w:t>
            </w: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Rate-Sensitive Liabilities: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NOW and money market checking</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deposits........................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16,204</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17,720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17,384</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Savings deposits....................</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1,592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1,517</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Certificates of deposit.............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269,315</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78,467</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29,036</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1,528</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3,945</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19,989</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402,280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416,082</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5.86%</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interest-bearing deposits.</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285,859</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78,944</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29,429</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1,852</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4,213</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21,295</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421,592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434,983</w:t>
            </w:r>
          </w:p>
        </w:tc>
      </w:tr>
      <w:tr>
        <w:trPr>
          <w:trHeight w:val="170"/>
        </w:trPr>
        <w:tc>
          <w:tcPr>
            <w:tcW w:w="1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Bonds-match funded</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agreements.......</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146,461</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147,071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147,091</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Obligations outstanding under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lines of credit...................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78,511</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78,511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78,511</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debentures and other.........</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47,710</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33,500</w:t>
            </w:r>
          </w:p>
        </w:tc>
        <w:tc>
          <w:tcPr>
            <w:tcW w:w="160" w:type="dxa"/>
            <w:vAlign w:val="bottom"/>
          </w:tcPr>
          <w:p>
            <w:pPr>
              <w:spacing w:after="0"/>
              <w:rPr>
                <w:sz w:val="14"/>
                <w:szCs w:val="14"/>
                <w:color w:val="auto"/>
              </w:rPr>
            </w:pP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81,210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82,749</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rate-sensitive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38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liabilities..................</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$ 558,541</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79,554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62,929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21,295</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$ 728,384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$ 743,334</w:t>
            </w:r>
          </w:p>
        </w:tc>
      </w:tr>
      <w:tr>
        <w:trPr>
          <w:trHeight w:val="170"/>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44" w:lineRule="exact"/>
        <w:rPr>
          <w:sz w:val="20"/>
          <w:szCs w:val="20"/>
          <w:color w:val="auto"/>
        </w:rPr>
      </w:pPr>
    </w:p>
    <w:p>
      <w:pPr>
        <w:ind w:left="790" w:right="3960" w:hanging="790"/>
        <w:spacing w:after="0" w:line="238" w:lineRule="auto"/>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maturities are contractual maturities adjusted for prepayments of principal. We use certain assumptions to estimate fair values and expected maturities. For assets, expected maturities are based upon contractual maturity, projected repayments and prepayments of principal. We base the prepayment experience reflected herein on our historical experience. Our average Constant Prepayment Rate ("CPR") is 18.40 and 27.17% on our fixed-rate and adjustable-rate portfolios, respectively, for interest-earning assets (excluding investment securities, which do not have prepayment features). The actual maturities of these instruments could vary substantially if future prepayments differ from our historical experience.</w:t>
      </w:r>
    </w:p>
    <w:p>
      <w:pPr>
        <w:spacing w:after="0" w:line="17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74" w:lineRule="exact"/>
        <w:rPr>
          <w:rFonts w:ascii="Courier New" w:cs="Courier New" w:eastAsia="Courier New" w:hAnsi="Courier New"/>
          <w:sz w:val="15"/>
          <w:szCs w:val="15"/>
          <w:color w:val="auto"/>
        </w:rPr>
      </w:pPr>
    </w:p>
    <w:p>
      <w:pPr>
        <w:ind w:left="790" w:right="4140" w:hanging="790"/>
        <w:spacing w:after="0" w:line="235" w:lineRule="auto"/>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$121,702 at December 31, 2002.</w:t>
      </w:r>
    </w:p>
    <w:p>
      <w:pPr>
        <w:spacing w:after="0" w:line="175" w:lineRule="exact"/>
        <w:rPr>
          <w:rFonts w:ascii="Courier New" w:cs="Courier New" w:eastAsia="Courier New" w:hAnsi="Courier New"/>
          <w:sz w:val="15"/>
          <w:szCs w:val="15"/>
          <w:color w:val="auto"/>
        </w:rPr>
      </w:pPr>
    </w:p>
    <w:p>
      <w:pPr>
        <w:ind w:left="790" w:right="4140" w:hanging="790"/>
        <w:spacing w:after="0" w:line="237" w:lineRule="auto"/>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maturity or repricing dates of interest rate-sensitive assets and liabilities as of December 31, 2002, 2001 and 2000 compare as follows: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1010"/>
          </w:cols>
          <w:pgMar w:left="230" w:top="627" w:right="659" w:bottom="1440" w:gutter="0" w:footer="0" w:header="0"/>
        </w:sectPr>
      </w:pPr>
    </w:p>
    <w:bookmarkStart w:id="92" w:name="page93"/>
    <w:bookmarkEnd w:id="92"/>
    <w:p>
      <w:pPr>
        <w:ind w:right="538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1st 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2nd 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3rd Year</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4th Year</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5th Year</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04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Total rate-sensitive assets: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216,990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47,774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9,460</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6,198</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4,494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302,804</w:t>
            </w: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71.66%</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15.78%</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3.12%</w:t>
            </w:r>
          </w:p>
        </w:tc>
        <w:tc>
          <w:tcPr>
            <w:tcW w:w="3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563,761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67,274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20,843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11,700</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10,587</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726,167</w:t>
            </w: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77.64%</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9.26%</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w:t>
            </w:r>
          </w:p>
        </w:tc>
        <w:tc>
          <w:tcPr>
            <w:tcW w:w="3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339"/>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Total rate-sensitive 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558,541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79,554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62,929</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1,852</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21,295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728,384</w:t>
            </w: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76.69%</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10.92%</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8.64%</w:t>
            </w:r>
          </w:p>
        </w:tc>
        <w:tc>
          <w:tcPr>
            <w:tcW w:w="3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0.25%</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0.58%</w:t>
            </w:r>
          </w:p>
        </w:tc>
        <w:tc>
          <w:tcPr>
            <w:tcW w:w="3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750,269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204,721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61,675</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93,035</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1,347</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1,132,176</w:t>
            </w:r>
          </w:p>
        </w:tc>
      </w:tr>
      <w:tr>
        <w:trPr>
          <w:trHeight w:val="170"/>
        </w:trPr>
        <w:tc>
          <w:tcPr>
            <w:tcW w:w="3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66.27%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18.08%</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5.45%</w:t>
            </w:r>
          </w:p>
        </w:tc>
        <w:tc>
          <w:tcPr>
            <w:tcW w:w="3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8.22%</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pacing w:after="0" w:line="344" w:lineRule="exact"/>
        <w:rPr>
          <w:sz w:val="20"/>
          <w:szCs w:val="20"/>
          <w:color w:val="auto"/>
        </w:rPr>
      </w:pPr>
    </w:p>
    <w:p>
      <w:pPr>
        <w:ind w:right="4060" w:firstLine="793"/>
        <w:spacing w:after="0" w:line="237" w:lineRule="auto"/>
        <w:rPr>
          <w:sz w:val="20"/>
          <w:szCs w:val="20"/>
          <w:color w:val="auto"/>
        </w:rPr>
      </w:pPr>
      <w:r>
        <w:rPr>
          <w:rFonts w:ascii="Courier New" w:cs="Courier New" w:eastAsia="Courier New" w:hAnsi="Courier New"/>
          <w:sz w:val="15"/>
          <w:szCs w:val="15"/>
          <w:color w:val="auto"/>
        </w:rPr>
        <w:t>We believe that the broad geographic distribution of our loans and match funded loans reduces the risks that would otherwise result from concentrating such loans in limited geographic areas. See Notes 5 and 6 to our Consolidated Financial Statements.</w:t>
      </w:r>
    </w:p>
    <w:p>
      <w:pPr>
        <w:spacing w:after="0" w:line="176" w:lineRule="exact"/>
        <w:rPr>
          <w:sz w:val="20"/>
          <w:szCs w:val="20"/>
          <w:color w:val="auto"/>
        </w:rPr>
      </w:pPr>
    </w:p>
    <w:p>
      <w:pPr>
        <w:ind w:right="3960" w:firstLine="793"/>
        <w:spacing w:after="0" w:line="258" w:lineRule="auto"/>
        <w:rPr>
          <w:sz w:val="20"/>
          <w:szCs w:val="20"/>
          <w:color w:val="auto"/>
        </w:rPr>
      </w:pPr>
      <w:r>
        <w:rPr>
          <w:rFonts w:ascii="Courier New" w:cs="Courier New" w:eastAsia="Courier New" w:hAnsi="Courier New"/>
          <w:sz w:val="14"/>
          <w:szCs w:val="14"/>
          <w:color w:val="auto"/>
        </w:rPr>
        <w:t>The Committee is authorized to utilize a wide variety of off-balance sheet financial techniques to assist it in the management of interest rate risk and foreign currency exchange rate risk. These techniques include interest rate exchange contracts or "swap" agreements, interest rate caps and floors, U.S. Treasury interest rate futures contracts, foreign currency futures contracts, foreign currency forwards and European swaptions and put options.</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Rate Risk Management. We have purchased amortizing caps and</w:t>
      </w:r>
    </w:p>
    <w:p>
      <w:pPr>
        <w:spacing w:after="0"/>
        <w:rPr>
          <w:sz w:val="20"/>
          <w:szCs w:val="20"/>
          <w:color w:val="auto"/>
        </w:rPr>
      </w:pPr>
      <w:r>
        <w:rPr>
          <w:rFonts w:ascii="Courier New" w:cs="Courier New" w:eastAsia="Courier New" w:hAnsi="Courier New"/>
          <w:sz w:val="15"/>
          <w:szCs w:val="15"/>
          <w:color w:val="auto"/>
        </w:rPr>
        <w:t>floors to hedge the interest rate exposure relating to our match funded loans</w:t>
      </w:r>
    </w:p>
    <w:p>
      <w:pPr>
        <w:spacing w:after="0"/>
        <w:rPr>
          <w:sz w:val="20"/>
          <w:szCs w:val="20"/>
          <w:color w:val="auto"/>
        </w:rPr>
      </w:pPr>
      <w:r>
        <w:rPr>
          <w:rFonts w:ascii="Courier New" w:cs="Courier New" w:eastAsia="Courier New" w:hAnsi="Courier New"/>
          <w:sz w:val="15"/>
          <w:szCs w:val="15"/>
          <w:color w:val="auto"/>
        </w:rPr>
        <w:t>and securities. An interest rate cap or interest rate floor is designed to</w:t>
      </w:r>
    </w:p>
    <w:p>
      <w:pPr>
        <w:spacing w:after="0" w:line="238" w:lineRule="auto"/>
        <w:rPr>
          <w:sz w:val="20"/>
          <w:szCs w:val="20"/>
          <w:color w:val="auto"/>
        </w:rPr>
      </w:pPr>
      <w:r>
        <w:rPr>
          <w:rFonts w:ascii="Courier New" w:cs="Courier New" w:eastAsia="Courier New" w:hAnsi="Courier New"/>
          <w:sz w:val="15"/>
          <w:szCs w:val="15"/>
          <w:color w:val="auto"/>
        </w:rPr>
        <w:t>provide protection against the interest rate on a floating-rate instrument</w:t>
      </w:r>
    </w:p>
    <w:p>
      <w:pPr>
        <w:spacing w:after="0"/>
        <w:rPr>
          <w:sz w:val="20"/>
          <w:szCs w:val="20"/>
          <w:color w:val="auto"/>
        </w:rPr>
      </w:pPr>
      <w:r>
        <w:rPr>
          <w:rFonts w:ascii="Courier New" w:cs="Courier New" w:eastAsia="Courier New" w:hAnsi="Courier New"/>
          <w:sz w:val="15"/>
          <w:szCs w:val="15"/>
          <w:color w:val="auto"/>
        </w:rPr>
        <w:t>rising above some level (cap) or falling below some level (floor). We had</w:t>
      </w:r>
    </w:p>
    <w:p>
      <w:pPr>
        <w:spacing w:after="0"/>
        <w:rPr>
          <w:sz w:val="20"/>
          <w:szCs w:val="20"/>
          <w:color w:val="auto"/>
        </w:rPr>
      </w:pPr>
      <w:r>
        <w:rPr>
          <w:rFonts w:ascii="Courier New" w:cs="Courier New" w:eastAsia="Courier New" w:hAnsi="Courier New"/>
          <w:sz w:val="15"/>
          <w:szCs w:val="15"/>
          <w:color w:val="auto"/>
        </w:rPr>
        <w:t>entered into caps and floors with an aggregate notional amount of $111,799 and</w:t>
      </w:r>
    </w:p>
    <w:p>
      <w:pPr>
        <w:spacing w:after="0" w:line="238" w:lineRule="auto"/>
        <w:rPr>
          <w:sz w:val="20"/>
          <w:szCs w:val="20"/>
          <w:color w:val="auto"/>
        </w:rPr>
      </w:pPr>
      <w:r>
        <w:rPr>
          <w:rFonts w:ascii="Courier New" w:cs="Courier New" w:eastAsia="Courier New" w:hAnsi="Courier New"/>
          <w:sz w:val="15"/>
          <w:szCs w:val="15"/>
          <w:color w:val="auto"/>
        </w:rPr>
        <w:t>$30,563, respectively, at December 31, 2002, as compared to caps and floors with</w:t>
      </w:r>
    </w:p>
    <w:p>
      <w:pPr>
        <w:spacing w:after="0"/>
        <w:rPr>
          <w:sz w:val="20"/>
          <w:szCs w:val="20"/>
          <w:color w:val="auto"/>
        </w:rPr>
      </w:pPr>
      <w:r>
        <w:rPr>
          <w:rFonts w:ascii="Courier New" w:cs="Courier New" w:eastAsia="Courier New" w:hAnsi="Courier New"/>
          <w:sz w:val="15"/>
          <w:szCs w:val="15"/>
          <w:color w:val="auto"/>
        </w:rPr>
        <w:t>an aggregate notional amount of $125,933 and $34,101, respectively, at December</w:t>
      </w:r>
    </w:p>
    <w:p>
      <w:pPr>
        <w:spacing w:after="0"/>
        <w:rPr>
          <w:sz w:val="20"/>
          <w:szCs w:val="20"/>
          <w:color w:val="auto"/>
        </w:rPr>
      </w:pPr>
      <w:r>
        <w:rPr>
          <w:rFonts w:ascii="Courier New" w:cs="Courier New" w:eastAsia="Courier New" w:hAnsi="Courier New"/>
          <w:sz w:val="15"/>
          <w:szCs w:val="15"/>
          <w:color w:val="auto"/>
        </w:rPr>
        <w:t>31, 2001.</w:t>
      </w:r>
    </w:p>
    <w:p>
      <w:pPr>
        <w:spacing w:after="0" w:line="174"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See the "Derivative Financial Instruments" section of Note 1 and the "Interest Rate Management" section of Note 19 to our Consolidated Financial Statements.</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Foreign Currency Exchange Rate Risk Management. We have entered into foreign currency futures to hedge our net investment in foreign subsidiaries which own residual securities backed by residential loans originated in the UK ("UK residuals") and a shopping center located in Halifax, Nova Scotia (the "Nova Scotia shopping center"). Our principal exposure to foreign currency exchange rates exists with the British Pound versus the U.S. dollar and the Canadian Dollar versus the U.S. dollar. Our policy is to periodically adjust the amount of foreign currency derivative contracts that we have entered into in response to changes in our recorded investment in these foreign entities as well as to changes in our assets denominated in a foreign currency. Our net exposures are subject to gain or loss if foreign currency exchange rates fluctuate. See the "Derivatives Financial Instruments" section of Note 1 and the "Foreign Currency Management" section of Note 19 to our Consolidated Financial Statements (which are incorporated herein by reference).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920"/>
          </w:cols>
          <w:pgMar w:left="240" w:top="627" w:right="739" w:bottom="1440" w:gutter="0" w:footer="0" w:header="0"/>
        </w:sectPr>
      </w:pPr>
    </w:p>
    <w:bookmarkStart w:id="93" w:name="page94"/>
    <w:bookmarkEnd w:id="93"/>
    <w:p>
      <w:pPr>
        <w:ind w:left="10"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70" w:hanging="170"/>
        <w:spacing w:after="0"/>
        <w:tabs>
          <w:tab w:leader="none" w:pos="17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Liquidity, Commitments and Off-Balance Sheet Risks</w:t>
      </w:r>
    </w:p>
    <w:p>
      <w:pPr>
        <w:spacing w:after="0" w:line="169"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Liquidity. Our primary sources of funds for liquidity are:</w:t>
      </w:r>
    </w:p>
    <w:p>
      <w:pPr>
        <w:spacing w:after="0" w:line="169"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Deposits</w:t>
            </w:r>
          </w:p>
        </w:tc>
        <w:tc>
          <w:tcPr>
            <w:tcW w:w="1500" w:type="dxa"/>
            <w:vAlign w:val="bottom"/>
          </w:tcPr>
          <w:p>
            <w:pPr>
              <w:spacing w:after="0"/>
              <w:rPr>
                <w:sz w:val="14"/>
                <w:szCs w:val="14"/>
                <w:color w:val="auto"/>
              </w:rPr>
            </w:pPr>
          </w:p>
        </w:tc>
        <w:tc>
          <w:tcPr>
            <w:tcW w:w="980" w:type="dxa"/>
            <w:vAlign w:val="bottom"/>
          </w:tcPr>
          <w:p>
            <w:pPr>
              <w:ind w:left="760"/>
              <w:spacing w:after="0"/>
              <w:rPr>
                <w:sz w:val="20"/>
                <w:szCs w:val="20"/>
                <w:color w:val="auto"/>
              </w:rPr>
            </w:pPr>
            <w:r>
              <w:rPr>
                <w:rFonts w:ascii="Courier New" w:cs="Courier New" w:eastAsia="Courier New" w:hAnsi="Courier New"/>
                <w:sz w:val="15"/>
                <w:szCs w:val="15"/>
                <w:color w:val="auto"/>
              </w:rPr>
              <w:t>o</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Payments</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received on loans</w:t>
            </w:r>
          </w:p>
        </w:tc>
      </w:tr>
      <w:tr>
        <w:trPr>
          <w:trHeight w:val="170"/>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and securities</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Lines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credit</w:t>
            </w:r>
          </w:p>
        </w:tc>
        <w:tc>
          <w:tcPr>
            <w:tcW w:w="186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o   Proceeds</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from sales of assets</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Match</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funded debt</w:t>
            </w:r>
          </w:p>
        </w:tc>
        <w:tc>
          <w:tcPr>
            <w:tcW w:w="980" w:type="dxa"/>
            <w:vAlign w:val="bottom"/>
          </w:tcPr>
          <w:p>
            <w:pPr>
              <w:ind w:left="760"/>
              <w:spacing w:after="0"/>
              <w:rPr>
                <w:sz w:val="20"/>
                <w:szCs w:val="20"/>
                <w:color w:val="auto"/>
              </w:rPr>
            </w:pPr>
            <w:r>
              <w:rPr>
                <w:rFonts w:ascii="Courier New" w:cs="Courier New" w:eastAsia="Courier New" w:hAnsi="Courier New"/>
                <w:sz w:val="15"/>
                <w:szCs w:val="15"/>
                <w:color w:val="auto"/>
              </w:rPr>
              <w:t>o</w:t>
            </w:r>
          </w:p>
        </w:tc>
        <w:tc>
          <w:tcPr>
            <w:tcW w:w="26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Servicing fees</w:t>
            </w:r>
          </w:p>
        </w:tc>
      </w:tr>
    </w:tbl>
    <w:p>
      <w:pPr>
        <w:spacing w:after="0" w:line="175" w:lineRule="exact"/>
        <w:rPr>
          <w:sz w:val="20"/>
          <w:szCs w:val="20"/>
          <w:color w:val="auto"/>
        </w:rPr>
      </w:pPr>
    </w:p>
    <w:p>
      <w:pPr>
        <w:ind w:left="1150" w:right="6259" w:hanging="356"/>
        <w:spacing w:after="0" w:line="235" w:lineRule="auto"/>
        <w:tabs>
          <w:tab w:leader="none" w:pos="11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sold under agreements to repurchase</w:t>
      </w:r>
    </w:p>
    <w:p>
      <w:pPr>
        <w:spacing w:after="0" w:line="34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We plan to retain non-brokered deposits as a source of financing our operations while at the same time reducing our reliance on brokered deposits. We plan to reduce this reliance by using proceeds from the sale of non-core assets to pay off maturing brokered deposits and by diversifying our funding sources through obtaining credit facilities for servicing rights and advances. Our ability to continue to attract new non-brokered deposits and rollover existing non-brokered deposits depends largely on our ability to compete with interest rates offered by other banks in the northern New Jersey area. In 2002, we were able to increase the amount of non-brokered deposits outstanding. If we are unable to maintain the amount of non-brokered deposits outstanding and must replace them with alternative sources of funds, it is likely that we would have to incur higher interest costs to fund our assets.</w:t>
      </w:r>
    </w:p>
    <w:p>
      <w:pPr>
        <w:spacing w:after="0" w:line="182"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In the last several years, our Residential Loan Servicing business has grown through the purchase of servicing rights. Servicing rights entitle the owner to earn servicing fees and other types of ancillary income and impose various obligations on the servicer. Among these are the obligation to make advances for delinquent principal and interest, taxes, insurance and various other items that are required to preserve the assets being serviced.</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Our ability to continue to grow our servicing business depends in part on our ability to obtain additional financing to purchase new servicing rights and to fund servicing advances. We currently use a variety of sources of debt to finance these assets, including deposits and credit facilities with advance rates less than 100% of the underlying collateral. If we cannot replace or renew these sources as they mature or obtain additional sources of financing, we may unable to acquire new servicing rights and make the associated advances.</w:t>
      </w:r>
    </w:p>
    <w:p>
      <w:pPr>
        <w:spacing w:after="0" w:line="167"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Under a match funding agreement that we entered into on December 20, 2001, we are eligible to sell advances on loans serviced for others up to a maximum debt balance of $200,000 at any one time. At December 31, 2002, we had $106,797 of bonds-match funded agreements outstanding under this facility, which, if not renewed, will mature in December 2003. The sales of advances did not qualify as sales for accounting purposes; therefore, we report them as secured borrowings with pledges of collateral. We have accounted for additional sales under this facility in the same manner.</w:t>
      </w:r>
    </w:p>
    <w:p>
      <w:pPr>
        <w:spacing w:after="0" w:line="178"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Under a revolving credit facility executed in April 2001 we have the right to pledge servicing advances as collateral for a loan up to $100,000. The facility, if not renewed, will mature in April 2003.</w:t>
      </w:r>
    </w:p>
    <w:p>
      <w:pPr>
        <w:spacing w:after="0" w:line="175" w:lineRule="exact"/>
        <w:rPr>
          <w:sz w:val="20"/>
          <w:szCs w:val="20"/>
          <w:color w:val="auto"/>
        </w:rPr>
      </w:pPr>
    </w:p>
    <w:p>
      <w:pPr>
        <w:ind w:left="10" w:right="3179" w:firstLine="793"/>
        <w:spacing w:after="0" w:line="258" w:lineRule="auto"/>
        <w:rPr>
          <w:sz w:val="20"/>
          <w:szCs w:val="20"/>
          <w:color w:val="auto"/>
        </w:rPr>
      </w:pPr>
      <w:r>
        <w:rPr>
          <w:rFonts w:ascii="Courier New" w:cs="Courier New" w:eastAsia="Courier New" w:hAnsi="Courier New"/>
          <w:sz w:val="14"/>
          <w:szCs w:val="14"/>
          <w:color w:val="auto"/>
        </w:rPr>
        <w:t>At December 31, 2002, we also had $180,264 of unrestricted cash and cash equivalents and $18,666 of short duration CMOs which we could use to secure additional borrowings. At December 31, 2002, we were eligible to borrow up to an aggregate of $50,000 from the FHLB of New York (based on the availability of acceptable collateral). We had no outstanding FHLB advances or securities we sold under agreements to repurchase from the FHLB at December 31, 2002.</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9"/>
          </w:cols>
          <w:pgMar w:left="230" w:top="627" w:right="1440" w:bottom="1440" w:gutter="0" w:footer="0" w:header="0"/>
        </w:sectPr>
      </w:pPr>
    </w:p>
    <w:bookmarkStart w:id="94" w:name="page95"/>
    <w:bookmarkEnd w:id="94"/>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879" w:firstLine="793"/>
        <w:spacing w:after="0" w:line="237"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Among the risks and challenges associated with our funding activities are the following:</w:t>
      </w:r>
    </w:p>
    <w:p>
      <w:pPr>
        <w:spacing w:after="0" w:line="175" w:lineRule="exact"/>
        <w:rPr>
          <w:sz w:val="20"/>
          <w:szCs w:val="20"/>
          <w:color w:val="auto"/>
        </w:rPr>
      </w:pPr>
    </w:p>
    <w:p>
      <w:pPr>
        <w:ind w:left="1220" w:right="3179" w:hanging="436"/>
        <w:spacing w:after="0" w:line="237"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maturities of all certificates of deposit for 2003, 2004 and thereafter amount to $269,315, $78,467 and $54,498, respectively.</w:t>
      </w:r>
    </w:p>
    <w:p>
      <w:pPr>
        <w:spacing w:after="0" w:line="174" w:lineRule="exact"/>
        <w:rPr>
          <w:rFonts w:ascii="Courier New" w:cs="Courier New" w:eastAsia="Courier New" w:hAnsi="Courier New"/>
          <w:sz w:val="15"/>
          <w:szCs w:val="15"/>
          <w:color w:val="auto"/>
        </w:rPr>
      </w:pPr>
    </w:p>
    <w:p>
      <w:pPr>
        <w:ind w:left="1220" w:right="361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existing collateralized line of credit in April 2003.</w:t>
      </w:r>
    </w:p>
    <w:p>
      <w:pPr>
        <w:spacing w:after="0" w:line="175" w:lineRule="exact"/>
        <w:rPr>
          <w:rFonts w:ascii="Courier New" w:cs="Courier New" w:eastAsia="Courier New" w:hAnsi="Courier New"/>
          <w:sz w:val="15"/>
          <w:szCs w:val="15"/>
          <w:color w:val="auto"/>
        </w:rPr>
      </w:pPr>
    </w:p>
    <w:p>
      <w:pPr>
        <w:ind w:left="1220" w:right="317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our match funded servicing advance funding facility in December 2003, as discussed above.</w:t>
      </w:r>
    </w:p>
    <w:p>
      <w:pPr>
        <w:spacing w:after="0" w:line="175" w:lineRule="exact"/>
        <w:rPr>
          <w:rFonts w:ascii="Courier New" w:cs="Courier New" w:eastAsia="Courier New" w:hAnsi="Courier New"/>
          <w:sz w:val="15"/>
          <w:szCs w:val="15"/>
          <w:color w:val="auto"/>
        </w:rPr>
      </w:pPr>
    </w:p>
    <w:p>
      <w:pPr>
        <w:ind w:left="1220" w:right="361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a note and loan totaling $47,710 in September and October 2003</w:t>
      </w:r>
    </w:p>
    <w:p>
      <w:pPr>
        <w:spacing w:after="0" w:line="175" w:lineRule="exact"/>
        <w:rPr>
          <w:rFonts w:ascii="Courier New" w:cs="Courier New" w:eastAsia="Courier New" w:hAnsi="Courier New"/>
          <w:sz w:val="15"/>
          <w:szCs w:val="15"/>
          <w:color w:val="auto"/>
        </w:rPr>
      </w:pPr>
    </w:p>
    <w:p>
      <w:pPr>
        <w:ind w:left="1220" w:right="325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 in the current weak economic environment.</w:t>
      </w:r>
    </w:p>
    <w:p>
      <w:pPr>
        <w:spacing w:after="0" w:line="175" w:lineRule="exact"/>
        <w:rPr>
          <w:rFonts w:ascii="Courier New" w:cs="Courier New" w:eastAsia="Courier New" w:hAnsi="Courier New"/>
          <w:sz w:val="15"/>
          <w:szCs w:val="15"/>
          <w:color w:val="auto"/>
        </w:rPr>
      </w:pPr>
    </w:p>
    <w:p>
      <w:pPr>
        <w:ind w:left="1220" w:right="379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 and OTX.</w:t>
      </w:r>
    </w:p>
    <w:p>
      <w:pPr>
        <w:spacing w:after="0" w:line="175" w:lineRule="exact"/>
        <w:rPr>
          <w:rFonts w:ascii="Courier New" w:cs="Courier New" w:eastAsia="Courier New" w:hAnsi="Courier New"/>
          <w:sz w:val="15"/>
          <w:szCs w:val="15"/>
          <w:color w:val="auto"/>
        </w:rPr>
      </w:pPr>
    </w:p>
    <w:p>
      <w:pPr>
        <w:ind w:left="1220" w:right="3259" w:hanging="436"/>
        <w:spacing w:after="0" w:line="235" w:lineRule="auto"/>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believe that our existing sources of liquidity, including internally generated funds, will be adequate to fund our planned activities for the foreseeable future, although there can be no assurances in this regard. As discussed above, we continue to evaluate other sources of liquidity, such as lines of credit from unaffiliated parties, match funded debt and other secured borrowings. See the "Short-Term Highly Liquid Investments," "Securities Sold Under Agreements to Repurchase," and "Derivative Financial Instruments" sections of Note 1 and Notes 15 and 16 to our Consolidated Financial Statements.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operating activities provided (used) $251,350, $51,083 and</w:t>
      </w:r>
    </w:p>
    <w:p>
      <w:pPr>
        <w:spacing w:after="0"/>
        <w:rPr>
          <w:sz w:val="20"/>
          <w:szCs w:val="20"/>
          <w:color w:val="auto"/>
        </w:rPr>
      </w:pPr>
      <w:r>
        <w:rPr>
          <w:rFonts w:ascii="Courier New" w:cs="Courier New" w:eastAsia="Courier New" w:hAnsi="Courier New"/>
          <w:sz w:val="15"/>
          <w:szCs w:val="15"/>
          <w:color w:val="auto"/>
        </w:rPr>
        <w:t>$(22,508) of cash flows during 2002, 2001 and 2000, respectively. During 2002</w:t>
      </w:r>
    </w:p>
    <w:p>
      <w:pPr>
        <w:spacing w:after="0"/>
        <w:rPr>
          <w:sz w:val="20"/>
          <w:szCs w:val="20"/>
          <w:color w:val="auto"/>
        </w:rPr>
      </w:pPr>
      <w:r>
        <w:rPr>
          <w:rFonts w:ascii="Courier New" w:cs="Courier New" w:eastAsia="Courier New" w:hAnsi="Courier New"/>
          <w:sz w:val="15"/>
          <w:szCs w:val="15"/>
          <w:color w:val="auto"/>
        </w:rPr>
        <w:t>and 2001 cash was generated from operating activities, despite the net losses</w:t>
      </w:r>
    </w:p>
    <w:p>
      <w:pPr>
        <w:spacing w:after="0" w:line="238" w:lineRule="auto"/>
        <w:rPr>
          <w:sz w:val="20"/>
          <w:szCs w:val="20"/>
          <w:color w:val="auto"/>
        </w:rPr>
      </w:pPr>
      <w:r>
        <w:rPr>
          <w:rFonts w:ascii="Courier New" w:cs="Courier New" w:eastAsia="Courier New" w:hAnsi="Courier New"/>
          <w:sz w:val="15"/>
          <w:szCs w:val="15"/>
          <w:color w:val="auto"/>
        </w:rPr>
        <w:t>recorded, for two reasons. First, the net losses included a significant amount</w:t>
      </w:r>
    </w:p>
    <w:p>
      <w:pPr>
        <w:spacing w:after="0"/>
        <w:rPr>
          <w:sz w:val="20"/>
          <w:szCs w:val="20"/>
          <w:color w:val="auto"/>
        </w:rPr>
      </w:pPr>
      <w:r>
        <w:rPr>
          <w:rFonts w:ascii="Courier New" w:cs="Courier New" w:eastAsia="Courier New" w:hAnsi="Courier New"/>
          <w:sz w:val="15"/>
          <w:szCs w:val="15"/>
          <w:color w:val="auto"/>
        </w:rPr>
        <w:t>of non-cash reserves and impairment charges. Second, our securities portfolio</w:t>
      </w:r>
    </w:p>
    <w:p>
      <w:pPr>
        <w:spacing w:after="0"/>
        <w:rPr>
          <w:sz w:val="20"/>
          <w:szCs w:val="20"/>
          <w:color w:val="auto"/>
        </w:rPr>
      </w:pPr>
      <w:r>
        <w:rPr>
          <w:rFonts w:ascii="Courier New" w:cs="Courier New" w:eastAsia="Courier New" w:hAnsi="Courier New"/>
          <w:sz w:val="15"/>
          <w:szCs w:val="15"/>
          <w:color w:val="auto"/>
        </w:rPr>
        <w:t>generated positive cash flow through sales and interest and principal payments.</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Our investing activities provided cash flows totaling $75,940, $428,415 and $767,186 during 2002, 2001 and 2000, respectively. During the foregoing years, cash flows from our investing activities were provided primarily from principal payments on our loans, maturities of and principal payments received on our securities available for sale (in 2000) and proceeds from sales of loans, securities available for sale, real estate held for sale and real estate owned. We used cash flows from our investing activities primarily to purchase mortgage servicing rights, loans and securities available for sale. The decline in net cash provided by investing activities is primarily due to a decline in principal payments received on loans, a decline in proceeds from sales of loans and REO and an increase in the amount of mortgage servicing rights purchased.</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financing activities used cash flows of $(395,698), $(372,579) and $(945,161) during 2002, 2001 and 2000, respectively. Cash flows related to our financing activities primarily resulted from maturing deposits, changes in obligations outstanding under lines of credit, repurchases of debt and issuance of match funded debt. A decline in the amount of maturing deposits during 2002 was offset by repayments of securities sold under agreements to repurchase, an increase in the repurchase of debt and a decline in proceeds from lines of credit as compared to 2001. Cash flows used in our financing activities decreased during 2001 as compared to 2000 primarily because we established a new line of credit agreement to fund advances on loans serviced for others that we acquired in connection with a servicing acquisition, and we entered into a new match funding agreement to fund current and future advances on loans serviced for others. We also repurchased less of our outstanding debt and repurchased none of our common stock during 2001.</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On August 14, 2002, Standard &amp; Poor's lowered its credit ratings of</w:t>
      </w:r>
    </w:p>
    <w:p>
      <w:pPr>
        <w:spacing w:after="0"/>
        <w:rPr>
          <w:sz w:val="20"/>
          <w:szCs w:val="20"/>
          <w:color w:val="auto"/>
        </w:rPr>
      </w:pPr>
      <w:r>
        <w:rPr>
          <w:rFonts w:ascii="Courier New" w:cs="Courier New" w:eastAsia="Courier New" w:hAnsi="Courier New"/>
          <w:sz w:val="15"/>
          <w:szCs w:val="15"/>
          <w:color w:val="auto"/>
        </w:rPr>
        <w:t>Ocwen Financial Corporation and its subsidiaries as follows:</w:t>
      </w:r>
    </w:p>
    <w:p>
      <w:pPr>
        <w:spacing w:after="0" w:line="174" w:lineRule="exact"/>
        <w:rPr>
          <w:sz w:val="20"/>
          <w:szCs w:val="20"/>
          <w:color w:val="auto"/>
        </w:rPr>
      </w:pPr>
    </w:p>
    <w:p>
      <w:pPr>
        <w:ind w:left="780" w:right="3359" w:hanging="437"/>
        <w:spacing w:after="0" w:line="265" w:lineRule="auto"/>
        <w:tabs>
          <w:tab w:leader="none" w:pos="7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Counterparty credit rating and Senior Unsecured Debt rating of Ocwen Financial Corporation were both lowered from B to B-.</w:t>
      </w:r>
    </w:p>
    <w:p>
      <w:pPr>
        <w:spacing w:after="0" w:line="158" w:lineRule="exact"/>
        <w:rPr>
          <w:rFonts w:ascii="Courier New" w:cs="Courier New" w:eastAsia="Courier New" w:hAnsi="Courier New"/>
          <w:sz w:val="14"/>
          <w:szCs w:val="14"/>
          <w:color w:val="auto"/>
        </w:rPr>
      </w:pPr>
    </w:p>
    <w:p>
      <w:pPr>
        <w:ind w:left="780" w:right="3799" w:hanging="437"/>
        <w:spacing w:after="0" w:line="235" w:lineRule="auto"/>
        <w:tabs>
          <w:tab w:leader="none" w:pos="7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rating on Ocwen Capital Trust's Capital Trust Securities was lowered from CCC to CCC-.</w:t>
      </w:r>
    </w:p>
    <w:p>
      <w:pPr>
        <w:spacing w:after="0" w:line="175" w:lineRule="exact"/>
        <w:rPr>
          <w:rFonts w:ascii="Courier New" w:cs="Courier New" w:eastAsia="Courier New" w:hAnsi="Courier New"/>
          <w:sz w:val="15"/>
          <w:szCs w:val="15"/>
          <w:color w:val="auto"/>
        </w:rPr>
      </w:pPr>
    </w:p>
    <w:p>
      <w:pPr>
        <w:ind w:left="780" w:right="3179" w:hanging="437"/>
        <w:spacing w:after="0" w:line="237" w:lineRule="auto"/>
        <w:tabs>
          <w:tab w:leader="none" w:pos="7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Long Term Counterparty Credit Rating and Subordinated Debt ratings of Ocwen Federal Bank FSB were changed from BB- to B+ and from B to B-, respectively.</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its press release, Standard &amp; Poor's stated that the ratings actions were in response to the $50,198 loss we reported for the second quarter of 2002 and concern over the continuing risk associated with our remaining non-core assets. The second quarter 2002 loss was principally caused by additional reserves and impairment charges on non-core assets. This ratings action had no specific negative consequence to us. However, additional negative ratings actions may be damaging to our ability to attract new customers for our products</w:t>
      </w:r>
    </w:p>
    <w:p>
      <w:pPr>
        <w:sectPr>
          <w:pgSz w:w="11900" w:h="16838" w:orient="portrait"/>
          <w:cols w:equalWidth="0" w:num="1">
            <w:col w:w="10219"/>
          </w:cols>
          <w:pgMar w:left="240" w:top="627" w:right="1440" w:bottom="0" w:gutter="0" w:footer="0" w:header="0"/>
        </w:sectPr>
      </w:pPr>
    </w:p>
    <w:bookmarkStart w:id="95" w:name="page96"/>
    <w:bookmarkEnd w:id="95"/>
    <w:p>
      <w:pPr>
        <w:ind w:right="3439"/>
        <w:spacing w:after="0" w:line="235" w:lineRule="auto"/>
        <w:rPr>
          <w:sz w:val="20"/>
          <w:szCs w:val="20"/>
          <w:color w:val="auto"/>
        </w:rPr>
      </w:pPr>
      <w:r>
        <w:rPr>
          <w:rFonts w:ascii="Courier New" w:cs="Courier New" w:eastAsia="Courier New" w:hAnsi="Courier New"/>
          <w:sz w:val="15"/>
          <w:szCs w:val="15"/>
          <w:color w:val="auto"/>
        </w:rPr>
        <w:t>and services, as well as our ability to obtain new sources and renew existing sources of funding.</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141" w:right="1440" w:bottom="1440" w:gutter="0" w:footer="0" w:header="0"/>
        </w:sectPr>
      </w:pPr>
    </w:p>
    <w:bookmarkStart w:id="96" w:name="page97"/>
    <w:bookmarkEnd w:id="96"/>
    <w:p>
      <w:pPr>
        <w:ind w:right="46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Commitments. At December 31, 2002, we had $346 of commitments related to the funding of construction loans (including loans accounted for as investments in real estate). We believe that we have adequate resources to fund all such unfunded commitments to the extent required and that substantially all of such unfunded commitments will be funded during 2003. See Note 30 to our Consolidated Financial Statements.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Off-Balance Sheet Risks. In addition to commitments to extend credit, we are party to various off-balance sheet financial instruments in the normal course of our business to manage our interest rate risk and foreign currency exchange rate risk. See Note 21 to our Consolidated Financial Statements and "Asset and Liability Management" above.</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and Other Requirements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See Note 23 to our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5" w:lineRule="exact"/>
        <w:rPr>
          <w:sz w:val="20"/>
          <w:szCs w:val="20"/>
          <w:color w:val="auto"/>
        </w:rPr>
      </w:pPr>
    </w:p>
    <w:p>
      <w:pPr>
        <w:jc w:val="both"/>
        <w:ind w:right="3699" w:firstLine="793"/>
        <w:spacing w:after="0" w:line="265" w:lineRule="auto"/>
        <w:rPr>
          <w:sz w:val="20"/>
          <w:szCs w:val="20"/>
          <w:color w:val="auto"/>
        </w:rPr>
      </w:pPr>
      <w:r>
        <w:rPr>
          <w:rFonts w:ascii="Courier New" w:cs="Courier New" w:eastAsia="Courier New" w:hAnsi="Courier New"/>
          <w:sz w:val="14"/>
          <w:szCs w:val="14"/>
          <w:color w:val="auto"/>
        </w:rPr>
        <w:t>For information relating to the effects of our adoption of recent accounting standards, see Note 1 to our Consolidated Financial Statements.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7" w:right="1440" w:bottom="1440" w:gutter="0" w:footer="0" w:header="0"/>
        </w:sectPr>
      </w:pPr>
    </w:p>
    <w:bookmarkStart w:id="97" w:name="page98"/>
    <w:bookmarkEnd w:id="97"/>
    <w:p>
      <w:pPr>
        <w:ind w:left="1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346" w:lineRule="exact"/>
        <w:rPr>
          <w:sz w:val="20"/>
          <w:szCs w:val="20"/>
          <w:color w:val="auto"/>
        </w:rPr>
      </w:pPr>
    </w:p>
    <w:p>
      <w:pPr>
        <w:ind w:left="350" w:right="343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regarding the benefits of cost saving opportunities and quality workforce in India,</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for staff reduction in the United States and growth in our India workforce,</w:t>
      </w:r>
    </w:p>
    <w:p>
      <w:pPr>
        <w:spacing w:after="0" w:line="175" w:lineRule="exact"/>
        <w:rPr>
          <w:rFonts w:ascii="Courier New" w:cs="Courier New" w:eastAsia="Courier New" w:hAnsi="Courier New"/>
          <w:sz w:val="15"/>
          <w:szCs w:val="15"/>
          <w:color w:val="auto"/>
        </w:rPr>
      </w:pPr>
    </w:p>
    <w:p>
      <w:pPr>
        <w:ind w:left="350" w:right="423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as to the potential business opportunities in global outsourcing,</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regarding sales of our commercial and affordable housing assets, and</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intentions related to the issuance of brokered deposits and other sources of financing.</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73" w:lineRule="exact"/>
        <w:rPr>
          <w:sz w:val="20"/>
          <w:szCs w:val="20"/>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9"/>
          </w:cols>
          <w:pgMar w:left="230" w:top="622" w:right="1440" w:bottom="1440" w:gutter="0" w:footer="0" w:header="0"/>
        </w:sectPr>
      </w:pPr>
    </w:p>
    <w:bookmarkStart w:id="98" w:name="page99"/>
    <w:bookmarkEnd w:id="98"/>
    <w:p>
      <w:pPr>
        <w:spacing w:after="0"/>
        <w:tabs>
          <w:tab w:leader="none" w:pos="4640" w:val="left"/>
        </w:tabs>
        <w:rPr>
          <w:sz w:val="20"/>
          <w:szCs w:val="20"/>
          <w:color w:val="auto"/>
        </w:rPr>
      </w:pPr>
      <w:r>
        <w:rPr>
          <w:rFonts w:ascii="Courier New" w:cs="Courier New" w:eastAsia="Courier New" w:hAnsi="Courier New"/>
          <w:sz w:val="15"/>
          <w:szCs w:val="15"/>
          <w:color w:val="auto"/>
        </w:rPr>
        <w:t>[OCWEN LOGO]</w:t>
      </w:r>
      <w:r>
        <w:rPr>
          <w:sz w:val="20"/>
          <w:szCs w:val="20"/>
          <w:color w:val="auto"/>
        </w:rPr>
        <w:tab/>
      </w:r>
      <w:r>
        <w:rPr>
          <w:rFonts w:ascii="Courier New" w:cs="Courier New" w:eastAsia="Courier New" w:hAnsi="Courier New"/>
          <w:sz w:val="14"/>
          <w:szCs w:val="14"/>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management of Ocwen Financial Corporation is responsible for the accompanying consolidated financial statements, which have been prepared in conformity with accounting principles generally accepted in the United States of America applied on a consistent basis. In preparing the financial statements, it is necessary for management to make informed judgments and best estimates giving due consideration to materiality. In the opinion of management, the consolidated financial statements fairly reflect our financial position and results of operations. Information, both financial and non-financial, presented elsewhere in this annual report is consistent with that in the consolidated financial statements.</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To ensure that the financial statements are reliable, the Company established and maintains an effective system of internal accounting controls and procedures that provide reasonable assurance that assets are safeguarded and transactions are properly recorded and executed in accordance with corporate policy and management authorization. The Company believes its accounting controls provide reasonable assurance that errors or irregularities, which could be material to the financial statements, are prevented or would be detected within a timely period and corrected in the normal course of business.</w:t>
      </w:r>
    </w:p>
    <w:p>
      <w:pPr>
        <w:spacing w:after="0" w:line="167"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PricewaterhouseCoopers LLP was engaged to perform an audit of the consolidated financial statements in accordance with auditing standards generally accepted in the United States of America. Such standards include the evaluation of our accounting policies and procedures and the effectiveness of the related internal control system to determine the nature, timing and extent of their audit procedures. In addition to the use of independent certified public accountants, the Company maintains a professional staff of internal auditors who conduct financial, procedural and special audits and make recommendations on both administrative and accounting controls.</w:t>
      </w:r>
    </w:p>
    <w:p>
      <w:pPr>
        <w:spacing w:after="0" w:line="16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Audit Committee of the Board of Directors is comprised solely of independent directors and is responsible for overseeing and monitoring the quality of our accounting and auditing practices. The independent accountants and internal auditors have direct access to the Audit Committee and meet periodically with the committee to discuss the scope and results of their work, the adequacy of internal accounting controls and financial reporting matters.</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William C. Erbey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Mark S. Zeidman</w:t>
      </w:r>
    </w:p>
    <w:p>
      <w:pPr>
        <w:spacing w:after="0" w:line="175" w:lineRule="exact"/>
        <w:rPr>
          <w:sz w:val="20"/>
          <w:szCs w:val="20"/>
          <w:color w:val="auto"/>
        </w:rPr>
      </w:pPr>
    </w:p>
    <w:p>
      <w:pPr>
        <w:sectPr>
          <w:pgSz w:w="11900" w:h="16838" w:orient="portrait"/>
          <w:cols w:equalWidth="0" w:num="2">
            <w:col w:w="4040" w:space="720"/>
            <w:col w:w="5459"/>
          </w:cols>
          <w:pgMar w:left="240" w:top="622"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Mark S. Zeidman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69" w:lineRule="exact"/>
        <w:rPr>
          <w:sz w:val="20"/>
          <w:szCs w:val="20"/>
          <w:color w:val="auto"/>
        </w:rPr>
      </w:pPr>
    </w:p>
    <w:p>
      <w:pPr>
        <w:sectPr>
          <w:pgSz w:w="11900" w:h="16838" w:orient="portrait"/>
          <w:cols w:equalWidth="0" w:num="2">
            <w:col w:w="4040" w:space="720"/>
            <w:col w:w="5459"/>
          </w:cols>
          <w:pgMar w:left="240" w:top="62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2" w:right="1440" w:bottom="1440" w:gutter="0" w:footer="0" w:header="0"/>
          <w:type w:val="continuous"/>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PRICEWATERHOUSECOOPERS LLP [GRAPHIC LOGO OMITTED]</w:t>
      </w:r>
    </w:p>
    <w:p>
      <w:pPr>
        <w:ind w:left="4760"/>
        <w:spacing w:after="0"/>
        <w:rPr>
          <w:sz w:val="20"/>
          <w:szCs w:val="20"/>
          <w:color w:val="auto"/>
        </w:rPr>
      </w:pPr>
      <w:r>
        <w:rPr>
          <w:rFonts w:ascii="Courier New" w:cs="Courier New" w:eastAsia="Courier New" w:hAnsi="Courier New"/>
          <w:sz w:val="15"/>
          <w:szCs w:val="15"/>
          <w:color w:val="auto"/>
        </w:rPr>
        <w:t>222 Lakeview Avenue</w:t>
      </w:r>
    </w:p>
    <w:p>
      <w:pPr>
        <w:ind w:left="4760"/>
        <w:spacing w:after="0"/>
        <w:rPr>
          <w:sz w:val="20"/>
          <w:szCs w:val="20"/>
          <w:color w:val="auto"/>
        </w:rPr>
      </w:pPr>
      <w:r>
        <w:rPr>
          <w:rFonts w:ascii="Courier New" w:cs="Courier New" w:eastAsia="Courier New" w:hAnsi="Courier New"/>
          <w:sz w:val="15"/>
          <w:szCs w:val="15"/>
          <w:color w:val="auto"/>
        </w:rPr>
        <w:t>Suite 360</w:t>
      </w:r>
    </w:p>
    <w:p>
      <w:pPr>
        <w:ind w:left="4760"/>
        <w:spacing w:after="0" w:line="238" w:lineRule="auto"/>
        <w:rPr>
          <w:sz w:val="20"/>
          <w:szCs w:val="20"/>
          <w:color w:val="auto"/>
        </w:rPr>
      </w:pPr>
      <w:r>
        <w:rPr>
          <w:rFonts w:ascii="Courier New" w:cs="Courier New" w:eastAsia="Courier New" w:hAnsi="Courier New"/>
          <w:sz w:val="15"/>
          <w:szCs w:val="15"/>
          <w:color w:val="auto"/>
        </w:rPr>
        <w:t>West Palm Beach, FL 33401</w:t>
      </w:r>
    </w:p>
    <w:tbl>
      <w:tblPr>
        <w:tblLayout w:type="fixed"/>
        <w:tblInd w:w="476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832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0038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Facsimile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805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8181</w:t>
            </w:r>
          </w:p>
        </w:tc>
      </w:tr>
    </w:tbl>
    <w:p>
      <w:pPr>
        <w:spacing w:after="0" w:line="200" w:lineRule="exact"/>
        <w:rPr>
          <w:sz w:val="20"/>
          <w:szCs w:val="20"/>
          <w:color w:val="auto"/>
        </w:rPr>
      </w:pPr>
    </w:p>
    <w:p>
      <w:pPr>
        <w:spacing w:after="0" w:line="30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175"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In our opinion, the accompanying consolidated statements of financial condition and the related consolidated statements of operations, of comprehensive income, of changes in stockholders' equity and of cash flows present fairly, in all material respects, the financial position of Ocwen Financial Corporation (the "Company") and its subsidiaries at December 31, 2002 and 2001, and the results of their operations and their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As discussed in Note 1 to the consolidated financial statements, on January 1, 2002, the Company changed its method of accounting for goodwill and intangible assets in accordance with Statement of Financial Accounting Standards No. 142, "Goodwill and Other Intangible Assets."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West Palm Beach, Florida</w:t>
      </w:r>
    </w:p>
    <w:p>
      <w:pPr>
        <w:spacing w:after="0"/>
        <w:rPr>
          <w:sz w:val="20"/>
          <w:szCs w:val="20"/>
          <w:color w:val="auto"/>
        </w:rPr>
      </w:pPr>
      <w:r>
        <w:rPr>
          <w:rFonts w:ascii="Courier New" w:cs="Courier New" w:eastAsia="Courier New" w:hAnsi="Courier New"/>
          <w:sz w:val="15"/>
          <w:szCs w:val="15"/>
          <w:color w:val="auto"/>
        </w:rPr>
        <w:t>March 11, 2003</w:t>
      </w:r>
    </w:p>
    <w:p>
      <w:pPr>
        <w:ind w:left="3420"/>
        <w:spacing w:after="0" w:line="238" w:lineRule="auto"/>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22" w:right="1440" w:bottom="1440" w:gutter="0" w:footer="0" w:header="0"/>
        </w:sectPr>
      </w:pPr>
    </w:p>
    <w:bookmarkStart w:id="100" w:name="page101"/>
    <w:bookmarkEnd w:id="100"/>
    <w:p>
      <w:pPr>
        <w:jc w:val="center"/>
        <w:ind w:right="40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60"/>
        <w:spacing w:after="0"/>
        <w:rPr>
          <w:sz w:val="20"/>
          <w:szCs w:val="20"/>
          <w:color w:val="auto"/>
        </w:rPr>
      </w:pPr>
      <w:r>
        <w:rPr>
          <w:rFonts w:ascii="Courier New" w:cs="Courier New" w:eastAsia="Courier New" w:hAnsi="Courier New"/>
          <w:sz w:val="15"/>
          <w:szCs w:val="15"/>
          <w:color w:val="auto"/>
        </w:rPr>
        <w:t>CONSOLIDATED STATEMENTS OF FINANCIAL CONDITION</w:t>
      </w:r>
    </w:p>
    <w:tbl>
      <w:tblPr>
        <w:tblLayout w:type="fixed"/>
        <w:tblInd w:w="0" w:type="dxa"/>
        <w:tblCellMar>
          <w:top w:w="0" w:type="dxa"/>
          <w:left w:w="0" w:type="dxa"/>
          <w:bottom w:w="0" w:type="dxa"/>
          <w:right w:w="0" w:type="dxa"/>
        </w:tblCellMar>
      </w:tblPr>
      <w:tr>
        <w:trPr>
          <w:trHeight w:val="169"/>
        </w:trPr>
        <w:tc>
          <w:tcPr>
            <w:tcW w:w="7660" w:type="dxa"/>
            <w:vAlign w:val="bottom"/>
          </w:tcPr>
          <w:p>
            <w:pPr>
              <w:ind w:left="1760"/>
              <w:spacing w:after="0"/>
              <w:rPr>
                <w:sz w:val="20"/>
                <w:szCs w:val="20"/>
                <w:color w:val="auto"/>
              </w:rPr>
            </w:pPr>
            <w:r>
              <w:rPr>
                <w:rFonts w:ascii="Courier New" w:cs="Courier New" w:eastAsia="Courier New" w:hAnsi="Courier New"/>
                <w:sz w:val="15"/>
                <w:szCs w:val="15"/>
                <w:color w:val="auto"/>
              </w:rPr>
              <w:t>(Dollars in thousands, except share data)</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8"/>
        </w:trPr>
        <w:tc>
          <w:tcPr>
            <w:tcW w:w="7660" w:type="dxa"/>
            <w:vAlign w:val="bottom"/>
          </w:tcPr>
          <w:p>
            <w:pPr>
              <w:spacing w:after="0"/>
              <w:rPr>
                <w:sz w:val="24"/>
                <w:szCs w:val="24"/>
                <w:color w:val="auto"/>
              </w:rPr>
            </w:pPr>
          </w:p>
        </w:tc>
        <w:tc>
          <w:tcPr>
            <w:tcW w:w="18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31, 2002</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2001</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Cash and amounts due from depository institutions..................................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76,598</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23,081</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Interest earning deposits..........................................................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30,649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111,574</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Federal funds sold and repurchase agreements.......................................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126,000</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Trading securities, at fair value</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Collateralized mortgage obligations (AAA-rated) and U.S. Treasury notes.........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21,556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161,191</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Subordinates and residuals......................................................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37,339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65,058</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Real estate held for sale..........................................................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13,418</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Investment in real estate..........................................................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58,676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116,896</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Affordable housing properties......................................................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15,319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102,069</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Loans,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76,857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185,293</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Match funded assets................................................................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167,744</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174,351</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Real estate owned,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62,039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110,465</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Premises and equipment,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44,268</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44,589</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Income taxes receivable............................................................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20,841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20,842</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Advances on loans and loans serviced for others....................................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266,356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283,183</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Mortgage servicing rights..........................................................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171,611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101,107</w:t>
            </w: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87,389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72,033</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1,222,242</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1,711,150</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Liabilities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Deposits........................................................................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425,970</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656,878</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Escrow deposits on loans and loans serviced for others..........................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84,986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73,565</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Securities sold under agreements to repurchase..................................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79,405</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Bonds - match funded agreements.................................................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147,071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156,908</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Obligations outstanding under lines of credit...................................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78,511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84,304</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Notes, debentures and other interest-bearing obligations........................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81,210</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160,305</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Accrued interest payable........................................................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12,836</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Excess of net assets acquired over purchase price...............................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18,333</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Accrued expenses, payables and other liabilities................................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28,314</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28,351</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853,497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1,270,885</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Minority interest in subsidiaries..................................................</w:t>
            </w:r>
          </w:p>
        </w:tc>
        <w:tc>
          <w:tcPr>
            <w:tcW w:w="8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1,778</w:t>
            </w:r>
          </w:p>
        </w:tc>
        <w:tc>
          <w:tcPr>
            <w:tcW w:w="5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Company obligated, mandatorily redeemable securities of subsidiary trust holding</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solely junior subordinated debentures of the Company............................</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56,249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61,159</w:t>
            </w:r>
          </w:p>
        </w:tc>
      </w:tr>
      <w:tr>
        <w:trPr>
          <w:trHeight w:val="50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Commitments and contingencies (Note 28)</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20,000,000 shares authorized; 0 shares issued</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outstanding..............................................................</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 200,000,000 shares authorized; 67,339,773 and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660" w:type="dxa"/>
            <w:vAlign w:val="bottom"/>
          </w:tcPr>
          <w:p>
            <w:pPr>
              <w:ind w:left="700"/>
              <w:spacing w:after="0"/>
              <w:rPr>
                <w:sz w:val="20"/>
                <w:szCs w:val="20"/>
                <w:color w:val="auto"/>
              </w:rPr>
            </w:pPr>
            <w:r>
              <w:rPr>
                <w:rFonts w:ascii="Courier New" w:cs="Courier New" w:eastAsia="Courier New" w:hAnsi="Courier New"/>
                <w:sz w:val="15"/>
                <w:szCs w:val="15"/>
                <w:color w:val="auto"/>
              </w:rPr>
              <w:t>67,289,313 shares issued and outstanding at December 31, 2002 and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 2001, respectively..............................................</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673</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Additional paid-in capital......................................................</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224,454</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224,142</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Retained earnings...............................................................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85,637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154,412</w:t>
            </w:r>
          </w:p>
        </w:tc>
      </w:tr>
      <w:tr>
        <w:trPr>
          <w:trHeight w:val="170"/>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 (loss), net of taxes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unrealized foreign currency translation gain (loss).......................</w:t>
            </w:r>
          </w:p>
        </w:tc>
        <w:tc>
          <w:tcPr>
            <w:tcW w:w="80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w:t>
            </w: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stockholders' equity..................................................</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310,718</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379,106</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6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1,222,242</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1,711,150</w:t>
            </w:r>
          </w:p>
        </w:tc>
      </w:tr>
      <w:tr>
        <w:trPr>
          <w:trHeight w:val="170"/>
        </w:trPr>
        <w:tc>
          <w:tcPr>
            <w:tcW w:w="766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1100"/>
          </w:cols>
          <w:pgMar w:left="240" w:top="622" w:right="559" w:bottom="1440" w:gutter="0" w:footer="0" w:header="0"/>
        </w:sectPr>
      </w:pPr>
    </w:p>
    <w:bookmarkStart w:id="101" w:name="page102"/>
    <w:bookmarkEnd w:id="101"/>
    <w:p>
      <w:pPr>
        <w:jc w:val="center"/>
        <w:ind w:right="36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40"/>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54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8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6300" w:type="dxa"/>
            <w:vAlign w:val="bottom"/>
          </w:tcPr>
          <w:p>
            <w:pPr>
              <w:spacing w:after="0"/>
              <w:rPr>
                <w:sz w:val="14"/>
                <w:szCs w:val="14"/>
                <w:color w:val="auto"/>
              </w:rPr>
            </w:pPr>
          </w:p>
        </w:tc>
        <w:tc>
          <w:tcPr>
            <w:tcW w:w="43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Income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83,371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184,816</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Expense...........................................................</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55,762</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93,329</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169,090</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(18,527)</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(9,958)</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15,726</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Provision for loan losses.........................................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13,629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15,666</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15,177</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interest income (expense) after provision for loan losses.....</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(32,156)</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(25,624)</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549</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Servicing and other fees..........................................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141,991</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134,597</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97,080</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Gain (loss) on interest earning assets, net.......................</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(3,485)</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(3,949)</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17,625</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Gain (loss) on trading and match funded securities, net...........</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7,012</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16,330</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(3,971)</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Impairment charges on securities available for sale...............</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(11,597)</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Loss on real estate owned, net....................................</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(15,719)</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(9,256)</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(14,904)</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Gain (loss) on other non-interest earning assets, net.............</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1,122</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(1,054)</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45,517</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operating gains (losses) on investments in real estate........</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(8,315)</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5,581</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27,579</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excess of net assets acquired over purchase price.</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18,333</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14,112</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Gain (loss) on repurchase of debt.................................</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(1,461)</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3,774</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29,703</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Equity in income (losses) of investments in unconsolidated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entities.......................................................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(5,249)</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Other income......................................................</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13,115</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8,759</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134,475</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173,419</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201,979</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Compensation and employee benefits................................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77,778</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84,914</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83,086</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Occupancy and equipment...........................................</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11,843</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11,577</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12,005</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Technology and communication costs................................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25,270</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26,768</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23,876</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Loan expenses.....................................................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12,605</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15,811</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13,051</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losses on investments in certain</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affordable housing properties..................................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22,360</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16,580</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9,931</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Amortization/writeoff of excess of purchase price over</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rPr>
              <w:t>net assets acquired............................................</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2,231</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3,112</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3,124</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Professional services and regulatory fees.........................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16,383</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14,749</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12,829</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Other operating expenses..........................................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9,619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8,935</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12,107</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178,089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182,446</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170,009</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Distributions on Company-obligated, mandatorily redeemable</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securities of subsidiary trust holding solely junior</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subordinated debentures of the Company............................</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6,287</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7,131</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11,380</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effect of change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in accounting principle...........................................</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(82,057)</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(41,782)</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21,139</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Minority interest in net loss of consolidated subsidiary.............</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2,983</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83,000</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Income (loss) before effect of change in accounting principle.....</w:t>
            </w:r>
          </w:p>
        </w:tc>
        <w:tc>
          <w:tcPr>
            <w:tcW w:w="3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(84,941)</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(124,782)</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Effect of change in accounting principle, net of taxes...............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16,166</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(124,782)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3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before effect of change in accounting principle.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Effect of change in accounting principle, net of taxes............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before effect of change in accounting principle.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Effect of change in accounting principles.........................</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300" w:type="dxa"/>
            <w:vAlign w:val="bottom"/>
          </w:tcPr>
          <w:p>
            <w:pPr>
              <w:spacing w:after="0"/>
              <w:rPr>
                <w:sz w:val="14"/>
                <w:szCs w:val="14"/>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67,321,299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67,227,058</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67,427,662</w:t>
            </w:r>
          </w:p>
        </w:tc>
      </w:t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67,321,299</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67,227,058</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67,464,043</w:t>
            </w:r>
          </w:p>
        </w:tc>
      </w:tr>
    </w:tbl>
    <w:p>
      <w:pPr>
        <w:spacing w:after="0" w:line="33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6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660"/>
          </w:cols>
          <w:pgMar w:left="240" w:top="622" w:right="999" w:bottom="226" w:gutter="0" w:footer="0" w:header="0"/>
        </w:sectPr>
      </w:pPr>
    </w:p>
    <w:bookmarkStart w:id="102" w:name="page103"/>
    <w:bookmarkEnd w:id="102"/>
    <w:p>
      <w:pPr>
        <w:ind w:left="159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490"/>
        <w:spacing w:after="0"/>
        <w:rPr>
          <w:sz w:val="20"/>
          <w:szCs w:val="20"/>
          <w:color w:val="auto"/>
        </w:rPr>
      </w:pPr>
      <w:r>
        <w:rPr>
          <w:rFonts w:ascii="Courier New" w:cs="Courier New" w:eastAsia="Courier New" w:hAnsi="Courier New"/>
          <w:sz w:val="15"/>
          <w:szCs w:val="15"/>
          <w:color w:val="auto"/>
        </w:rPr>
        <w:t>CONSOLIDATED STATEMENTS OF COMPREHENSIVE INCOME</w:t>
      </w:r>
    </w:p>
    <w:tbl>
      <w:tblPr>
        <w:tblLayout w:type="fixed"/>
        <w:tblInd w:w="10" w:type="dxa"/>
        <w:tblCellMar>
          <w:top w:w="0" w:type="dxa"/>
          <w:left w:w="0" w:type="dxa"/>
          <w:bottom w:w="0" w:type="dxa"/>
          <w:right w:w="0" w:type="dxa"/>
        </w:tblCellMar>
      </w:tblPr>
      <w:tr>
        <w:trPr>
          <w:trHeight w:val="169"/>
        </w:trPr>
        <w:tc>
          <w:tcPr>
            <w:tcW w:w="6420" w:type="dxa"/>
            <w:vAlign w:val="bottom"/>
          </w:tcPr>
          <w:p>
            <w:pPr>
              <w:ind w:left="2540"/>
              <w:spacing w:after="0"/>
              <w:rPr>
                <w:sz w:val="20"/>
                <w:szCs w:val="20"/>
                <w:color w:val="auto"/>
              </w:rPr>
            </w:pPr>
            <w:r>
              <w:rPr>
                <w:rFonts w:ascii="Courier New" w:cs="Courier New" w:eastAsia="Courier New" w:hAnsi="Courier New"/>
                <w:sz w:val="15"/>
                <w:szCs w:val="15"/>
                <w:color w:val="auto"/>
              </w:rPr>
              <w:t>(Dollars in thousands)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Years Ended December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31,</w:t>
            </w:r>
          </w:p>
        </w:tc>
        <w:tc>
          <w:tcPr>
            <w:tcW w:w="800" w:type="dxa"/>
            <w:vAlign w:val="bottom"/>
          </w:tcPr>
          <w:p>
            <w:pPr>
              <w:spacing w:after="0"/>
              <w:rPr>
                <w:sz w:val="24"/>
                <w:szCs w:val="24"/>
                <w:color w:val="auto"/>
              </w:rPr>
            </w:pPr>
          </w:p>
        </w:tc>
      </w:tr>
      <w:tr>
        <w:trPr>
          <w:trHeight w:val="170"/>
        </w:trPr>
        <w:tc>
          <w:tcPr>
            <w:tcW w:w="6420" w:type="dxa"/>
            <w:vAlign w:val="bottom"/>
          </w:tcPr>
          <w:p>
            <w:pPr>
              <w:spacing w:after="0"/>
              <w:rPr>
                <w:sz w:val="14"/>
                <w:szCs w:val="14"/>
                <w:color w:val="auto"/>
              </w:rPr>
            </w:pPr>
          </w:p>
        </w:tc>
        <w:tc>
          <w:tcPr>
            <w:tcW w:w="45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4"/>
                <w:szCs w:val="14"/>
                <w:color w:val="auto"/>
              </w:rPr>
            </w:pP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642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income (loss).....................................................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(68,775)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(124,782)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42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net of taxes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Change in unrealized gain on securities available for sale arising</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during the year...................................................</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Less Reclassification adjustment....................................</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Net change in unrealized gain on securities available for</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sale (net of tax benefit of $122 for 2000).....................</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Change in unrealized foreign currency translation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adjustment arising during the year................................</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Less Reclassification adjustment for losses on foreign currency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translation adjustment included in net income.....................</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Net change in unrealized foreign currency translation loss (net of</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tax benefit (expense) of $(45), $284 and $(627) for 2002, 2001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 respectively)...............................................</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comprehensive income (loss)...................................</w:t>
            </w:r>
          </w:p>
        </w:tc>
        <w:tc>
          <w:tcPr>
            <w:tcW w:w="62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983</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Comprehensive income (loss)...........................................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(68,700)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(125,300)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3,175</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Disclosure of reclassification adjustment</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Unrealized holding gains arising during the year 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 sold or impaired.......................................</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(7,394)</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Add Adjustment for realized losses and impairment charges on</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 available for sale included in net income..............</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7,231</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Net reclassification adjustment for gains recognized in other</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comprehensive income (loss) in prior years (net of tax benefit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$122 for 2000) (1)............................................</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Unrealized foreign currency translation adjustment arising during</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the year..........................................................</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Add Adjustment for realized foreign currency losses on the sale of</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the equity investment in a foreign entity and foreign subsidiary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2000...........................................................</w:t>
            </w:r>
          </w:p>
        </w:tc>
        <w:tc>
          <w:tcPr>
            <w:tcW w:w="6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888</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Net reclassification adjustment for foreign currency losses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recognized in other comprehensive income (loss) in prior years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of tax benefit of $408 for 2000).............................</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w:t>
            </w:r>
          </w:p>
        </w:tc>
      </w:tr>
      <w:tr>
        <w:trPr>
          <w:trHeight w:val="170"/>
        </w:trPr>
        <w:tc>
          <w:tcPr>
            <w:tcW w:w="642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240" w:hanging="790"/>
        <w:spacing w:after="0" w:line="235" w:lineRule="auto"/>
        <w:tabs>
          <w:tab w:leader="none" w:pos="79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2000, includes the adjustment related to the reclassification of securities available for sale to trading securities.</w:t>
      </w:r>
    </w:p>
    <w:p>
      <w:pPr>
        <w:spacing w:after="0" w:line="170"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87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930"/>
          </w:cols>
          <w:pgMar w:left="230" w:top="622" w:right="739" w:bottom="1440" w:gutter="0" w:footer="0" w:header="0"/>
        </w:sectPr>
      </w:pPr>
    </w:p>
    <w:bookmarkStart w:id="103" w:name="page104"/>
    <w:bookmarkEnd w:id="103"/>
    <w:p>
      <w:pPr>
        <w:jc w:val="center"/>
        <w:ind w:right="39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6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3960"/>
        <w:spacing w:after="0"/>
        <w:rPr>
          <w:sz w:val="20"/>
          <w:szCs w:val="20"/>
          <w:color w:val="auto"/>
        </w:rPr>
      </w:pPr>
      <w:r>
        <w:rPr>
          <w:rFonts w:ascii="Courier New" w:cs="Courier New" w:eastAsia="Courier New" w:hAnsi="Courier New"/>
          <w:sz w:val="15"/>
          <w:szCs w:val="15"/>
          <w:color w:val="auto"/>
        </w:rPr>
        <w:t>FOR THE YEARS ENDED DECEMBER 31, 2002, 2001 and 2000</w:t>
      </w:r>
    </w:p>
    <w:tbl>
      <w:tblPr>
        <w:tblLayout w:type="fixed"/>
        <w:tblInd w:w="0" w:type="dxa"/>
        <w:tblCellMar>
          <w:top w:w="0" w:type="dxa"/>
          <w:left w:w="0" w:type="dxa"/>
          <w:bottom w:w="0" w:type="dxa"/>
          <w:right w:w="0" w:type="dxa"/>
        </w:tblCellMar>
      </w:tblPr>
      <w:tr>
        <w:trPr>
          <w:trHeight w:val="169"/>
        </w:trPr>
        <w:tc>
          <w:tcPr>
            <w:tcW w:w="5540" w:type="dxa"/>
            <w:vAlign w:val="bottom"/>
            <w:gridSpan w:val="2"/>
          </w:tcPr>
          <w:p>
            <w:pPr>
              <w:ind w:left="1760"/>
              <w:spacing w:after="0" w:line="169" w:lineRule="exact"/>
              <w:rPr>
                <w:sz w:val="20"/>
                <w:szCs w:val="20"/>
                <w:color w:val="auto"/>
              </w:rPr>
            </w:pPr>
            <w:r>
              <w:rPr>
                <w:rFonts w:ascii="Courier New" w:cs="Courier New" w:eastAsia="Courier New" w:hAnsi="Courier New"/>
                <w:sz w:val="15"/>
                <w:szCs w:val="15"/>
                <w:color w:val="auto"/>
              </w:rPr>
              <w:t>(Dollars in thousands, except share data)</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8"/>
        </w:trPr>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Accumulated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102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Comprehensive</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Paid-in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Retained</w:t>
            </w:r>
          </w:p>
        </w:tc>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Income (Loss),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Earnings</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Net of Taxes</w:t>
            </w:r>
          </w:p>
        </w:tc>
        <w:tc>
          <w:tcPr>
            <w:tcW w:w="28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1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68,571,575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$ 232,340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$ 277,002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509,442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Repurchase and retirement of common stock....</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(1,427,747)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(9,233)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(9,247)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gain on securities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available for sale.....................</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loss.......................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1,146</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41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Balances at December 31, 2000................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67,152,363</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223,163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279,194</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503,426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(124,782)</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(124,782)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128,155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accounting principle for</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derivative financial instruments.......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of gain on derivative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financial instruments to earnings......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gain.......................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70"/>
        </w:trPr>
        <w:tc>
          <w:tcPr>
            <w:tcW w:w="41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Balances at December 31, 2001................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67,289,313</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224,142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154,412</w:t>
            </w:r>
          </w:p>
        </w:tc>
        <w:tc>
          <w:tcPr>
            <w:tcW w:w="3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379,106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(68,775)</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(68,775)</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32,937</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17,523</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gain.......................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r>
      <w:tr>
        <w:trPr>
          <w:trHeight w:val="170"/>
        </w:trPr>
        <w:tc>
          <w:tcPr>
            <w:tcW w:w="41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Balances at December 31, 2002................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67,339,773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$ 224,454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85,637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310,718</w:t>
            </w:r>
          </w:p>
        </w:tc>
      </w:tr>
      <w:tr>
        <w:trPr>
          <w:trHeight w:val="170"/>
        </w:trPr>
        <w:tc>
          <w:tcPr>
            <w:tcW w:w="414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9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1000"/>
          </w:cols>
          <w:pgMar w:left="240" w:top="622" w:right="659" w:bottom="1440" w:gutter="0" w:footer="0" w:header="0"/>
        </w:sectPr>
      </w:pPr>
    </w:p>
    <w:bookmarkStart w:id="104" w:name="page105"/>
    <w:bookmarkEnd w:id="104"/>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704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7040" w:type="dxa"/>
            <w:vAlign w:val="bottom"/>
          </w:tcPr>
          <w:p>
            <w:pPr>
              <w:spacing w:after="0"/>
              <w:rPr>
                <w:sz w:val="24"/>
                <w:szCs w:val="24"/>
                <w:color w:val="auto"/>
              </w:rPr>
            </w:pPr>
          </w:p>
        </w:tc>
        <w:tc>
          <w:tcPr>
            <w:tcW w:w="406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7040" w:type="dxa"/>
            <w:vAlign w:val="bottom"/>
          </w:tcPr>
          <w:p>
            <w:pPr>
              <w:spacing w:after="0"/>
              <w:rPr>
                <w:sz w:val="14"/>
                <w:szCs w:val="14"/>
                <w:color w:val="auto"/>
              </w:rPr>
            </w:pPr>
          </w:p>
        </w:tc>
        <w:tc>
          <w:tcPr>
            <w:tcW w:w="40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4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(68,775)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(124,782)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(used) by</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4867"/>
              <w:spacing w:after="0"/>
              <w:rPr>
                <w:sz w:val="20"/>
                <w:szCs w:val="20"/>
                <w:color w:val="auto"/>
              </w:rPr>
            </w:pPr>
            <w:r>
              <w:rPr>
                <w:rFonts w:ascii="Courier New" w:cs="Courier New" w:eastAsia="Courier New" w:hAnsi="Courier New"/>
                <w:sz w:val="15"/>
                <w:szCs w:val="15"/>
                <w:color w:val="auto"/>
              </w:rPr>
              <w:t>operating activities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Net cash provided by trading activities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186,511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192,069</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102,091</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Premium amortization (discount accretion) on securities, net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1,469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7,337</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8,493</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Depreciation and amortization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70,040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24,461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17,662</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Effect of change in accounting principle before taxes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Provision for loan losses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13,629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15,666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15,177</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Provision for real estate owned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19,685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17,766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26,674</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on sale of investment in Kensington Group plc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(loss) on interest-earning assets, net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3,485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(17,625)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loss on trading and match funded securities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(16,330)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3,971</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Impairment charges on securities available for 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11,597</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loss on repurchase of debt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1,461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(29,704)</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loss on sale of other non-interest earning assets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(25,492)</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Impairment charges on investment in real estate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15,317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4,515</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704</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Provisions for losses on affordable housing properties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21,294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15,587</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6,448</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Gain (loss) on sale of real estate owned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(14,111)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(22,515)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(Increase) decrease in income taxes receivable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9,419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(30,261)</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(Decrease) in income taxes payable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(6,369)</w:t>
            </w:r>
          </w:p>
        </w:tc>
      </w:tr>
      <w:tr>
        <w:trPr>
          <w:trHeight w:val="170"/>
        </w:trPr>
        <w:tc>
          <w:tcPr>
            <w:tcW w:w="704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advances and match funded advances on</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loans and loans serviced for others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(4,945)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(165,123)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(67,638)</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(Increase) decrease in other assets, net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23,900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99,606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41,124</w:t>
            </w:r>
          </w:p>
        </w:tc>
      </w:tr>
      <w:tr>
        <w:trPr>
          <w:trHeight w:val="170"/>
        </w:trPr>
        <w:tc>
          <w:tcPr>
            <w:tcW w:w="704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accrued expense, interest payable and other</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liabilities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(5,319)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(16,226)</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(39,012)</w:t>
            </w:r>
          </w:p>
        </w:tc>
      </w:tr>
      <w:tr>
        <w:trPr>
          <w:trHeight w:val="170"/>
        </w:trPr>
        <w:tc>
          <w:tcPr>
            <w:tcW w:w="704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cash provided (used) by operating activities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251,350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51,083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(22,508)</w:t>
            </w:r>
          </w:p>
        </w:tc>
      </w:tr>
      <w:tr>
        <w:trPr>
          <w:trHeight w:val="170"/>
        </w:trPr>
        <w:tc>
          <w:tcPr>
            <w:tcW w:w="704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(Continued on next page)</w:t>
      </w:r>
    </w:p>
    <w:p>
      <w:pPr>
        <w:spacing w:after="0" w:line="16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1100"/>
          </w:cols>
          <w:pgMar w:left="240" w:top="622" w:right="559" w:bottom="1440" w:gutter="0" w:footer="0" w:header="0"/>
        </w:sectPr>
      </w:pPr>
    </w:p>
    <w:bookmarkStart w:id="105" w:name="page106"/>
    <w:bookmarkEnd w:id="105"/>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220"/>
        <w:spacing w:after="0"/>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960" w:type="dxa"/>
            <w:vAlign w:val="bottom"/>
          </w:tcPr>
          <w:p>
            <w:pPr>
              <w:spacing w:after="0"/>
              <w:rPr>
                <w:sz w:val="14"/>
                <w:szCs w:val="14"/>
                <w:color w:val="auto"/>
              </w:rPr>
            </w:pPr>
          </w:p>
        </w:tc>
        <w:tc>
          <w:tcPr>
            <w:tcW w:w="6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8"/>
        </w:trPr>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0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6080" w:type="dxa"/>
            <w:vAlign w:val="bottom"/>
          </w:tcPr>
          <w:p>
            <w:pPr>
              <w:jc w:val="right"/>
              <w:ind w:right="3807"/>
              <w:spacing w:after="0"/>
              <w:rPr>
                <w:sz w:val="20"/>
                <w:szCs w:val="20"/>
                <w:color w:val="auto"/>
              </w:rPr>
            </w:pPr>
            <w:r>
              <w:rPr>
                <w:rFonts w:ascii="Courier New" w:cs="Courier New" w:eastAsia="Courier New" w:hAnsi="Courier New"/>
                <w:sz w:val="15"/>
                <w:szCs w:val="15"/>
                <w:color w:val="auto"/>
                <w:w w:val="96"/>
              </w:rPr>
              <w:t>from investing activities</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sales of securities available for 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553,589</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of securities available for 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(896,470)</w:t>
            </w: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Maturities of and principal payments received on securities available for</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416,004</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the sale of investment in Kensington Group plc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48,556</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Principal payments received on match funded loans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16,490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30,552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26,595</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Investment in affordable housing properties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(27,213)</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 of affordable housing properties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25,017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52,076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27,587</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of mortgage servicing rights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(128,891)</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(79,522)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(49,779)</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 of loans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60,118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288,387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315,709</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Principal payments received on loans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45,014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102,071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277,262</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 of real estate held for investment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48,834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14,360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4,237</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Investment in real estate held for investment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(34,057)</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 of real estate held for 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14,087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232,811</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Investment in real estate held for sale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(57,737)</w:t>
            </w: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Purchases, originations and funded commitments of loans held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investment, net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(21,722)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(25,326)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(231,275)</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Capital improvements to real estate owned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(6,775)</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from sale of real estate owned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42,822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108,338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180,473</w:t>
            </w: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of real estate owned in connection with discount loan purchases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(9,059)</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Additions to premises and equipment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(3,272)</w:t>
            </w: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Net cash provided by investing activities ....................................</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75,940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428,415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767,186</w:t>
            </w: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(Continued on next page)</w:t>
      </w:r>
    </w:p>
    <w:p>
      <w:pPr>
        <w:spacing w:after="0" w:line="16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1100"/>
          </w:cols>
          <w:pgMar w:left="240" w:top="622" w:right="559" w:bottom="1440" w:gutter="0" w:footer="0" w:header="0"/>
        </w:sectPr>
      </w:pPr>
    </w:p>
    <w:bookmarkStart w:id="106" w:name="page107"/>
    <w:bookmarkEnd w:id="106"/>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220"/>
        <w:spacing w:after="0"/>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704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7040" w:type="dxa"/>
            <w:vAlign w:val="bottom"/>
          </w:tcPr>
          <w:p>
            <w:pPr>
              <w:spacing w:after="0"/>
              <w:rPr>
                <w:sz w:val="14"/>
                <w:szCs w:val="14"/>
                <w:color w:val="auto"/>
              </w:rPr>
            </w:pPr>
          </w:p>
        </w:tc>
        <w:tc>
          <w:tcPr>
            <w:tcW w:w="40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2002</w:t>
            </w:r>
          </w:p>
        </w:tc>
        <w:tc>
          <w:tcPr>
            <w:tcW w:w="3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040" w:type="dxa"/>
            <w:vAlign w:val="bottom"/>
          </w:tcPr>
          <w:p>
            <w:pPr>
              <w:ind w:left="160"/>
              <w:spacing w:after="0"/>
              <w:rPr>
                <w:sz w:val="20"/>
                <w:szCs w:val="20"/>
                <w:color w:val="auto"/>
              </w:rPr>
            </w:pPr>
            <w:r>
              <w:rPr>
                <w:rFonts w:ascii="Courier New" w:cs="Courier New" w:eastAsia="Courier New" w:hAnsi="Courier New"/>
                <w:sz w:val="15"/>
                <w:szCs w:val="15"/>
                <w:color w:val="auto"/>
              </w:rPr>
              <w:t>Decrease in deposits and escrow deposits on loans and loans serviced for</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others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(216,330)</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(525,476)</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(553,589)</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Proceeds from (repayment of) securities sold under agreement to repurchase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(79,405)</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79,405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(47,365)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(Repayment of) proceeds from obligations under lines of credit, net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(5,793)</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51,371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(155,805)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Proceeds from issuance of bonds - match funded agreements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91,766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Repayments of bonds - match funded agreements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(10,275)</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(43,144)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(33,002)</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Repurchase of notes and subordinated debentures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(79,214)</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(13,233)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(127,649)</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Exercise of common stock options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214</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Issuance of shares of common stock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Repurchase of Capital Securities, net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(3,796)</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(14,247)</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(18,811)</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Repayment of other interest-bearing obligations, net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(1,197)</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Repurchase of common stock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(8,996)</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cash used by financing activities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(395,698)</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(372,579)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(945,161)</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increase (decrease) in cash and cash equivalents .........................</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(68,408)</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106,919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(200,483)</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260,655</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153,736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354,219</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at end of period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192,247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260,655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153,736</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Reconciliation of cash and cash equivalents at end of period</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Cash and amounts due from depository institutions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76,598</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23,081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18,749</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Interest-earning deposits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30,649</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111,574</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134,987</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Federal funds sold and repurchase agreements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85,000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126,000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192,247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260,655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153,736</w:t>
            </w:r>
          </w:p>
        </w:tc>
      </w:tr>
      <w:tr>
        <w:trPr>
          <w:trHeight w:val="170"/>
        </w:trPr>
        <w:tc>
          <w:tcPr>
            <w:tcW w:w="70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Interest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61,163</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75,834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179,564</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Income tax refunds (payments)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2,444</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(14,816)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18,829</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Real estate owned acquired through foreclosure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9,492</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64,041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152,505</w:t>
            </w:r>
          </w:p>
        </w:tc>
      </w:tr>
      <w:tr>
        <w:trPr>
          <w:trHeight w:val="170"/>
        </w:trPr>
        <w:tc>
          <w:tcPr>
            <w:tcW w:w="704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 of properties from investment in real estate to</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real estate held for sale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(7,343)</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174,480</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Reclassification of securities available for sale to trading securities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496,295</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Exchange of note receivable for real estate held for sale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9,153</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19,000</w:t>
            </w:r>
          </w:p>
        </w:tc>
      </w:tr>
      <w:tr>
        <w:trPr>
          <w:trHeight w:val="170"/>
        </w:trPr>
        <w:tc>
          <w:tcPr>
            <w:tcW w:w="7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Accounts receivable from sale of affordable housing properties .............</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44,591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11,427</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1100"/>
          </w:cols>
          <w:pgMar w:left="240" w:top="622" w:right="559" w:bottom="1440" w:gutter="0" w:footer="0" w:header="0"/>
        </w:sectPr>
      </w:pPr>
    </w:p>
    <w:bookmarkStart w:id="107" w:name="page108"/>
    <w:bookmarkEnd w:id="107"/>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Ocwen Financial Corporation ("OCN") is a financial services company whose primary business activities consist of the servicing and resolution of nonconforming, subperforming and nonperforming residential and commercial mortgage loans. We also specialize in the related development of loan servicing technology and software for the mortgage and real estate industries. Our consolidated financial statements include the accounts of OCN and its subsidiaries. We own directly and indirectly all of the outstanding common and preferred stock of our primary subsidiaries, Ocwen Federal Bank FSB (the "Bank"), Investors Mortgage Insurance Holding Company ("IMI"), Ocwen Technology Xchange, Inc. ("OTX"), Ocwen Asset Investment Corp. ("OAC") and Ocwen Financial Solutions Pvt. Ltd. We also own 99.6% of Ocwen Financial Services, Inc. ("OFS"), with the remaining 0.4% owned by the shareholders of Admiral Home Loan. In 2002, we formed Global Servicing Solutions, LLC ("GSS"). We own 70% of GSS with the remaining 30% owned by Merrill Lynch. We have eliminated all significant intercompany transactions and balances in consolidation.</w:t>
      </w:r>
    </w:p>
    <w:p>
      <w:pPr>
        <w:spacing w:after="0" w:line="16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The Bank is a federally chartered savings bank regulated by the Office of Thrift Supervision ("OTS").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75"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Certain amounts included in our 2001 and 2000 consolidated financial statements have been reclassified to conform to the 2002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For purposes of reporting cash flows, our cash and cash equivalents include cash on hand, interest-bearing and non-interest-bearing deposits and all investments in highly liquid debt instruments that we purchased with an original maturity of three months or less. Cash flows associated with items we intended as hedges of identifiable transactions or events are classified in the same category as the cash flows from the items being hedged.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Highly Liquid Investments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short-term highly liquid investments generally consist of federal funds sold and assets we purchased under agreements to resell. We invest in these assets to maximize the return on liquid funds. At December 31, 2002, such investments amounted to $85,000 of federal funds sold which had an overnight maturity. At December 31, 2001, we had $126,000 such investments outstanding. The average balance of our investment in federal funds sold and assets purchased under agreements to resell amounted to $152,588 and $200,329 during 2002 and 2001, respectively.</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Federal Reserve System requires that the Bank maintain non-interest-earning cash reserves against certain of its transaction accounts and time deposit accounts. Such reserves totaled $6,811 and $5,040 at December 31, 2002 and 2001,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report securities in our statement of financial condition at fair value. We determine fair value within a range based on third party dealer quotations, where available, and internal values, subject to an internal review process.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currently account for our securities as trading. For these securities, we reported changes in fair value in income in the period of change. Through September 30, 2000, we accounted for the securities as available for sale, for which we reported the unrealized gains and losses as a separate component of accumulated other comprehensive income in stockholders' equity, subject to an evaluation for other-than-temporary impairment. For each security where we concluded that all or part of the decrease in value was other-than-temporary, we charged such amount to earnings, thereby establishing a new cost basis for the security.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75"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We report loans at amortized cost, less an allowance for loan losses, discounts, deferred loan fees and undisbursed loan funds. We defer loan origination fees and certain direct loan origination costs and recognize them over the lives of the related loans as a yield adjustment that we include in interest income using the interest method applied on a loan-by-loan basis.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22" w:right="1440" w:bottom="1440" w:gutter="0" w:footer="0" w:header="0"/>
        </w:sectPr>
      </w:pPr>
    </w:p>
    <w:bookmarkStart w:id="108" w:name="page109"/>
    <w:bookmarkEnd w:id="108"/>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For loans acquired, we accounted for the initial investment in these pools of loans based upon the pricing methodologies used to bid on the pool. We allocated the acquisition cost to each loan within the pool when we determined the bid price; we made these allocations based upon an analysis of the expected future cash flows of each individual loan. We accounted for the acquisition cost in the aggregate when we determined the bid price using assumptions concerning the expected future cash flows from groups of loans within the pool. For those single family residential mortgage loans that are brought current by the borrower and certain multi-family and commercial real estate loans that are current and that we believe will remain current, we accrete the remaining unamortized discount into interest income as a yield adjustment using the interest method over the contractual maturity of the loan. For all other loans, we report interest as cash is received. We report gains on the repayment and discharging of loans as interest income.</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resolution alternatives applied to loans are:</w:t>
      </w:r>
    </w:p>
    <w:p>
      <w:pPr>
        <w:spacing w:after="0" w:line="175" w:lineRule="exact"/>
        <w:rPr>
          <w:sz w:val="20"/>
          <w:szCs w:val="20"/>
          <w:color w:val="auto"/>
        </w:rPr>
      </w:pPr>
    </w:p>
    <w:p>
      <w:pPr>
        <w:ind w:left="1580" w:right="3799" w:hanging="444"/>
        <w:spacing w:after="0" w:line="235" w:lineRule="auto"/>
        <w:tabs>
          <w:tab w:leader="none" w:pos="15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brings the loan current in accordance with original or modified terms</w:t>
      </w:r>
    </w:p>
    <w:p>
      <w:pPr>
        <w:spacing w:after="0" w:line="170" w:lineRule="exact"/>
        <w:rPr>
          <w:rFonts w:ascii="Courier New" w:cs="Courier New" w:eastAsia="Courier New" w:hAnsi="Courier New"/>
          <w:sz w:val="15"/>
          <w:szCs w:val="15"/>
          <w:color w:val="auto"/>
        </w:rPr>
      </w:pPr>
    </w:p>
    <w:p>
      <w:pPr>
        <w:ind w:left="1580" w:hanging="444"/>
        <w:spacing w:after="0"/>
        <w:tabs>
          <w:tab w:leader="none" w:pos="15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repays the loan or a negotiated amount</w:t>
      </w:r>
    </w:p>
    <w:p>
      <w:pPr>
        <w:spacing w:after="0" w:line="174" w:lineRule="exact"/>
        <w:rPr>
          <w:rFonts w:ascii="Courier New" w:cs="Courier New" w:eastAsia="Courier New" w:hAnsi="Courier New"/>
          <w:sz w:val="15"/>
          <w:szCs w:val="15"/>
          <w:color w:val="auto"/>
        </w:rPr>
      </w:pPr>
    </w:p>
    <w:p>
      <w:pPr>
        <w:ind w:left="1580" w:right="3179" w:hanging="444"/>
        <w:spacing w:after="0" w:line="265" w:lineRule="auto"/>
        <w:tabs>
          <w:tab w:leader="none" w:pos="15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a deed-in-lieu of foreclosure, in which case we classify it as real estate owned and held for sale</w:t>
      </w:r>
    </w:p>
    <w:p>
      <w:pPr>
        <w:spacing w:after="0" w:line="158" w:lineRule="exact"/>
        <w:rPr>
          <w:rFonts w:ascii="Courier New" w:cs="Courier New" w:eastAsia="Courier New" w:hAnsi="Courier New"/>
          <w:sz w:val="14"/>
          <w:szCs w:val="14"/>
          <w:color w:val="auto"/>
        </w:rPr>
      </w:pPr>
    </w:p>
    <w:p>
      <w:pPr>
        <w:ind w:left="1580" w:right="3259" w:hanging="444"/>
        <w:spacing w:after="0" w:line="260" w:lineRule="auto"/>
        <w:tabs>
          <w:tab w:leader="none" w:pos="15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foreclose on the loan and the property is either acquired at the foreclosure sale by a third-party or by us, in which case it is classified as real estate owned and held for sale.</w:t>
      </w:r>
    </w:p>
    <w:p>
      <w:pPr>
        <w:spacing w:after="0" w:line="163"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accrue interest income as it is earned. We place loans on non-accrual status after being delinquent greater than 89 days or earlier if the borrower is deemed by management to be unable to continue performance. When we place a loan on non-accrual status, we reverse interest accrued but not received. In addition, we suspend the amortization of deferred loan fees when we place a loan on nonaccrual status. We return loans to accrual status only when we reinstate the loan and have no doubt regarding ultimate collectability.</w:t>
      </w:r>
    </w:p>
    <w:p>
      <w:pPr>
        <w:spacing w:after="0" w:line="167"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In situations where we foreclose upon the collateral, we transfer the loans to real estate owned upon receipt of title to the property.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Loan Losses</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We maintain the allowance for loan losses at a level that, based upon our evaluation of known and inherent risks in the portfolio, we consider adequate to provide for losses. We establish specific valuation allowances for impaired loans in the amount by which the carrying value, before allowance for probable losses, exceeds the fair value of collateral less costs to dispose on an individual loan basis. In the case of single family residential mortgage loans and consumer loans, we generally evaluate for impairment as homogeneous pools of loans. We consider a loan to be impaired when, based upon current information and events, we believe that we will probably be unable to collect on a timely basis all amounts due according to the contractual terms of the loan agreement. We measure these impaired loans at the fair value of the collateral underlying the loans, less estimated disposal costs. We may leave impaired loans on accrual status during the period we are pursuing repayment of the loan. We place these loans on non-accrual status at such time that either: (i) the loans become 90 days delinquent; or (ii) we determine that the borrower is incapable of, or has ceased efforts toward, curing the cause of the non-payment. We recognize impairment losses through an increase in the allowance for loan losses and a corresponding charge to the provision for loan losses. When we either sell, transfer to real estate owned ("REO") or charge-off an impaired loan, we remove valuation allowance from the allowance for loan losses. Charge-offs occur when we consider loans, or a portion thereof, uncollectible and of such little value that we consider unwarranted their continuance as bankable assets. We base our ongoing evaluation of the allowance for loan losses upon an analysis of the portfolio, historical loss experience, economic conditions and trends, collateral values and other relevant factors. We may make subsequent adjustments to the allowance if these factors differ substantially from the assumptions used in making the evaluation.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value properties acquired through foreclosure at the lower of the adjusted cost basis of the loan or fair value less estimated costs of disposal of the property after the date of foreclosure. We periodically re-evaluate properties held to determine that we are carrying them at the lower of cost or fair value less estimated costs to dispose. We recognize sales proceeds and related costs with passage of title to the buyer and, in cases where we finance the sale, receipt of sufficient down payment. We report rental income related to properties as a part of loss on real estate owned, net, as earned. We report holding and maintenance costs related to properties as period costs as incurred. We record no depreciation expense related to the properties. We recognize decreases in the market value of foreclosed real estate after foreclosure as a valuation allowance on a property specific basis. We report subsequent increases in market value of the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22" w:right="1440" w:bottom="57" w:gutter="0" w:footer="0" w:header="0"/>
        </w:sectPr>
      </w:pPr>
    </w:p>
    <w:bookmarkStart w:id="109" w:name="page110"/>
    <w:bookmarkEnd w:id="109"/>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foreclosed real estate as reductions in the valuation allowance, but only to the extent the valuation allowance reaches zero. We charge or credit to income such changes in the valuation allowance.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Rights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acquire mortgage servicing rights, which we record at the price paid. We amortize mortgage servicing assets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evaluate the mortgage servicing assets for impairment based on the fair value of the servicing assets by strata. We stratify the servicing assets based on loan type. We estimate fair value by discounting underlying loan cash flows using discount and prepayment rates that we believe market participants would use. To the extent the carrying value of the servicing assets exceeds their fair value by strata, we establish a valuation allowance, which we may adjust in the future, as the value of the servicing assets increase or decrease.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 and Advances on Loans Serviced for Others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receive fees from investors for servicing mortgage loans. We collect servicing fees, generally expressed as a percent of the unpaid principal balance, from the borrowers' payments. We also include late charge income and other ancillary fees, net of amortization of our servicing assets, in servicing income. During any period in which the borrower is not making payments, we are required under certain servicing agreements to advance our own funds to meet contractual principal and interest remittance requirements for certain investors, pay property taxes and insurance premiums and process foreclosures. We generally recover such advances from borrowers for reinstated and performing loans and from investors for foreclosed loans. We record a charge to servicing income to the extent that we estimate that advances are uncollectible under provisions of the servicing contracts, taking into consideration historical loss and delinquency experience, length of delinquency and the amount of the advance.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Real Estate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record investment in real estate at cost less accumulated depreciation. We review our investment in real estate for impairment whenever events or changes in circumstances indicate that the carrying amount may not be recoverable.</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We compute depreciation on a straight-line basis over the estimated useful lives of the assets as follows:</w:t>
      </w:r>
    </w:p>
    <w:p>
      <w:pPr>
        <w:spacing w:after="0" w:line="17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- 40 years</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Tenant improvements</w:t>
            </w:r>
          </w:p>
        </w:tc>
        <w:tc>
          <w:tcPr>
            <w:tcW w:w="7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Lesser</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w w:val="96"/>
              </w:rPr>
              <w:t>of lease term or useful life</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Furniture, fixtures and equipment</w:t>
            </w:r>
          </w:p>
        </w:tc>
        <w:tc>
          <w:tcPr>
            <w:tcW w:w="7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5 - 10</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bl>
    <w:p>
      <w:pPr>
        <w:spacing w:after="0" w:line="17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Our investments in real estate partnerships are accounted for under the equity method of accounting. Under the equity method of accounting, we record an investment in the shares or other interests of an investee at cost of the shares or interests acquired and thereafter periodically increase (decrease) the investment by our proportionate share of earnings (losses) of the investee and decrease it by the dividends or distributions that we receive from the investee.</w:t>
      </w:r>
    </w:p>
    <w:p>
      <w:pPr>
        <w:spacing w:after="0" w:line="16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 addition, we acquired certain acquisition, development and construction loans in which we participate in the residual profits of the underlying real estate, and the borrower had not contributed substantial equity to the project. As such, we account for these loans under the equity method of accounting as though we had made an investment in a real estate limited partnership.</w:t>
      </w:r>
    </w:p>
    <w:p>
      <w:pPr>
        <w:spacing w:after="0" w:line="176"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We charge expenditures for repairs and maintenance to operations as incurred but capitalize significant improvements. We classify our leases as operating. We defer fees and costs incurred in the successful negotiation of leases and amortize them on a straight-line basis over the terms of the respective leases. We report rental income on a straight-line basis over the terms of the respective leases.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Affordable Housing Properties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Affordable housing partnerships own multi-family residential properties that have been allocated tax credits under the Internal Revenue Code of 1986, as amended (the "Internal Revenue Code"). The obligations of the partnership to sustain qualifying status of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22" w:right="1440" w:bottom="1074" w:gutter="0" w:footer="0" w:header="0"/>
        </w:sectPr>
      </w:pPr>
    </w:p>
    <w:bookmarkStart w:id="110" w:name="page111"/>
    <w:bookmarkEnd w:id="110"/>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properties covers a 15-year period; however, tax credits generally accrue over a 10-year period on a straight-line basis. We account for investments in affordable housing partnerships that we made on or after May 18, 1995 and in which we invest solely as a limited partner using the equity method. For our limited partnership investments made before this date, we record our receipt of income tax credits and other tax benefits on a level yield basis over the</w:t>
      </w:r>
    </w:p>
    <w:p>
      <w:pPr>
        <w:spacing w:after="0" w:line="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15-year obligation period and report the tax credits and tax benefits net of amortization of our investment in the limited partnership as a reduction of income tax expense. We consolidate affordable housing partnerships in which we have invested as a limited partner, and through which a subsidiary acts as the general partner, and include them in our consolidated financial statements. For all investments in affordable housing partnerships made after May 18, 1995, we capitalize interest expense and certain direct costs incurred during the pre-operating period.</w:t>
      </w:r>
    </w:p>
    <w:p>
      <w:pPr>
        <w:spacing w:after="0" w:line="178"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We report affordable housing properties for which we have entered into an agreement to sell at the lower of cost or fair value less costs to sell.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report the excess of purchase price over net assets of acquired businesses ("goodwill") at cost. Prior to our adoption of Statement of Financial Accounting Standards ("SFAS") No. 142, "Goodwill and Other Intangible Assets" on January 1, 2002, we amortized goodwill on a straight-line basis over the estimated future periods to be benefited, ranging from 3 to 7 years. Effective January 1, 2002 we no longer amortize our goodwill, but we do review the carrying value at least annually for impairment in accordance with the provisions of SFAS No. 142.</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SFAS No. 142 prescribes a methodology for performing the impairment analyses for goodwill and other intangibles. This methodology uses an approach based on fair value of the assets rather than on undiscounted cash flows, as was the case prior to adoption. We perform this analysis using projections of future income discounted at a market rate. The determination of market discount rates is subjective and may vary by product based on the type of product, stage of development and sales to date.</w:t>
      </w:r>
    </w:p>
    <w:p>
      <w:pPr>
        <w:spacing w:after="0" w:line="177"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See "Current Accounting Pronouncements," below, for a discussion of the initial impact on our financial statements from the adoption of SFAS No. 142.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report premises and equipment at cost and, except for land, depreciate them over their estimated useful lives on the straight-line method as follows:</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8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88"/>
              </w:rPr>
              <w:t>39</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8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88"/>
              </w:rPr>
              <w:t>39</w:t>
            </w:r>
          </w:p>
        </w:tc>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5</w:t>
            </w:r>
          </w:p>
        </w:tc>
        <w:tc>
          <w:tcPr>
            <w:tcW w:w="8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Computer hardware and software</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3</w:t>
            </w:r>
          </w:p>
        </w:tc>
        <w:tc>
          <w:tcPr>
            <w:tcW w:w="8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36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7"/>
              </w:rPr>
              <w:t>Life of the lease, with maximum</w:t>
            </w:r>
          </w:p>
        </w:tc>
      </w:tr>
      <w:tr>
        <w:trPr>
          <w:trHeight w:val="170"/>
        </w:trPr>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lease term of 10 years.</w:t>
            </w:r>
          </w:p>
        </w:tc>
      </w:tr>
      <w:tr>
        <w:trPr>
          <w:trHeight w:val="339"/>
        </w:trPr>
        <w:tc>
          <w:tcPr>
            <w:tcW w:w="26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11" w:name="page112"/>
    <w:bookmarkEnd w:id="111"/>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 Costs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currently expense all costs attributable to developing, modifying and enhancing our OTX technology solutions. Prior to 2000, we capitalized such costs, although we expensed costs incurred up to the establishment of technological feasibility as research and development costs. Once the products were made available for general release to customers, we began amortization of the capitalized costs using the straight-line method over the estimated economic lives of the individual products. At each balance sheet date, we perform an impairment analysis by product by comparing unamortized capitalized costs to the net realizable value. An impairment charge is recorded to the extent the unamortized capitalized costs exceed the net realizable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Sold Under Agreements to Repurchase</w:t>
      </w:r>
    </w:p>
    <w:p>
      <w:pPr>
        <w:spacing w:after="0" w:line="175"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We periodically enter into sales of securities under agreements to repurchase the same securities. We report repurchase agreements as financings and report the obligations to repurchase securities sold as a liability in our consolidated statements of financial condition. We report all securities underlying repurchase agreements as assets in our consolidated statements of financial condition. Custodians hold these securities in safekeeping.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Net Assets Acquired over Purchase Price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effects of our acquisition of OAC in 1999 resulted in a new basis of accounting reflecting fair values of assets and liabilities at the date of acquisition. We reported the excess of assets over the purchase price of acquired net assets resulting from the acquisition at cost and amortized it on a straight-line basis over the estimated future periods to be benefited. Effective January 1, 2002, we reversed the unamortized balance of the excess of net assets acquired over purchase price to income in accordance with the provisions of SFAS No. 141.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 While these instruments are subject to fluctuations in value, such fluctuations are generally offset by the change in value of the underlying exposures being hedged. We do not enter into any derivative financial instruments for trading purposes.</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We record all of our derivative instruments in the statement of financial condition at fair value. We record changes in the fair value of derivatives each period in current earnings or other comprehensive (loss) income, depending on whether a derivative is designated as part of a hedge transaction and, if it is, depending on the type of hedge transaction and the effectiveness of the hedge.</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For cash-flow hedge transactions in which we hedge the variability of cash flows related to a variable-rate asset, liability or a forecasted transaction, we report the effective portions of the changes in the fair value of the derivative instruments in other comprehensive (loss) income. The gains and losses on the derivative instrument that are reported in other comprehensive (loss) income are reclassified to earnings in the periods in which earnings are impacted by the variability of the cash flows of the hedged item.</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For hedge transactions of net investments in foreign operations, we record the effective portions of the changes in fair value of the derivative instruments as a cumulative translation adjustment and include as a component of accumulated other comprehensive (loss) income in stockholders' equity.</w:t>
      </w:r>
    </w:p>
    <w:p>
      <w:pPr>
        <w:spacing w:after="0" w:line="176"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We recognize the ineffective portions of all hedges in our current period earnings.</w:t>
      </w:r>
    </w:p>
    <w:p>
      <w:pPr>
        <w:spacing w:after="0" w:line="176"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We account for all other derivative instruments used for risk management purposes that do not meet the hedge accounting criteria and, therefore, do not qualify for hedge accounting at fair value with changes in fair value recorded in our consolidated statement of operations.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On January 1, 2001, we adopted the provisions of SFAS No. 133, "Accounting for Derivative Instruments and Hedging Activities", as amended by SFAS No. 137 and SFAS No. 138 (collectively, "SFAS No. 133") and recorded, net of tax, a cumulative effect adjustment in accumulated other comprehensive income to recognize at fair value the interest rate swap that was designated as a cash-flow hedging of an outstanding line of credit. The swap matured April 2001, and we have reclassified to earnings all of this transaction adjustment.</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22" w:right="1440" w:bottom="1440" w:gutter="0" w:footer="0" w:header="0"/>
        </w:sectPr>
      </w:pPr>
    </w:p>
    <w:bookmarkStart w:id="112" w:name="page113"/>
    <w:bookmarkEnd w:id="112"/>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Adoption of SFAS 133 did not have a material impact on our use of futures contracts to hedge the net investments in our foreign subsidiaries, as the SFAS 133 accounting is similar to the pre-existing accounting. In addition, adoption of SFAS 133 did not have an impact on our other risk management instruments that do not meet the hedge criteria as these derivatives were already accounted for at a fair value with changes in fair value recognized currently in earnings.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Where the functional currency is not the U.S. dollar, we translate assets and liabilities of foreign entities into U.S. dollars at the current rate of exchange existing at the statement of financial condition date and revenues and expenses at average monthly rates. We include the resulting translation adjustments as a component of accumulated other comprehensive income in stockholders' equity. Where the functional currency of a foreign entity is the U.S. dollar, translation adjustments are included in the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file consolidated Federal income tax returns with our subsidiaries. Consolidated income tax is allocated among the subsidiaries participating in the consolidated returns as if each subsidiary that has one or more subsidiaries filed its own consolidated return and those with no subsidiaries filed separate returns.</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for subsequent tax rate changes. We conduct periodic evaluations to determine whether it is more likely than not that some or all of our deferred tax asset will not be realized. Among the factors considered in this evaluation are estimates of future earnings, the future reversal of temporary differences and the impact of tax planning strategies that we can implement if warranted.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Unconsolidated Entities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account for our investments in unconsolidated entities under the equity method of accounting. Under the equity method of accounting, we initially record an investment in the shares or other interests of an investee at the cost of the shares or interests acquired. Thereafter, we periodically increase (decrease) the investment by our proportionate share of the earnings (losses) of the investee and decrease it by the dividends or distributions that we receive from the investee.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If the Company incurs a net loss for the period, we exclude common stock equivalents from the diluted calculation since the common stock equivalents would be antidilutive.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Comprehensive income represents the change in equity of a business enterprise during a period from transactions and other events and circumstances excluding those resulting from investments by and distributions to owners. We present comprehensive income beginning with net income and adding the elements of comprehensive income not included in the determination of net income to arrive at comprehensive income. We present accumulated other comprehensive income net of income taxes and include unrealized foreign currency translation gains and losses.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the normal course of business, we encounter two significant types of risk: economic and regulatory. There are three main components of economic risk: credit risk, market risk and concentration of credit risk. Credit risk is the risk of default on our loan portfolios and derivative financial instruments that results from a borrower's inability or unwillingness to make contractually required payments. Market risk includes interest rate risk, foreign currency exchange rate risk and liquidity risk. We are exposed to interest rate risk to the degree that our interest-bearing liabilities mature or reprice at different speeds, or different bases, than our interest-earning assets. We are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22" w:right="1440" w:bottom="735" w:gutter="0" w:footer="0" w:header="0"/>
        </w:sectPr>
      </w:pPr>
    </w:p>
    <w:bookmarkStart w:id="113" w:name="page114"/>
    <w:bookmarkEnd w:id="113"/>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exposed to foreign currency exchange rate risk in connection with our investment in non-U.S. dollar functional currency operations and to the extent our foreign exchange positions remain unhedged. Market risk also reflects the risk of declines in the valuation of trading securities, and in the value of the collateral underlying loans and the value of real estate held. Concentration of credit risk refers to the risk that, if we extend a significant portion of the total outstanding credit to borrowers in a specific geographical area or industry or on the security of a specific form of collateral, we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are also exposed to liquidity risk. Our business requires substantial cash to support the residential loan servicing business, including acquisitions of mortgage servicing rights and the unfinanced portion of servicing advances and to fund holding company operations, including OTX operations. In general, we finance our operations through operating cash flows and various other sources, including OFB deposits, long-term debt and financing facilities, some of which have 90% advance rates. As we continue to purchase mortgage servicing contracts and fund OTX and other segment operations from operating cash flows, we must secure additional capital to support our growth. Failure to secure additional financing sources or to achieve profitable operations could result in a significant adverse effect on our financial position and results of operations.</w:t>
      </w:r>
    </w:p>
    <w:p>
      <w:pPr>
        <w:spacing w:after="0" w:line="182"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allowance for loan losses and our valuation of securities, real estate, affordable housing properties, servicing rights, intangibles and our deferred tax asset.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December 2002, the FASB issued SFAS No. 148, "Accounting for Stock-Based Compensation - Transition and Disclosure", which amends SFAS No. 123 to provide alternative methods of transition for an entity that voluntarily changes to the fair value based method of accounting for stock-based employee compensation. Certain provisions of the statement were effective December 31, 2002. Management currently intends to continue to account for stock-based compensation under the intrinsic value method set forth in Accounting Principles Board ("APB") Opinion 25 and related interpretations. For this reason, the transition guidance of SFAS No. 148 does not have an impact on Ocwen's consolidated financial position or consolidated results of operations. The Statement does amend existing guidance with respect to required disclosures, regardless of the method of accounting used.</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Ocwen maintains various stock-based compensation plans. These plans provide for the granting of stock options to Ocwen's employees and directors. Ocwen accounts for its stock option plans based on the intrinsic value method set forth in APB Opinion No. 25 and related Interpretations, under which no compensation cost has been recognized, except with respect to stock options that are granted with an exercise price that is less than the fair value of the Company's stock at the date of the grant, as disclosed in the accompanying table. The following table presents Ocwen's net income, basic and diluted earnings per share as reported and pro forma net income and pro forma earnings per share. We have determined pro forma amounts by assuming that compensation costs for Ocwen's stock options plans had been determined based on the fair value at the grant dates for awards under those plans granted after December 31, 1994, consistent with the method described by SFAS No. 123 "Accounting for Stock-Based Compensation":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22" w:right="1440" w:bottom="1440" w:gutter="0" w:footer="0" w:header="0"/>
        </w:sectPr>
      </w:pPr>
    </w:p>
    <w:bookmarkStart w:id="114" w:name="page115"/>
    <w:bookmarkEnd w:id="114"/>
    <w:p>
      <w:pPr>
        <w:jc w:val="center"/>
        <w:ind w:right="40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6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98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8" w:lineRule="exact"/>
        <w:rPr>
          <w:sz w:val="20"/>
          <w:szCs w:val="20"/>
          <w:color w:val="auto"/>
        </w:rPr>
      </w:pPr>
    </w:p>
    <w:p>
      <w:pPr>
        <w:ind w:left="7660"/>
        <w:spacing w:after="0"/>
        <w:rPr>
          <w:sz w:val="20"/>
          <w:szCs w:val="20"/>
          <w:color w:val="auto"/>
        </w:rPr>
      </w:pPr>
      <w:r>
        <w:rPr>
          <w:rFonts w:ascii="Courier New" w:cs="Courier New" w:eastAsia="Courier New" w:hAnsi="Courier New"/>
          <w:sz w:val="15"/>
          <w:szCs w:val="15"/>
          <w:color w:val="auto"/>
        </w:rPr>
        <w:t>For the Years Ended December 31,</w:t>
      </w: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39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26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1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income (loss) as reported..............................................</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(124,782)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7180" w:type="dxa"/>
            <w:vAlign w:val="bottom"/>
          </w:tcPr>
          <w:p>
            <w:pPr>
              <w:ind w:left="440"/>
              <w:spacing w:after="0"/>
              <w:rPr>
                <w:sz w:val="20"/>
                <w:szCs w:val="20"/>
                <w:color w:val="auto"/>
              </w:rPr>
            </w:pPr>
            <w:r>
              <w:rPr>
                <w:rFonts w:ascii="Courier New" w:cs="Courier New" w:eastAsia="Courier New" w:hAnsi="Courier New"/>
                <w:sz w:val="15"/>
                <w:szCs w:val="15"/>
                <w:color w:val="auto"/>
              </w:rPr>
              <w:t>Add stock-based compensation expense included in reported net income,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of tax...........................................................</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675</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7180" w:type="dxa"/>
            <w:vAlign w:val="bottom"/>
          </w:tcPr>
          <w:p>
            <w:pPr>
              <w:ind w:left="440"/>
              <w:spacing w:after="0"/>
              <w:rPr>
                <w:sz w:val="20"/>
                <w:szCs w:val="20"/>
                <w:color w:val="auto"/>
              </w:rPr>
            </w:pPr>
            <w:r>
              <w:rPr>
                <w:rFonts w:ascii="Courier New" w:cs="Courier New" w:eastAsia="Courier New" w:hAnsi="Courier New"/>
                <w:sz w:val="15"/>
                <w:szCs w:val="15"/>
                <w:color w:val="auto"/>
              </w:rPr>
              <w:t>Deduct total stock-based employee compensation expense determined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under fair value based method for all awards, net of tax.............</w:t>
            </w:r>
          </w:p>
        </w:tc>
        <w:tc>
          <w:tcPr>
            <w:tcW w:w="4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(1,007)</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(3,807)</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(2,792)</w:t>
            </w:r>
          </w:p>
        </w:tc>
      </w:tr>
      <w:tr>
        <w:trPr>
          <w:trHeight w:val="170"/>
        </w:trPr>
        <w:tc>
          <w:tcPr>
            <w:tcW w:w="71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 forma net income (loss)................................................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(69,182)</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(127,914)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w:t>
            </w:r>
          </w:p>
        </w:tc>
      </w:tr>
      <w:tr>
        <w:trPr>
          <w:trHeight w:val="170"/>
        </w:trPr>
        <w:tc>
          <w:tcPr>
            <w:tcW w:w="71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(1.856)</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0.033</w:t>
            </w: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(0.003)</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4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(1.856)</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0.032</w:t>
            </w:r>
          </w:p>
        </w:tc>
      </w:tr>
      <w:tr>
        <w:trPr>
          <w:trHeight w:val="170"/>
        </w:trPr>
        <w:tc>
          <w:tcPr>
            <w:tcW w:w="7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(0.003)</w:t>
            </w:r>
          </w:p>
        </w:tc>
      </w:tr>
      <w:tr>
        <w:trPr>
          <w:trHeight w:val="509"/>
        </w:trPr>
        <w:tc>
          <w:tcPr>
            <w:tcW w:w="7180" w:type="dxa"/>
            <w:vAlign w:val="bottom"/>
          </w:tcPr>
          <w:p>
            <w:pPr>
              <w:ind w:left="780"/>
              <w:spacing w:after="0"/>
              <w:rPr>
                <w:sz w:val="20"/>
                <w:szCs w:val="20"/>
                <w:color w:val="auto"/>
              </w:rPr>
            </w:pPr>
            <w:r>
              <w:rPr>
                <w:rFonts w:ascii="Courier New" w:cs="Courier New" w:eastAsia="Courier New" w:hAnsi="Courier New"/>
                <w:sz w:val="15"/>
                <w:szCs w:val="15"/>
                <w:color w:val="auto"/>
                <w:w w:val="99"/>
              </w:rPr>
              <w:t>We estimate the fair value of our option grants using the Black-Scholes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option-pricing model with the following assumptions: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7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7180" w:type="dxa"/>
            <w:vAlign w:val="bottom"/>
          </w:tcPr>
          <w:p>
            <w:pPr>
              <w:spacing w:after="0"/>
              <w:rPr>
                <w:sz w:val="14"/>
                <w:szCs w:val="14"/>
                <w:color w:val="auto"/>
              </w:rPr>
            </w:pPr>
          </w:p>
        </w:tc>
        <w:tc>
          <w:tcPr>
            <w:tcW w:w="39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26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1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4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0.00%</w:t>
            </w:r>
          </w:p>
        </w:tc>
        <w:tc>
          <w:tcPr>
            <w:tcW w:w="2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0.00%</w:t>
            </w:r>
          </w:p>
        </w:tc>
        <w:tc>
          <w:tcPr>
            <w:tcW w:w="3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0.00%</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62.00</w:t>
            </w:r>
          </w:p>
        </w:tc>
        <w:tc>
          <w:tcPr>
            <w:tcW w:w="2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52.00</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54.00</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4.23%</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 years</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 years</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 years</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Accounting Pronouncements</w:t>
      </w:r>
    </w:p>
    <w:p>
      <w:pPr>
        <w:spacing w:after="0" w:line="175" w:lineRule="exact"/>
        <w:rPr>
          <w:sz w:val="20"/>
          <w:szCs w:val="20"/>
          <w:color w:val="auto"/>
        </w:rPr>
      </w:pPr>
    </w:p>
    <w:p>
      <w:pPr>
        <w:ind w:right="4060" w:firstLine="793"/>
        <w:spacing w:after="0" w:line="238" w:lineRule="auto"/>
        <w:rPr>
          <w:sz w:val="20"/>
          <w:szCs w:val="20"/>
          <w:color w:val="auto"/>
        </w:rPr>
      </w:pPr>
      <w:r>
        <w:rPr>
          <w:rFonts w:ascii="Courier New" w:cs="Courier New" w:eastAsia="Courier New" w:hAnsi="Courier New"/>
          <w:sz w:val="15"/>
          <w:szCs w:val="15"/>
          <w:color w:val="auto"/>
        </w:rPr>
        <w:t>We adopted the provisions of SFAS No. 142 effective January 1, 2002. As a result, we reversed the unamortized balance of the excess of net assets acquired over purchase price. This reversal resulted in a pre-tax credit to income of $18,333 on January 1, 2002 that is reported as the effect of a change in accounting principle. In addition, upon the adoption of SFAS No. 142, we recognized impairment of $3,333 on goodwill and intangible assets. This impairment charge, net of a tax benefit of $1,166, was reported as a component of the effect of a change in accounting principle. We also recognized additional impairment of $2,231 on goodwill during 2002. The elimination of goodwill amortization after the adoption of SFAS No. 142 positively impacted pretax net income by $3,112 in 2002.</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1100"/>
          </w:cols>
          <w:pgMar w:left="240" w:top="622" w:right="559" w:bottom="1440" w:gutter="0" w:footer="0" w:header="0"/>
        </w:sectPr>
      </w:pPr>
    </w:p>
    <w:bookmarkStart w:id="115" w:name="page116"/>
    <w:bookmarkEnd w:id="115"/>
    <w:p>
      <w:pPr>
        <w:jc w:val="center"/>
        <w:ind w:right="42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24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4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416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tables present the pro forma effect on prior periods of</w:t>
      </w: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the adoption of SFAS No. 142: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5"/>
          </w:tcPr>
          <w:p>
            <w:pPr>
              <w:jc w:val="right"/>
              <w:ind w:right="7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0"/>
        </w:trPr>
        <w:tc>
          <w:tcPr>
            <w:tcW w:w="6960" w:type="dxa"/>
            <w:vAlign w:val="bottom"/>
          </w:tcPr>
          <w:p>
            <w:pPr>
              <w:spacing w:after="0"/>
              <w:rPr>
                <w:sz w:val="14"/>
                <w:szCs w:val="14"/>
                <w:color w:val="auto"/>
              </w:rPr>
            </w:pPr>
          </w:p>
        </w:tc>
        <w:tc>
          <w:tcPr>
            <w:tcW w:w="43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Income (loss) before effect of change in accounting principle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(124,782)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96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Adjustments related to adoption of SFAS No. 142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Deduct amortization of negative goodwill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(18,333)</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(14,112)</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back amortization of goodwill, net of tax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2,023</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2,031</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adjustments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(16,310)</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(12,081)</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Adjusted loss before effect of change in accounting principle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(141,092)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(9,889)</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(124,782)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Adjustments related to adoption of SFAS No. 142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Deduct amortization of negative goodwill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(18,333)</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(14,112)</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back amortization of good will, net of tax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2,023</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2,031</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adjustments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(16,310)</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(12,081)</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(141,092)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(9,889)</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(loss) before effect of change in accounting principle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96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Adjustments related to adoption of SFAS No. 142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Deduct amortization of negative goodwill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(0.27)</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back amortization of goodwill, net of tax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0.03</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Adjusted loss before effect of change in accounting principle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 ...........................................................</w:t>
            </w:r>
          </w:p>
        </w:tc>
        <w:tc>
          <w:tcPr>
            <w:tcW w:w="34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960" w:type="dxa"/>
            <w:vAlign w:val="bottom"/>
          </w:tcPr>
          <w:p>
            <w:pPr>
              <w:jc w:val="right"/>
              <w:ind w:right="2587"/>
              <w:spacing w:after="0"/>
              <w:rPr>
                <w:sz w:val="20"/>
                <w:szCs w:val="20"/>
                <w:color w:val="auto"/>
              </w:rPr>
            </w:pPr>
            <w:r>
              <w:rPr>
                <w:rFonts w:ascii="Courier New" w:cs="Courier New" w:eastAsia="Courier New" w:hAnsi="Courier New"/>
                <w:sz w:val="15"/>
                <w:szCs w:val="15"/>
                <w:color w:val="auto"/>
              </w:rPr>
              <w:t>Adjustments related to adoption of SFAS No. 142</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Deduct amortization of negative goodwill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(0.27)</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back amortization of goodwill, net of tax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0.03</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Adjusted net loss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6960" w:type="dxa"/>
            <w:vAlign w:val="bottom"/>
          </w:tcPr>
          <w:p>
            <w:pPr>
              <w:spacing w:after="0"/>
              <w:rPr>
                <w:sz w:val="14"/>
                <w:szCs w:val="14"/>
                <w:color w:val="auto"/>
              </w:rPr>
            </w:pP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Weighted average common shares outstanding ..................................</w:t>
            </w:r>
          </w:p>
        </w:tc>
        <w:tc>
          <w:tcPr>
            <w:tcW w:w="340" w:type="dxa"/>
            <w:vAlign w:val="bottom"/>
          </w:tcPr>
          <w:p>
            <w:pPr>
              <w:spacing w:after="0"/>
              <w:rPr>
                <w:sz w:val="24"/>
                <w:szCs w:val="2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67,321,299</w:t>
            </w:r>
          </w:p>
        </w:tc>
        <w:tc>
          <w:tcPr>
            <w:tcW w:w="300" w:type="dxa"/>
            <w:vAlign w:val="bottom"/>
          </w:tcPr>
          <w:p>
            <w:pPr>
              <w:spacing w:after="0"/>
              <w:rPr>
                <w:sz w:val="24"/>
                <w:szCs w:val="2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67,227,058</w:t>
            </w:r>
          </w:p>
        </w:tc>
        <w:tc>
          <w:tcPr>
            <w:tcW w:w="30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67,427,662</w:t>
            </w:r>
          </w:p>
        </w:tc>
      </w:tr>
    </w:tbl>
    <w:p>
      <w:pPr>
        <w:spacing w:after="0" w:line="344" w:lineRule="exact"/>
        <w:rPr>
          <w:sz w:val="20"/>
          <w:szCs w:val="20"/>
          <w:color w:val="auto"/>
        </w:rPr>
      </w:pPr>
    </w:p>
    <w:p>
      <w:pPr>
        <w:ind w:right="4240" w:firstLine="793"/>
        <w:spacing w:after="0" w:line="257" w:lineRule="auto"/>
        <w:rPr>
          <w:sz w:val="20"/>
          <w:szCs w:val="20"/>
          <w:color w:val="auto"/>
        </w:rPr>
      </w:pPr>
      <w:r>
        <w:rPr>
          <w:rFonts w:ascii="Courier New" w:cs="Courier New" w:eastAsia="Courier New" w:hAnsi="Courier New"/>
          <w:sz w:val="14"/>
          <w:szCs w:val="14"/>
          <w:color w:val="auto"/>
        </w:rPr>
        <w:t>In May 2002, the FASB issued SFAS No. 145, "Rescission of FASB statements No. 4, 44 and 64, Amendment of FASB Statement No. 13, and Technical Corrections." SFAS No. 4 required that gains or losses from the extinguishment of debt, net of taxes, be reported as an extraordinary item in the statement of operations. We immediately adopted the provisions of SFAS No. 145 as they relate to the rescission of SFAS No. 4. Effective with the rescission of SFAS No. 4, gains or losses from the extinguishment of debt are reported as a component of non-interest income in the statement of operations. Results of operations for prior periods have been reclassified to conform with this presentation.</w:t>
      </w:r>
    </w:p>
    <w:p>
      <w:pPr>
        <w:spacing w:after="0" w:line="167" w:lineRule="exact"/>
        <w:rPr>
          <w:sz w:val="20"/>
          <w:szCs w:val="20"/>
          <w:color w:val="auto"/>
        </w:rPr>
      </w:pPr>
    </w:p>
    <w:p>
      <w:pPr>
        <w:ind w:right="4240" w:firstLine="793"/>
        <w:spacing w:after="0" w:line="238"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which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(EITF 94-3). The principal difference between SFAS No. 146 and EITF 94-3 relates to SFAS No. 146's requirements for recognition of a liability for a cost associated with an exit or disposal activity. SFAS No. 146 requires that a liability for a cost associated with an exit or disposal activity be recognized when the liability is incurred. Under EITF 94-3, a liability for an exit cost as generally defined in EITF 94-3 was recognized at the date of an entity's commitment to an exit plan. We adopted the new standard effective January 1, 2003. The adoption of SFAS No. 146 did not have a material impact on our results of operations, financial positions or cash flows.</w:t>
      </w:r>
    </w:p>
    <w:p>
      <w:pPr>
        <w:spacing w:after="0" w:line="185" w:lineRule="exact"/>
        <w:rPr>
          <w:sz w:val="20"/>
          <w:szCs w:val="20"/>
          <w:color w:val="auto"/>
        </w:rPr>
      </w:pPr>
    </w:p>
    <w:p>
      <w:pPr>
        <w:ind w:right="4240" w:firstLine="793"/>
        <w:spacing w:after="0" w:line="238" w:lineRule="auto"/>
        <w:rPr>
          <w:sz w:val="20"/>
          <w:szCs w:val="20"/>
          <w:color w:val="auto"/>
        </w:rPr>
      </w:pPr>
      <w:r>
        <w:rPr>
          <w:rFonts w:ascii="Courier New" w:cs="Courier New" w:eastAsia="Courier New" w:hAnsi="Courier New"/>
          <w:sz w:val="15"/>
          <w:szCs w:val="15"/>
          <w:color w:val="auto"/>
        </w:rPr>
        <w:t>In November 2002, the FASB issued FASB Interpretation No. 45, "Guarantor's Accounting Disclosure Requirements for Guarantees, Including Indirect Guarantees of Indebtedness of Others". The interpretation elaborates on the disclosures to be made by a guarantor in its financial statements under certain guarantees that is has issued. It also clarifies that a guarantor is required to recognize, at the inception of a guarantee, a liability for the fair value of the obligation undertaken in issuing the guarantee. The disclosure requirements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1280"/>
          </w:cols>
          <w:pgMar w:left="240" w:top="622" w:right="379" w:bottom="565" w:gutter="0" w:footer="0" w:header="0"/>
        </w:sectPr>
      </w:pPr>
    </w:p>
    <w:bookmarkStart w:id="116" w:name="page117"/>
    <w:bookmarkEnd w:id="116"/>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of the Interpretation are effective and were adopted by Ocwen as of December 31, 2002, and require disclosure of the nature of the guarantee, the maximum potential amount of future payments that the guarantor could be required to make under the guarantee, and the current amount of the liability, if any, for the guarantor's obligations under the guarantee. The recognition requirements of the Interpretation were effective January 1, 2003. Management does not anticipate that the implementation of the recognition requirements of the Interpretation will have a significant effect on Ocwen's consolidated results of operations.</w:t>
      </w:r>
    </w:p>
    <w:p>
      <w:pPr>
        <w:spacing w:after="0" w:line="167"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In January 2003, the FASB issued FASB Interpretation No. 46, "Consolidation of Variable Interest Entities". This interpretation provides guidance with respect to the identification of variable interest entities and when assets, liabilities, noncontrolling interests, and the results of operations of a variable interest entity need to be included in a company's consolidated financial statements. The Interpretation requires consolidation by business enterprises of variable interest entities in cases where the equity investment at risk is not sufficient to permit the entity to finance its activities without additional subordinated financial support from other parties, which is provided through other interests that will absorb some or all of the expected losses of the entity, or in cases where the equity investors lack one or more of the essential characteristics of a controlling financial interest, which include the ability to make decisions about the entity's activities through voting rights, the obligation to absorb the expected losses of the entity if they occur, or the right to receive the expected residual returns of the entity if they occur. The Interpretation applies immediately to variable interest entities created after January 31, 2003, and to variable interest entities in which an enterprise obtains an interest after that date. We are currently assessing the impact that the Interpretation will have on our consolidated financial position and consolidated results of operations. In particular, we are a limited partner in low income housing developments, which as previously discussed, are not included in our consolidated financial statements. We may be required to consolidate a portion of the investments effective July 1, 2003 to comply with Interpretation No. 46. As of December 31, 2002, our investment in such limited partnerships amounted to $11,962 in five projects.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ACQUISITION AND DISPOSITION TRANSACTIONS</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On November 22, 2000, we sold our minority investment in Kensington Group plc ("Kensington") for proceeds, net of stamp duty and other fees, of approximately (pound)34,500 or $48,600. As a result of the transaction, we recorded a pretax gain on sale of $20,025.</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FAIR VALUE OF FINANCIAL INSTRUMENTS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 majority of our assets, liabilities and off-balance sheet instruments and commitments are considered financial instruments. For the majority of our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Minor changes in assumptions or estimation methodologies can have a material effect on these derived or estimated fair values.</w:t>
      </w:r>
    </w:p>
    <w:p>
      <w:pPr>
        <w:spacing w:after="0" w:line="18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2002 and 2001,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our fee generating businesses and anticipated future business activities. In other words, they do not represent our value as a going concern. Furthermore, the differences between the carrying amounts and the fair values presented may not be realized.</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our financial condition.</w:t>
      </w:r>
    </w:p>
    <w:p>
      <w:pPr>
        <w:spacing w:after="0" w:line="167"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22" w:right="1440" w:bottom="565" w:gutter="0" w:footer="0" w:header="0"/>
        </w:sectPr>
      </w:pPr>
    </w:p>
    <w:bookmarkStart w:id="117" w:name="page118"/>
    <w:bookmarkEnd w:id="117"/>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jc w:val="both"/>
        <w:ind w:right="3359" w:firstLine="793"/>
        <w:spacing w:after="0" w:line="260" w:lineRule="auto"/>
        <w:rPr>
          <w:sz w:val="20"/>
          <w:szCs w:val="20"/>
          <w:color w:val="auto"/>
        </w:rPr>
      </w:pPr>
      <w:r>
        <w:rPr>
          <w:rFonts w:ascii="Courier New" w:cs="Courier New" w:eastAsia="Courier New" w:hAnsi="Courier New"/>
          <w:sz w:val="14"/>
          <w:szCs w:val="14"/>
          <w:color w:val="auto"/>
        </w:rPr>
        <w:t>We have valued cash and cash equivalents at their carrying amounts as these are reasonable estimates of fair value given the relatively short period of time between origination of the instruments and their expected realization.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adjust our securities portfolio to fair value within a range based on third party dealer quotations, where available, and internal values, subject to an internal review process. For those securities which do not have an available market quotation, we will request market values and underlying assumptions from the various securities dealers that underwrote, are currently financing the securities or have had prior experience with the type of security to be valued. When we obtain quotations from two or more dealers, we generally use the average dealer quote.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Match Funded Loans and Securities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 We estimate the fair value of our match funded loans and our loans based upon current market yields at which recent pools of similar mortgages have traded taking into consideration the timing and amount of expected cash flows. We mark our match funded securities to fair value in the same manner as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on Loans and Loans Serviced for Others</w:t>
      </w:r>
    </w:p>
    <w:p>
      <w:pPr>
        <w:spacing w:after="0" w:line="175"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We value advances we make on our loans and loans we service for others at their carrying amounts because they have no stated maturity, do not bear interest and we believe that there is no substantial risk of uncollectibility.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fair value of our demand deposits, savings accounts and money market deposits is the amount payable on demand at the reporting date. We estimate the fair value of fixed-maturity certificates of deposit by discounting the required cash payments at the market rates offered for deposits with similar maturities on the respective financial statement dates.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base the fair value of our bonds-match funded loan agreements, notes and debentures and Capital Securities on quoted market prices. The fair value of our other borrowings, including securities sold under agreements to repurchase and obligations outstanding under lines of credit, approximates carrying value because these borrowings are either short-term or bear interest at a rate that is adjusted regularly based on a market index.</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We base the fair values of our derivative financial instruments on quoted market prices.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22" w:right="1440" w:bottom="1440" w:gutter="0" w:footer="0" w:header="0"/>
        </w:sectPr>
      </w:pPr>
    </w:p>
    <w:bookmarkStart w:id="118" w:name="page119"/>
    <w:bookmarkEnd w:id="118"/>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72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Commitments, Letters of Credit and Guarantees</w:t>
      </w:r>
    </w:p>
    <w:p>
      <w:pPr>
        <w:spacing w:after="0" w:line="175" w:lineRule="exact"/>
        <w:rPr>
          <w:sz w:val="20"/>
          <w:szCs w:val="20"/>
          <w:color w:val="auto"/>
        </w:rPr>
      </w:pPr>
    </w:p>
    <w:p>
      <w:pPr>
        <w:ind w:right="3980" w:firstLine="793"/>
        <w:spacing w:after="0" w:line="237" w:lineRule="auto"/>
        <w:rPr>
          <w:sz w:val="20"/>
          <w:szCs w:val="20"/>
          <w:color w:val="auto"/>
        </w:rPr>
      </w:pPr>
      <w:r>
        <w:rPr>
          <w:rFonts w:ascii="Courier New" w:cs="Courier New" w:eastAsia="Courier New" w:hAnsi="Courier New"/>
          <w:sz w:val="15"/>
          <w:szCs w:val="15"/>
          <w:color w:val="auto"/>
        </w:rPr>
        <w:t>The fair values of loan commitments, letters of credit and guarantees are estimated considering the difference between interest rates on the respective financial statement dates and the committed rates.</w:t>
      </w:r>
    </w:p>
    <w:p>
      <w:pPr>
        <w:spacing w:after="0" w:line="175" w:lineRule="exact"/>
        <w:rPr>
          <w:sz w:val="20"/>
          <w:szCs w:val="20"/>
          <w:color w:val="auto"/>
        </w:rPr>
      </w:pPr>
    </w:p>
    <w:p>
      <w:pPr>
        <w:ind w:right="4160" w:firstLine="793"/>
        <w:spacing w:after="0" w:line="235" w:lineRule="auto"/>
        <w:rPr>
          <w:sz w:val="20"/>
          <w:szCs w:val="20"/>
          <w:color w:val="auto"/>
        </w:rPr>
      </w:pPr>
      <w:r>
        <w:rPr>
          <w:rFonts w:ascii="Courier New" w:cs="Courier New" w:eastAsia="Courier New" w:hAnsi="Courier New"/>
          <w:sz w:val="15"/>
          <w:szCs w:val="15"/>
          <w:color w:val="auto"/>
        </w:rPr>
        <w:t>The carrying amounts and the estimated fair values of our financial instruments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30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December 31, 2002</w:t>
            </w:r>
          </w:p>
        </w:tc>
        <w:tc>
          <w:tcPr>
            <w:tcW w:w="27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 2001</w:t>
            </w:r>
          </w:p>
        </w:tc>
      </w:tr>
      <w:tr>
        <w:trPr>
          <w:trHeight w:val="170"/>
        </w:trPr>
        <w:tc>
          <w:tcPr>
            <w:tcW w:w="5060" w:type="dxa"/>
            <w:vAlign w:val="bottom"/>
          </w:tcPr>
          <w:p>
            <w:pPr>
              <w:spacing w:after="0"/>
              <w:rPr>
                <w:sz w:val="14"/>
                <w:szCs w:val="14"/>
                <w:color w:val="auto"/>
              </w:rPr>
            </w:pPr>
          </w:p>
        </w:tc>
        <w:tc>
          <w:tcPr>
            <w:tcW w:w="3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14"/>
                <w:szCs w:val="14"/>
                <w:color w:val="auto"/>
              </w:rPr>
            </w:pP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Carrying</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Fair</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5060" w:type="dxa"/>
            <w:vAlign w:val="bottom"/>
          </w:tcPr>
          <w:p>
            <w:pPr>
              <w:spacing w:after="0"/>
              <w:rPr>
                <w:sz w:val="14"/>
                <w:szCs w:val="14"/>
                <w:color w:val="auto"/>
              </w:rPr>
            </w:pP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Value</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506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Interest earning and non-interest earning cash.......</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107,247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  107,247</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134,655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134,655</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Federal funds sold and repurchase agreements.........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85,000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126,000</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Trading securities...................................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58,895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58,895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226,249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226,249</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Loans, net...........................................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76,857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89,957</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185,293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193,098</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Match funded assets..................................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167,744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167,800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174,351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172,306</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Advances on loans and loans serviced for others......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266,356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266,356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283,183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283,183</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Financial liabilities</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Deposits.............................................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425,970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439,360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656,878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679,124</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Escrow deposits on loans and loans serviced for</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others.............................................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84,986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84,986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73,565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73,565</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79,405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79,405</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Bonds - match funded agreements......................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147,071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147,091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156,908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156,996</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78,511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78,511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84,304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84,304</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Notes, debentures and other interest-bearing</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obligations........................................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81,210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82,749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160,305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159,590</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Capital Securities...................................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56,249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44,998</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61,159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50,762</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Derivative financial instruments</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Caps and floors......................................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British Pound futures................................</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(793)</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Canadian Dollar futures..............................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Loan commitments.....................................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3,432</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Letters of credit....................................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Guarantees...........................................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467</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7,035</w:t>
            </w:r>
          </w:p>
        </w:tc>
      </w:tr>
      <w:tr>
        <w:trPr>
          <w:trHeight w:val="509"/>
        </w:trPr>
        <w:tc>
          <w:tcPr>
            <w:tcW w:w="5060" w:type="dxa"/>
            <w:vAlign w:val="bottom"/>
          </w:tcPr>
          <w:p>
            <w:pPr>
              <w:ind w:left="3420"/>
              <w:spacing w:after="0"/>
              <w:rPr>
                <w:sz w:val="20"/>
                <w:szCs w:val="20"/>
                <w:color w:val="auto"/>
              </w:rPr>
            </w:pPr>
            <w:r>
              <w:rPr>
                <w:rFonts w:ascii="Courier New" w:cs="Courier New" w:eastAsia="Courier New" w:hAnsi="Courier New"/>
                <w:sz w:val="15"/>
                <w:szCs w:val="15"/>
                <w:color w:val="auto"/>
              </w:rPr>
              <w:t>89</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840"/>
          </w:cols>
          <w:pgMar w:left="240" w:top="622" w:right="819" w:bottom="1440" w:gutter="0" w:footer="0" w:header="0"/>
        </w:sectPr>
      </w:pPr>
    </w:p>
    <w:bookmarkStart w:id="119" w:name="page120"/>
    <w:bookmarkEnd w:id="119"/>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Trading Securities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fair value of our trading securities are as follows at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Collateralized mortgage obligations (AAA-rated) and U.S. Treasury notes</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Collateralized mortgage obligations.......................................................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20,540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161,191</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U.S. Treasury notes.......................................................................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21,556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161,191</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Subordinates and residual securities</w:t>
            </w: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Single family residential</w:t>
            </w: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BB-rated subordinates..................................................................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B-rated subordinates...................................................................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Unrated subordinates...................................................................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1,008</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Unrated subprime residuals ............................................................</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33,213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60,049</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34,762</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62,481</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Nonresidential unrated subordinates.......................................................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37,339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65,058</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740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At December 31, 2002, we had pledged securities from our portfolio of</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collateralized mortgage obligations (AAA-rated) and U.S. Treasury notes with a</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fair value of $2,890 as security for certificates of deposit in excess of $100</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issued to municipalities in the State of New Jersey.</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40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At December 31, 2002, we held securities with an aggregate fair value</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of $1,874 that were issued by Freddie Mac.</w:t>
            </w: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40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A profile of the maturities of our trading securities at December 31,</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2002 follows. Mortgage-backed securities are included based on their</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weighted-average maturities, reflecting anticipated future prepayments.</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3860" w:type="dxa"/>
            <w:vAlign w:val="bottom"/>
          </w:tcPr>
          <w:p>
            <w:pPr>
              <w:spacing w:after="0"/>
              <w:rPr>
                <w:sz w:val="24"/>
                <w:szCs w:val="24"/>
                <w:color w:val="auto"/>
              </w:rPr>
            </w:pPr>
          </w:p>
        </w:tc>
        <w:tc>
          <w:tcPr>
            <w:tcW w:w="3540" w:type="dxa"/>
            <w:vAlign w:val="bottom"/>
            <w:gridSpan w:val="3"/>
          </w:tcPr>
          <w:p>
            <w:pPr>
              <w:jc w:val="center"/>
              <w:ind w:right="187"/>
              <w:spacing w:after="0"/>
              <w:rPr>
                <w:sz w:val="20"/>
                <w:szCs w:val="20"/>
                <w:color w:val="auto"/>
              </w:rPr>
            </w:pPr>
            <w:r>
              <w:rPr>
                <w:rFonts w:ascii="Courier New" w:cs="Courier New" w:eastAsia="Courier New" w:hAnsi="Courier New"/>
                <w:sz w:val="15"/>
                <w:szCs w:val="15"/>
                <w:color w:val="auto"/>
                <w:w w:val="97"/>
              </w:rPr>
              <w:t>Collateralized Mortgage Obligations</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860" w:type="dxa"/>
            <w:vAlign w:val="bottom"/>
          </w:tcPr>
          <w:p>
            <w:pPr>
              <w:spacing w:after="0"/>
              <w:rPr>
                <w:sz w:val="14"/>
                <w:szCs w:val="14"/>
                <w:color w:val="auto"/>
              </w:rPr>
            </w:pPr>
          </w:p>
        </w:tc>
        <w:tc>
          <w:tcPr>
            <w:tcW w:w="26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and U.S. Treasury Notes</w:t>
            </w:r>
          </w:p>
        </w:tc>
        <w:tc>
          <w:tcPr>
            <w:tcW w:w="880" w:type="dxa"/>
            <w:vAlign w:val="bottom"/>
          </w:tcPr>
          <w:p>
            <w:pPr>
              <w:spacing w:after="0"/>
              <w:rPr>
                <w:sz w:val="14"/>
                <w:szCs w:val="14"/>
                <w:color w:val="auto"/>
              </w:rPr>
            </w:pPr>
          </w:p>
        </w:tc>
        <w:tc>
          <w:tcPr>
            <w:tcW w:w="35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Subordinates and Residuals</w:t>
            </w:r>
          </w:p>
        </w:tc>
      </w:tr>
      <w:tr>
        <w:trPr>
          <w:trHeight w:val="170"/>
        </w:trPr>
        <w:tc>
          <w:tcPr>
            <w:tcW w:w="386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w w:val="77"/>
              </w:rPr>
              <w:t>--------------------------------------</w:t>
            </w:r>
          </w:p>
        </w:tc>
        <w:tc>
          <w:tcPr>
            <w:tcW w:w="880" w:type="dxa"/>
            <w:vAlign w:val="bottom"/>
          </w:tcPr>
          <w:p>
            <w:pPr>
              <w:spacing w:after="0"/>
              <w:rPr>
                <w:sz w:val="14"/>
                <w:szCs w:val="14"/>
                <w:color w:val="auto"/>
              </w:rPr>
            </w:pPr>
          </w:p>
        </w:tc>
        <w:tc>
          <w:tcPr>
            <w:tcW w:w="35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Weighted Average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w w:val="95"/>
              </w:rPr>
              <w:t>Weighted Average</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9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Yield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Fair Value</w:t>
            </w:r>
          </w:p>
        </w:tc>
        <w:tc>
          <w:tcPr>
            <w:tcW w:w="1580" w:type="dxa"/>
            <w:vAlign w:val="bottom"/>
          </w:tcPr>
          <w:p>
            <w:pPr>
              <w:ind w:left="700"/>
              <w:spacing w:after="0"/>
              <w:rPr>
                <w:sz w:val="20"/>
                <w:szCs w:val="20"/>
                <w:color w:val="auto"/>
              </w:rPr>
            </w:pPr>
            <w:r>
              <w:rPr>
                <w:rFonts w:ascii="Courier New" w:cs="Courier New" w:eastAsia="Courier New" w:hAnsi="Courier New"/>
                <w:sz w:val="15"/>
                <w:szCs w:val="15"/>
                <w:color w:val="auto"/>
              </w:rPr>
              <w:t>Yield</w:t>
            </w:r>
          </w:p>
        </w:tc>
        <w:tc>
          <w:tcPr>
            <w:tcW w:w="580" w:type="dxa"/>
            <w:vAlign w:val="bottom"/>
          </w:tcPr>
          <w:p>
            <w:pPr>
              <w:spacing w:after="0"/>
              <w:rPr>
                <w:sz w:val="14"/>
                <w:szCs w:val="14"/>
                <w:color w:val="auto"/>
              </w:rPr>
            </w:pP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9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19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3.05%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21,556</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23.30%</w:t>
            </w:r>
          </w:p>
        </w:tc>
        <w:tc>
          <w:tcPr>
            <w:tcW w:w="580" w:type="dxa"/>
            <w:vAlign w:val="bottom"/>
          </w:tcPr>
          <w:p>
            <w:pPr>
              <w:spacing w:after="0"/>
              <w:rPr>
                <w:sz w:val="24"/>
                <w:szCs w:val="2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6,389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Due after 1 through 5 years.............</w:t>
            </w:r>
          </w:p>
        </w:tc>
        <w:tc>
          <w:tcPr>
            <w:tcW w:w="19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13.85</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22,778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Due after 5 through 10 years............</w:t>
            </w:r>
          </w:p>
        </w:tc>
        <w:tc>
          <w:tcPr>
            <w:tcW w:w="19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18.36</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Due after 10 years......................</w:t>
            </w:r>
          </w:p>
        </w:tc>
        <w:tc>
          <w:tcPr>
            <w:tcW w:w="19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19.54</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1,435</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21,556</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37,339</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740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Realized and unrealized gain on trading and match funded securities for</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the years ended December 31, 2002, and 2001 was comprised of the following:</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3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Unrealized gain</w:t>
            </w: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Trading 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3,125</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Match funded 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2,088</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2,020</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5,213</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Realized gain</w:t>
            </w: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Trading 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4,992</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11,117</w:t>
            </w:r>
          </w:p>
        </w:tc>
      </w:tr>
      <w:tr>
        <w:trPr>
          <w:trHeight w:val="170"/>
        </w:trPr>
        <w:tc>
          <w:tcPr>
            <w:tcW w:w="5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Match funded securities......................................................................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4,992</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11,117</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16,330</w:t>
            </w:r>
          </w:p>
        </w:tc>
      </w:tr>
      <w:tr>
        <w:trPr>
          <w:trHeight w:val="170"/>
        </w:trPr>
        <w:tc>
          <w:tcPr>
            <w:tcW w:w="3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860" w:type="dxa"/>
            <w:vAlign w:val="bottom"/>
          </w:tcPr>
          <w:p>
            <w:pPr>
              <w:ind w:left="3420"/>
              <w:spacing w:after="0"/>
              <w:rPr>
                <w:sz w:val="20"/>
                <w:szCs w:val="20"/>
                <w:color w:val="auto"/>
              </w:rPr>
            </w:pPr>
            <w:r>
              <w:rPr>
                <w:rFonts w:ascii="Courier New" w:cs="Courier New" w:eastAsia="Courier New" w:hAnsi="Courier New"/>
                <w:sz w:val="15"/>
                <w:szCs w:val="15"/>
                <w:color w:val="auto"/>
              </w:rPr>
              <w:t>90</w:t>
            </w: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920"/>
          </w:cols>
          <w:pgMar w:left="240" w:top="622" w:right="739" w:bottom="565" w:gutter="0" w:footer="0" w:header="0"/>
        </w:sectPr>
      </w:pPr>
    </w:p>
    <w:bookmarkStart w:id="120" w:name="page121"/>
    <w:bookmarkEnd w:id="120"/>
    <w:p>
      <w:pPr>
        <w:jc w:val="center"/>
        <w:ind w:right="405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5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97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left="10" w:right="4140" w:firstLine="793"/>
        <w:spacing w:after="0" w:line="237" w:lineRule="auto"/>
        <w:rPr>
          <w:sz w:val="20"/>
          <w:szCs w:val="20"/>
          <w:color w:val="auto"/>
        </w:rPr>
      </w:pPr>
      <w:r>
        <w:rPr>
          <w:rFonts w:ascii="Courier New" w:cs="Courier New" w:eastAsia="Courier New" w:hAnsi="Courier New"/>
          <w:sz w:val="15"/>
          <w:szCs w:val="15"/>
          <w:color w:val="auto"/>
        </w:rPr>
        <w:t>Our residual and subordinate securities classified as trading securities at December 31, 2002 include retained interests with a fair value of $1,465 from securitizations of our loans completed in prior years. At December 31, 2001, trading securities included retained interests with a fair value of $25,274. We have completed no securitizations of loans since 1999.</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5 LOANS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9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Our loans consisted of the following at December 31:</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4"/>
              </w:rPr>
              <w:t>Single family residential loans..........................................</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2,163</w:t>
            </w:r>
          </w:p>
        </w:tc>
        <w:tc>
          <w:tcPr>
            <w:tcW w:w="660" w:type="dxa"/>
            <w:vAlign w:val="bottom"/>
          </w:tcPr>
          <w:p>
            <w:pPr>
              <w:spacing w:after="0"/>
              <w:rPr>
                <w:sz w:val="24"/>
                <w:szCs w:val="24"/>
                <w:color w:val="auto"/>
              </w:rPr>
            </w:pP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58,118</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4"/>
              </w:rPr>
              <w:t>Multi-family residential loans...........................................</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26,017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33,319</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Nonresidential real estate loans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Office buildings....................................................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41,215</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56,713</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Hotels..............................................................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11,668</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38,576</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Retail properties...................................................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27,500</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47,492</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Other properties....................................................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807</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81,771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143,588</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4"/>
              </w:rPr>
              <w:t>Other loans..............................................................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Total loans.........................................................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109,951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235,056</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Unaccreted discount and deferred fees</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Single family residential loans.....................................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(16,467)</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3"/>
              </w:rPr>
              <w:t>Multi-family residential loans.....................................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r>
      <w:tr>
        <w:trPr>
          <w:trHeight w:val="170"/>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72"/>
              </w:rPr>
              <w:t>Commercial real estate loans........................................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(10,572)</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(19,318)</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(11,988)</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(36,435)</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97,963</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198,621</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4"/>
              </w:rPr>
              <w:t>Undisbursed loan funds...................................................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(345)</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(2,914)</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4"/>
              </w:rPr>
              <w:t>Allowance for loan losses................................................</w:t>
            </w: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(20,761)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(10,414)</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76,857</w:t>
            </w:r>
          </w:p>
        </w:tc>
        <w:tc>
          <w:tcPr>
            <w:tcW w:w="660" w:type="dxa"/>
            <w:vAlign w:val="bottom"/>
          </w:tcPr>
          <w:p>
            <w:pPr>
              <w:spacing w:after="0"/>
              <w:rPr>
                <w:sz w:val="14"/>
                <w:szCs w:val="14"/>
                <w:color w:val="auto"/>
              </w:rPr>
            </w:pP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185,293</w:t>
            </w: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7660" w:type="dxa"/>
            <w:vAlign w:val="bottom"/>
            <w:gridSpan w:val="5"/>
          </w:tcPr>
          <w:p>
            <w:pPr>
              <w:ind w:left="780"/>
              <w:spacing w:after="0"/>
              <w:rPr>
                <w:sz w:val="20"/>
                <w:szCs w:val="20"/>
                <w:color w:val="auto"/>
              </w:rPr>
            </w:pPr>
            <w:r>
              <w:rPr>
                <w:rFonts w:ascii="Courier New" w:cs="Courier New" w:eastAsia="Courier New" w:hAnsi="Courier New"/>
                <w:sz w:val="15"/>
                <w:szCs w:val="15"/>
                <w:color w:val="auto"/>
              </w:rPr>
              <w:t>Our loans are secured by mortgages on properties located throughout the</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rPr>
              <w:t>United States. The following table sets forth the five states in which the</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w w:val="98"/>
              </w:rPr>
              <w:t>largest amount of properties securing our loans were located at December 31,</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Nonresidential</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480" w:type="dxa"/>
            <w:vAlign w:val="bottom"/>
          </w:tcPr>
          <w:p>
            <w:pPr>
              <w:spacing w:after="0"/>
              <w:rPr>
                <w:sz w:val="14"/>
                <w:szCs w:val="14"/>
                <w:color w:val="auto"/>
              </w:rPr>
            </w:pPr>
          </w:p>
        </w:tc>
        <w:tc>
          <w:tcPr>
            <w:tcW w:w="1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7"/>
              </w:rPr>
              <w:t>Single Family</w:t>
            </w: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Multi-family</w:t>
            </w:r>
          </w:p>
        </w:tc>
        <w:tc>
          <w:tcPr>
            <w:tcW w:w="1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Real Estate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Residential</w:t>
            </w:r>
          </w:p>
        </w:tc>
        <w:tc>
          <w:tcPr>
            <w:tcW w:w="1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Residential</w:t>
            </w:r>
          </w:p>
        </w:tc>
        <w:tc>
          <w:tcPr>
            <w:tcW w:w="17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and Other</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Wisconsin..................................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33,437</w:t>
            </w: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33,437</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229</w:t>
            </w: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25,260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25,489</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New Jersey.................................</w:t>
            </w:r>
          </w:p>
        </w:tc>
        <w:tc>
          <w:tcPr>
            <w:tcW w:w="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9,943</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9,943</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7,068</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7,068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5,225</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(1)..................................</w:t>
            </w:r>
          </w:p>
        </w:tc>
        <w:tc>
          <w:tcPr>
            <w:tcW w:w="10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1,352</w:t>
            </w:r>
          </w:p>
        </w:tc>
        <w:tc>
          <w:tcPr>
            <w:tcW w:w="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10,012</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5,434</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16,798</w:t>
            </w:r>
          </w:p>
        </w:tc>
      </w:tr>
      <w:tr>
        <w:trPr>
          <w:trHeight w:val="170"/>
        </w:trPr>
        <w:tc>
          <w:tcPr>
            <w:tcW w:w="4480" w:type="dxa"/>
            <w:vAlign w:val="bottom"/>
          </w:tcPr>
          <w:p>
            <w:pPr>
              <w:spacing w:after="0"/>
              <w:rPr>
                <w:sz w:val="14"/>
                <w:szCs w:val="14"/>
                <w:color w:val="auto"/>
              </w:rPr>
            </w:pPr>
          </w:p>
        </w:tc>
        <w:tc>
          <w:tcPr>
            <w:tcW w:w="1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1,584</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25,180</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71,199</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97,963</w:t>
            </w:r>
          </w:p>
        </w:tc>
      </w:tr>
      <w:tr>
        <w:trPr>
          <w:trHeight w:val="170"/>
        </w:trPr>
        <w:tc>
          <w:tcPr>
            <w:tcW w:w="4480" w:type="dxa"/>
            <w:vAlign w:val="bottom"/>
          </w:tcPr>
          <w:p>
            <w:pPr>
              <w:spacing w:after="0"/>
              <w:rPr>
                <w:sz w:val="14"/>
                <w:szCs w:val="14"/>
                <w:color w:val="auto"/>
              </w:rPr>
            </w:pPr>
          </w:p>
        </w:tc>
        <w:tc>
          <w:tcPr>
            <w:tcW w:w="1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680" w:hanging="790"/>
        <w:spacing w:after="0" w:line="235" w:lineRule="auto"/>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15 other states, none of which aggregated over $4,795 in any one state.</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1110"/>
          </w:cols>
          <w:pgMar w:left="230" w:top="622" w:right="559" w:bottom="1440" w:gutter="0" w:footer="0" w:header="0"/>
        </w:sectPr>
      </w:pPr>
    </w:p>
    <w:bookmarkStart w:id="121" w:name="page122"/>
    <w:bookmarkEnd w:id="121"/>
    <w:p>
      <w:pPr>
        <w:jc w:val="center"/>
        <w:ind w:right="405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5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97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left="10" w:right="4320" w:firstLine="793"/>
        <w:spacing w:after="0" w:line="237" w:lineRule="auto"/>
        <w:rPr>
          <w:sz w:val="20"/>
          <w:szCs w:val="20"/>
          <w:color w:val="auto"/>
        </w:rPr>
      </w:pPr>
      <w:r>
        <w:rPr>
          <w:rFonts w:ascii="Courier New" w:cs="Courier New" w:eastAsia="Courier New" w:hAnsi="Courier New"/>
          <w:sz w:val="15"/>
          <w:szCs w:val="15"/>
          <w:color w:val="auto"/>
        </w:rPr>
        <w:t>The following table presents a summary of our non-performing loans, allowance for loan losses and significant ratios for our loans at and 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540" w:type="dxa"/>
            <w:vAlign w:val="bottom"/>
          </w:tcPr>
          <w:p>
            <w:pPr>
              <w:spacing w:after="0"/>
              <w:rPr>
                <w:sz w:val="14"/>
                <w:szCs w:val="14"/>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Single family residential................................</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1,345</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32,430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181,998</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Multi-family residential.................................</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14,822</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23,637</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17,754</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Nonresidential real estate and other.....................</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59,382</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38,240</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97,795</w:t>
            </w:r>
          </w:p>
        </w:tc>
      </w:tr>
      <w:tr>
        <w:trPr>
          <w:trHeight w:val="170"/>
        </w:trPr>
        <w:tc>
          <w:tcPr>
            <w:tcW w:w="5540" w:type="dxa"/>
            <w:vAlign w:val="bottom"/>
          </w:tcPr>
          <w:p>
            <w:pPr>
              <w:spacing w:after="0"/>
              <w:rPr>
                <w:sz w:val="14"/>
                <w:szCs w:val="14"/>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75,549</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94,307</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297,547</w:t>
            </w:r>
          </w:p>
        </w:tc>
      </w:tr>
      <w:tr>
        <w:trPr>
          <w:trHeight w:val="170"/>
        </w:trPr>
        <w:tc>
          <w:tcPr>
            <w:tcW w:w="5540" w:type="dxa"/>
            <w:vAlign w:val="bottom"/>
          </w:tcPr>
          <w:p>
            <w:pPr>
              <w:spacing w:after="0"/>
              <w:rPr>
                <w:sz w:val="14"/>
                <w:szCs w:val="14"/>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 beginning of year...............................</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10,414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23,279</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26,440</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Provision for loan losses................................</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13,655</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15,478</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15,270</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charge-offs..........................................</w:t>
            </w:r>
          </w:p>
        </w:tc>
        <w:tc>
          <w:tcPr>
            <w:tcW w:w="7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(3,308)</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(28,343)</w:t>
            </w: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(18,431)</w:t>
            </w:r>
          </w:p>
        </w:tc>
      </w:tr>
      <w:tr>
        <w:trPr>
          <w:trHeight w:val="170"/>
        </w:trPr>
        <w:tc>
          <w:tcPr>
            <w:tcW w:w="5540" w:type="dxa"/>
            <w:vAlign w:val="bottom"/>
          </w:tcPr>
          <w:p>
            <w:pPr>
              <w:spacing w:after="0"/>
              <w:rPr>
                <w:sz w:val="14"/>
                <w:szCs w:val="14"/>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 end of year.....................................</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20,761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10,414</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23,279</w:t>
            </w:r>
          </w:p>
        </w:tc>
      </w:tr>
      <w:tr>
        <w:trPr>
          <w:trHeight w:val="170"/>
        </w:trPr>
        <w:tc>
          <w:tcPr>
            <w:tcW w:w="5540" w:type="dxa"/>
            <w:vAlign w:val="bottom"/>
          </w:tcPr>
          <w:p>
            <w:pPr>
              <w:spacing w:after="0"/>
              <w:rPr>
                <w:sz w:val="14"/>
                <w:szCs w:val="14"/>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Significant ratios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Non-performing loans as a percentage of</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loans............................................</w:t>
            </w:r>
          </w:p>
        </w:tc>
        <w:tc>
          <w:tcPr>
            <w:tcW w:w="7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77.39%</w:t>
            </w:r>
          </w:p>
        </w:tc>
        <w:tc>
          <w:tcPr>
            <w:tcW w:w="5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48.19%</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44.86%</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6.18</w:t>
            </w:r>
          </w:p>
        </w:tc>
        <w:tc>
          <w:tcPr>
            <w:tcW w:w="52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5.51</w:t>
            </w:r>
          </w:p>
        </w:tc>
        <w:tc>
          <w:tcPr>
            <w:tcW w:w="5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13.23</w:t>
            </w:r>
          </w:p>
        </w:tc>
      </w:t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loan losses as a percentage of</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loans............................................</w:t>
            </w:r>
          </w:p>
        </w:tc>
        <w:tc>
          <w:tcPr>
            <w:tcW w:w="7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21.27%</w:t>
            </w:r>
          </w:p>
        </w:tc>
        <w:tc>
          <w:tcPr>
            <w:tcW w:w="5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5.32%</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5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Non-performing loans...................................</w:t>
            </w:r>
          </w:p>
        </w:tc>
        <w:tc>
          <w:tcPr>
            <w:tcW w:w="7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27.48</w:t>
            </w:r>
          </w:p>
        </w:tc>
        <w:tc>
          <w:tcPr>
            <w:tcW w:w="52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11.04</w:t>
            </w:r>
          </w:p>
        </w:tc>
        <w:tc>
          <w:tcPr>
            <w:tcW w:w="5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7.82</w:t>
            </w:r>
          </w:p>
        </w:tc>
      </w:tr>
    </w:tbl>
    <w:p>
      <w:pPr>
        <w:spacing w:after="0" w:line="344" w:lineRule="exact"/>
        <w:rPr>
          <w:sz w:val="20"/>
          <w:szCs w:val="20"/>
          <w:color w:val="auto"/>
        </w:rPr>
      </w:pPr>
    </w:p>
    <w:p>
      <w:pPr>
        <w:ind w:left="10" w:right="4060" w:firstLine="793"/>
        <w:spacing w:after="0" w:line="237" w:lineRule="auto"/>
        <w:rPr>
          <w:sz w:val="20"/>
          <w:szCs w:val="20"/>
          <w:color w:val="auto"/>
        </w:rPr>
      </w:pPr>
      <w:r>
        <w:rPr>
          <w:rFonts w:ascii="Courier New" w:cs="Courier New" w:eastAsia="Courier New" w:hAnsi="Courier New"/>
          <w:sz w:val="15"/>
          <w:szCs w:val="15"/>
          <w:color w:val="auto"/>
        </w:rPr>
        <w:t>If non-accrual loans had been current in accordance with their original terms, interest income for the years ended December 31, 2002, 2001 and 2000, would have been greater by approximately $4,235, $10,841 and $32,724, respectively. We have accrued no interest on loans greater than 89 days past due.</w:t>
      </w:r>
    </w:p>
    <w:p>
      <w:pPr>
        <w:spacing w:after="0" w:line="178" w:lineRule="exact"/>
        <w:rPr>
          <w:sz w:val="20"/>
          <w:szCs w:val="20"/>
          <w:color w:val="auto"/>
        </w:rPr>
      </w:pPr>
    </w:p>
    <w:p>
      <w:pPr>
        <w:ind w:left="10" w:right="4940"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geographic distribution of properties securing our non-accrual loans at December 31, 2002:</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Nonresidential</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Single Family</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Multi-family</w:t>
            </w:r>
          </w:p>
        </w:tc>
        <w:tc>
          <w:tcPr>
            <w:tcW w:w="1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Real Estate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Residential</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Residential</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and Other</w:t>
            </w:r>
          </w:p>
        </w:tc>
        <w:tc>
          <w:tcPr>
            <w:tcW w:w="4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532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Wisconsin...................................................</w:t>
            </w:r>
          </w:p>
        </w:tc>
        <w:tc>
          <w:tcPr>
            <w:tcW w:w="7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33,437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33,437</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New York....................................................</w:t>
            </w:r>
          </w:p>
        </w:tc>
        <w:tc>
          <w:tcPr>
            <w:tcW w:w="7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25,260</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25,379</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New Jersey..................................................</w:t>
            </w:r>
          </w:p>
        </w:tc>
        <w:tc>
          <w:tcPr>
            <w:tcW w:w="7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9,597</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9,597</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Texas.......................................................</w:t>
            </w:r>
          </w:p>
        </w:tc>
        <w:tc>
          <w:tcPr>
            <w:tcW w:w="7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5,225</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5,228</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Connecticut ................................................</w:t>
            </w:r>
          </w:p>
        </w:tc>
        <w:tc>
          <w:tcPr>
            <w:tcW w:w="7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485</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560</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(1)...................................................</w:t>
            </w:r>
          </w:p>
        </w:tc>
        <w:tc>
          <w:tcPr>
            <w:tcW w:w="7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1,148</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1,348</w:t>
            </w:r>
          </w:p>
        </w:tc>
      </w:tr>
      <w:tr>
        <w:trPr>
          <w:trHeight w:val="170"/>
        </w:trPr>
        <w:tc>
          <w:tcPr>
            <w:tcW w:w="53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1,345</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14,822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59,382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75,549</w:t>
            </w:r>
          </w:p>
        </w:tc>
      </w:tr>
      <w:tr>
        <w:trPr>
          <w:trHeight w:val="170"/>
        </w:trPr>
        <w:tc>
          <w:tcPr>
            <w:tcW w:w="53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240" w:hanging="790"/>
        <w:spacing w:after="0" w:line="235" w:lineRule="auto"/>
        <w:tabs>
          <w:tab w:leader="none" w:pos="79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17 states, none of which aggregated over $236 in any one state.</w:t>
      </w:r>
    </w:p>
    <w:p>
      <w:pPr>
        <w:spacing w:after="0" w:line="176" w:lineRule="exact"/>
        <w:rPr>
          <w:sz w:val="20"/>
          <w:szCs w:val="20"/>
          <w:color w:val="auto"/>
        </w:rPr>
      </w:pPr>
    </w:p>
    <w:p>
      <w:pPr>
        <w:ind w:left="10" w:right="4240" w:firstLine="793"/>
        <w:spacing w:after="0" w:line="235" w:lineRule="auto"/>
        <w:rPr>
          <w:sz w:val="20"/>
          <w:szCs w:val="20"/>
          <w:color w:val="auto"/>
        </w:rPr>
      </w:pPr>
      <w:r>
        <w:rPr>
          <w:rFonts w:ascii="Courier New" w:cs="Courier New" w:eastAsia="Courier New" w:hAnsi="Courier New"/>
          <w:sz w:val="15"/>
          <w:szCs w:val="15"/>
          <w:color w:val="auto"/>
        </w:rPr>
        <w:t>The following table presents information regarding our impaired loans at and for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4"/>
              </w:rPr>
              <w:t>2002</w:t>
            </w:r>
          </w:p>
        </w:tc>
        <w:tc>
          <w:tcPr>
            <w:tcW w:w="66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820" w:type="dxa"/>
            <w:vAlign w:val="bottom"/>
          </w:tcPr>
          <w:p>
            <w:pPr>
              <w:spacing w:after="0"/>
              <w:rPr>
                <w:sz w:val="14"/>
                <w:szCs w:val="14"/>
                <w:color w:val="auto"/>
              </w:rPr>
            </w:pPr>
          </w:p>
        </w:tc>
        <w:tc>
          <w:tcPr>
            <w:tcW w:w="2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43,035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5,362</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8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(12,985)</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(591)</w:t>
            </w:r>
          </w:p>
        </w:tc>
      </w:tr>
      <w:tr>
        <w:trPr>
          <w:trHeight w:val="170"/>
        </w:trPr>
        <w:tc>
          <w:tcPr>
            <w:tcW w:w="6820" w:type="dxa"/>
            <w:vAlign w:val="bottom"/>
          </w:tcPr>
          <w:p>
            <w:pPr>
              <w:spacing w:after="0"/>
              <w:rPr>
                <w:sz w:val="14"/>
                <w:szCs w:val="14"/>
                <w:color w:val="auto"/>
              </w:rPr>
            </w:pPr>
          </w:p>
        </w:tc>
        <w:tc>
          <w:tcPr>
            <w:tcW w:w="2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Carrying value...........................................................</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30,050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4,771</w:t>
            </w:r>
          </w:p>
        </w:tc>
      </w:tr>
      <w:tr>
        <w:trPr>
          <w:trHeight w:val="170"/>
        </w:trPr>
        <w:tc>
          <w:tcPr>
            <w:tcW w:w="6820" w:type="dxa"/>
            <w:vAlign w:val="bottom"/>
          </w:tcPr>
          <w:p>
            <w:pPr>
              <w:spacing w:after="0"/>
              <w:rPr>
                <w:sz w:val="14"/>
                <w:szCs w:val="14"/>
                <w:color w:val="auto"/>
              </w:rPr>
            </w:pPr>
          </w:p>
        </w:tc>
        <w:tc>
          <w:tcPr>
            <w:tcW w:w="22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Average carrying value of impaired loans during the year................</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58,064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24,151</w:t>
            </w:r>
          </w:p>
        </w:tc>
      </w:tr>
    </w:tbl>
    <w:p>
      <w:pPr>
        <w:spacing w:after="0" w:line="344" w:lineRule="exact"/>
        <w:rPr>
          <w:sz w:val="20"/>
          <w:szCs w:val="20"/>
          <w:color w:val="auto"/>
        </w:rPr>
      </w:pPr>
    </w:p>
    <w:p>
      <w:pPr>
        <w:ind w:left="10" w:right="4060" w:firstLine="793"/>
        <w:spacing w:after="0" w:line="237" w:lineRule="auto"/>
        <w:rPr>
          <w:sz w:val="20"/>
          <w:szCs w:val="20"/>
          <w:color w:val="auto"/>
        </w:rPr>
      </w:pPr>
      <w:r>
        <w:rPr>
          <w:rFonts w:ascii="Courier New" w:cs="Courier New" w:eastAsia="Courier New" w:hAnsi="Courier New"/>
          <w:sz w:val="15"/>
          <w:szCs w:val="15"/>
          <w:color w:val="auto"/>
        </w:rPr>
        <w:t>Impaired loans at December 31, 2002 consisted of one nonresidential loan and one multi-family loan. Impaired loans at December 31, 2001 consisted of seven nonresidential loans.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1110"/>
          </w:cols>
          <w:pgMar w:left="230" w:top="622" w:right="559" w:bottom="396" w:gutter="0" w:footer="0" w:header="0"/>
        </w:sectPr>
      </w:pPr>
    </w:p>
    <w:bookmarkStart w:id="122" w:name="page123"/>
    <w:bookmarkEnd w:id="122"/>
    <w:p>
      <w:pPr>
        <w:jc w:val="center"/>
        <w:ind w:right="10"/>
        <w:spacing w:after="0" w:line="237"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2002, 2001, AND 2000 (Dollars in thousands, except share data)</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6 MATCH FUNDED ASSETS</w:t>
      </w: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Our match funded assets are comprised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Single family residential loans (1).........................................</w:t>
      </w:r>
    </w:p>
    <w:p>
      <w:pPr>
        <w:ind w:left="10"/>
        <w:spacing w:after="0"/>
        <w:rPr>
          <w:sz w:val="20"/>
          <w:szCs w:val="20"/>
          <w:color w:val="auto"/>
        </w:rPr>
      </w:pPr>
      <w:r>
        <w:rPr>
          <w:rFonts w:ascii="Courier New" w:cs="Courier New" w:eastAsia="Courier New" w:hAnsi="Courier New"/>
          <w:sz w:val="15"/>
          <w:szCs w:val="15"/>
          <w:color w:val="auto"/>
        </w:rPr>
        <w:t>Allowance for loan losses...................................................</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Match funded loans, net..................................................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Match funded securities (at fair value).....................................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Match funded advances on loans serviced for others</w:t>
      </w:r>
    </w:p>
    <w:p>
      <w:pPr>
        <w:ind w:left="270"/>
        <w:spacing w:after="0"/>
        <w:rPr>
          <w:sz w:val="20"/>
          <w:szCs w:val="20"/>
          <w:color w:val="auto"/>
        </w:rPr>
      </w:pPr>
      <w:r>
        <w:rPr>
          <w:rFonts w:ascii="Courier New" w:cs="Courier New" w:eastAsia="Courier New" w:hAnsi="Courier New"/>
          <w:sz w:val="15"/>
          <w:szCs w:val="15"/>
          <w:color w:val="auto"/>
        </w:rPr>
        <w:t>Principal and interest...................................................</w:t>
      </w:r>
    </w:p>
    <w:p>
      <w:pPr>
        <w:ind w:left="270"/>
        <w:spacing w:after="0"/>
        <w:rPr>
          <w:sz w:val="20"/>
          <w:szCs w:val="20"/>
          <w:color w:val="auto"/>
        </w:rPr>
      </w:pPr>
      <w:r>
        <w:rPr>
          <w:rFonts w:ascii="Courier New" w:cs="Courier New" w:eastAsia="Courier New" w:hAnsi="Courier New"/>
          <w:sz w:val="15"/>
          <w:szCs w:val="15"/>
          <w:color w:val="auto"/>
        </w:rPr>
        <w:t>Taxes and insurance......................................................</w:t>
      </w:r>
    </w:p>
    <w:p>
      <w:pPr>
        <w:ind w:left="270"/>
        <w:spacing w:after="0" w:line="238" w:lineRule="auto"/>
        <w:rPr>
          <w:sz w:val="20"/>
          <w:szCs w:val="20"/>
          <w:color w:val="auto"/>
        </w:rPr>
      </w:pPr>
      <w:r>
        <w:rPr>
          <w:rFonts w:ascii="Courier New" w:cs="Courier New" w:eastAsia="Courier New" w:hAnsi="Courier New"/>
          <w:sz w:val="15"/>
          <w:szCs w:val="15"/>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0" w:hanging="790"/>
        <w:spacing w:after="0" w:line="235" w:lineRule="auto"/>
        <w:tabs>
          <w:tab w:leader="none" w:pos="79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$3,120 and $4,405 of non-performing loans at December 31, 2002 and 2001, respectively.</w:t>
      </w:r>
    </w:p>
    <w:p>
      <w:pPr>
        <w:spacing w:after="0" w:line="176" w:lineRule="exact"/>
        <w:rPr>
          <w:sz w:val="20"/>
          <w:szCs w:val="20"/>
          <w:color w:val="auto"/>
        </w:rPr>
      </w:pPr>
    </w:p>
    <w:p>
      <w:pPr>
        <w:ind w:left="10" w:firstLine="793"/>
        <w:spacing w:after="0" w:line="238" w:lineRule="auto"/>
        <w:rPr>
          <w:sz w:val="20"/>
          <w:szCs w:val="20"/>
          <w:color w:val="auto"/>
        </w:rPr>
      </w:pPr>
      <w:r>
        <w:rPr>
          <w:rFonts w:ascii="Courier New" w:cs="Courier New" w:eastAsia="Courier New" w:hAnsi="Courier New"/>
          <w:sz w:val="15"/>
          <w:szCs w:val="15"/>
          <w:color w:val="auto"/>
        </w:rPr>
        <w:t>Match funded loans were acquired as a result of our acquisition of OAC in 1999. These loans were securitized and transferred by OAC to OAC Mortgage Residential Securities, Inc., a real estate mortgage investment conduit (the "Trust") on November 13, 1998. On that date, the Trust issued two classes of notes secured by the related group of mortgage loans. At December 31, 2002, Loan Group I consisted of approximately 281 mortgage loans with original terms of up to 30 years that are secured by first liens on single family residential properties. At that same date, Loan Group II consisted of approximately 173 mortgage loans with original terms of up to 30 years that are secured by first or second liens on single family residential properties. Upon the transfer, OAC received approximately $173,900 of proceeds.</w:t>
      </w:r>
    </w:p>
    <w:p>
      <w:pPr>
        <w:spacing w:after="0" w:line="181" w:lineRule="exact"/>
        <w:rPr>
          <w:sz w:val="20"/>
          <w:szCs w:val="20"/>
          <w:color w:val="auto"/>
        </w:rPr>
      </w:pPr>
    </w:p>
    <w:p>
      <w:pPr>
        <w:ind w:left="10" w:firstLine="793"/>
        <w:spacing w:after="0" w:line="257" w:lineRule="auto"/>
        <w:rPr>
          <w:sz w:val="20"/>
          <w:szCs w:val="20"/>
          <w:color w:val="auto"/>
        </w:rPr>
      </w:pPr>
      <w:r>
        <w:rPr>
          <w:rFonts w:ascii="Courier New" w:cs="Courier New" w:eastAsia="Courier New" w:hAnsi="Courier New"/>
          <w:sz w:val="14"/>
          <w:szCs w:val="14"/>
          <w:color w:val="auto"/>
        </w:rPr>
        <w:t>Each class of the notes is subject to redemption at our option at such time when the remaining aggregate principal balance of the loans has declined to less than 20% of the initial aggregate principal balance of the loans at the transfer date. The transfer of the loans to the trust did not qualify for sales treatment for accounting purposes, since OAC retained effective control of the loans transferred. Accordingly, the proceeds received from the transfer are reported as a secured borrowing with pledge of collateral (bonds-match funded agreements) in our consolidated statement of financial condition. See Note 14.</w:t>
      </w:r>
    </w:p>
    <w:p>
      <w:pPr>
        <w:spacing w:after="0" w:line="167" w:lineRule="exact"/>
        <w:rPr>
          <w:sz w:val="20"/>
          <w:szCs w:val="20"/>
          <w:color w:val="auto"/>
        </w:rPr>
      </w:pPr>
    </w:p>
    <w:p>
      <w:pPr>
        <w:ind w:left="10" w:right="80" w:firstLine="793"/>
        <w:spacing w:after="0" w:line="237" w:lineRule="auto"/>
        <w:rPr>
          <w:sz w:val="20"/>
          <w:szCs w:val="20"/>
          <w:color w:val="auto"/>
        </w:rPr>
      </w:pPr>
      <w:r>
        <w:rPr>
          <w:rFonts w:ascii="Courier New" w:cs="Courier New" w:eastAsia="Courier New" w:hAnsi="Courier New"/>
          <w:sz w:val="15"/>
          <w:szCs w:val="15"/>
          <w:color w:val="auto"/>
        </w:rPr>
        <w:t>Our match funded loans are secured by mortgages on properties located throughout the United States. The following table sets forth the five states in which the largest amount of properties securing our loans were located at December 31, 2002:</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6,344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3,319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2,786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2,249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(1)................................................</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20,964</w:t>
            </w:r>
          </w:p>
        </w:tc>
      </w:tr>
      <w:tr>
        <w:trPr>
          <w:trHeight w:val="170"/>
        </w:trPr>
        <w:tc>
          <w:tcPr>
            <w:tcW w:w="53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38,129</w:t>
            </w:r>
          </w:p>
        </w:tc>
      </w:tr>
      <w:tr>
        <w:trPr>
          <w:trHeight w:val="170"/>
        </w:trPr>
        <w:tc>
          <w:tcPr>
            <w:tcW w:w="53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790" w:right="620" w:hanging="790"/>
        <w:spacing w:after="0" w:line="235" w:lineRule="auto"/>
        <w:tabs>
          <w:tab w:leader="none" w:pos="79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36 other states, none of which aggregated over $2,091 in any one state.</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Match funded securities resulted from our transfer of four unrated</w:t>
      </w:r>
    </w:p>
    <w:p>
      <w:pPr>
        <w:ind w:left="10"/>
        <w:spacing w:after="0"/>
        <w:rPr>
          <w:sz w:val="20"/>
          <w:szCs w:val="20"/>
          <w:color w:val="auto"/>
        </w:rPr>
      </w:pPr>
      <w:r>
        <w:rPr>
          <w:rFonts w:ascii="Courier New" w:cs="Courier New" w:eastAsia="Courier New" w:hAnsi="Courier New"/>
          <w:sz w:val="15"/>
          <w:szCs w:val="15"/>
          <w:color w:val="auto"/>
        </w:rPr>
        <w:t>residual securities to Ocwen NIMs Corp. on December 16, 1999 in exchange for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$43,000 in non-recourse notes (Series 1999-OAC1). Upon the transfer, we received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approximately $40,100 of proceeds.</w:t>
      </w:r>
    </w:p>
    <w:p>
      <w:pPr>
        <w:spacing w:after="0" w:line="169" w:lineRule="exact"/>
        <w:rPr>
          <w:sz w:val="20"/>
          <w:szCs w:val="20"/>
          <w:color w:val="auto"/>
        </w:rPr>
      </w:pPr>
    </w:p>
    <w:p>
      <w:pPr>
        <w:jc w:val="center"/>
        <w:ind w:left="10"/>
        <w:spacing w:after="0"/>
        <w:rPr>
          <w:sz w:val="20"/>
          <w:szCs w:val="20"/>
          <w:color w:val="auto"/>
        </w:rPr>
      </w:pPr>
      <w:r>
        <w:rPr>
          <w:rFonts w:ascii="Courier New" w:cs="Courier New" w:eastAsia="Courier New" w:hAnsi="Courier New"/>
          <w:sz w:val="15"/>
          <w:szCs w:val="15"/>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2002</w:t>
            </w:r>
          </w:p>
        </w:tc>
        <w:tc>
          <w:tcPr>
            <w:tcW w:w="6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38,129</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53,123</w:t>
            </w:r>
          </w:p>
        </w:tc>
      </w:tr>
      <w:tr>
        <w:trPr>
          <w:trHeight w:val="170"/>
        </w:trPr>
        <w:tc>
          <w:tcPr>
            <w:tcW w:w="5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0"/>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37,985</w:t>
            </w:r>
          </w:p>
        </w:tc>
        <w:tc>
          <w:tcPr>
            <w:tcW w:w="6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52,953</w:t>
            </w:r>
          </w:p>
        </w:tc>
      </w:tr>
      <w:tr>
        <w:trPr>
          <w:trHeight w:val="170"/>
        </w:trPr>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8,057</w:t>
            </w:r>
          </w:p>
        </w:tc>
        <w:tc>
          <w:tcPr>
            <w:tcW w:w="6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19,435</w:t>
            </w:r>
          </w:p>
        </w:tc>
      </w:tr>
      <w:tr>
        <w:trPr>
          <w:trHeight w:val="170"/>
        </w:trPr>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66,524</w:t>
            </w:r>
          </w:p>
        </w:tc>
        <w:tc>
          <w:tcPr>
            <w:tcW w:w="6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65,705</w:t>
            </w:r>
          </w:p>
        </w:tc>
      </w:tr>
      <w:tr>
        <w:trPr>
          <w:trHeight w:val="170"/>
        </w:trPr>
        <w:tc>
          <w:tcPr>
            <w:tcW w:w="54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30,301</w:t>
            </w:r>
          </w:p>
        </w:tc>
        <w:tc>
          <w:tcPr>
            <w:tcW w:w="6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21,900</w:t>
            </w:r>
          </w:p>
        </w:tc>
      </w:tr>
      <w:tr>
        <w:trPr>
          <w:trHeight w:val="170"/>
        </w:trPr>
        <w:tc>
          <w:tcPr>
            <w:tcW w:w="54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24,877</w:t>
            </w:r>
          </w:p>
        </w:tc>
        <w:tc>
          <w:tcPr>
            <w:tcW w:w="6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14,358</w:t>
            </w:r>
          </w:p>
        </w:tc>
      </w:tr>
      <w:tr>
        <w:trPr>
          <w:trHeight w:val="170"/>
        </w:trPr>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121,702</w:t>
            </w:r>
          </w:p>
        </w:tc>
        <w:tc>
          <w:tcPr>
            <w:tcW w:w="6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101,963</w:t>
            </w:r>
          </w:p>
        </w:tc>
      </w:tr>
      <w:tr>
        <w:trPr>
          <w:trHeight w:val="170"/>
        </w:trPr>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tabs>
          <w:tab w:leader="none" w:pos="700" w:val="left"/>
          <w:tab w:leader="none" w:pos="2020" w:val="left"/>
          <w:tab w:leader="none" w:pos="2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167,744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174,351</w:t>
      </w:r>
    </w:p>
    <w:p>
      <w:pPr>
        <w:spacing w:after="0"/>
        <w:tabs>
          <w:tab w:leader="none" w:pos="2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050" w:space="260"/>
            <w:col w:w="3440"/>
          </w:cols>
          <w:pgMar w:left="230" w:top="627" w:right="919" w:bottom="1440" w:gutter="0" w:footer="0" w:header="0"/>
        </w:sectPr>
      </w:pPr>
    </w:p>
    <w:bookmarkStart w:id="123" w:name="page124"/>
    <w:bookmarkEnd w:id="123"/>
    <w:p>
      <w:pPr>
        <w:jc w:val="center"/>
        <w:ind w:right="1590"/>
        <w:spacing w:after="0" w:line="237"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2002, 2001, AND 2000 (Dollars in thousands, except share data)</w:t>
      </w:r>
    </w:p>
    <w:p>
      <w:pPr>
        <w:spacing w:after="0" w:line="176" w:lineRule="exact"/>
        <w:rPr>
          <w:sz w:val="20"/>
          <w:szCs w:val="20"/>
          <w:color w:val="auto"/>
        </w:rPr>
      </w:pPr>
    </w:p>
    <w:p>
      <w:pPr>
        <w:ind w:left="10" w:right="1580" w:firstLine="793"/>
        <w:spacing w:after="0" w:line="238" w:lineRule="auto"/>
        <w:rPr>
          <w:sz w:val="20"/>
          <w:szCs w:val="20"/>
          <w:color w:val="auto"/>
        </w:rPr>
      </w:pPr>
      <w:r>
        <w:rPr>
          <w:rFonts w:ascii="Courier New" w:cs="Courier New" w:eastAsia="Courier New" w:hAnsi="Courier New"/>
          <w:sz w:val="15"/>
          <w:szCs w:val="15"/>
          <w:color w:val="auto"/>
        </w:rPr>
        <w:t>With respect to Ocwen NIMs Corp., we act as the special servicer for three of the underlying securitization trusts and as the master servicer for one of the underlying securitization trusts. In connection with our role as master servicer for one trust and as special servicer for the two of the other three trusts, we have the option to cause each trust to adopt a plan of complete liquidation at such time as the remaining aggregate principal balance of the loans in the trust is equal to or less than 10% of the initial aggregate principal balance of the loans at the date the trust was initiated. Through the exercise of these rights, we may cause the early redemption of the notes issued by Ocwen NIMs Corp. The transfer of the three securities by Ocwen to Ocwen NIMs Corp. did not qualify for sales treatment for accounting purposes, since we retained effective control over the securities transferred. Accordingly, the amount of proceeds from the transfer is reported as a secured borrowing with pledge of collateral (bonds-match funded agreements) in our consolidated statement of financial condition. See Note 14.</w:t>
      </w:r>
    </w:p>
    <w:p>
      <w:pPr>
        <w:spacing w:after="0" w:line="185" w:lineRule="exact"/>
        <w:rPr>
          <w:sz w:val="20"/>
          <w:szCs w:val="20"/>
          <w:color w:val="auto"/>
        </w:rPr>
      </w:pPr>
    </w:p>
    <w:p>
      <w:pPr>
        <w:ind w:left="10" w:right="1580" w:firstLine="793"/>
        <w:spacing w:after="0" w:line="237" w:lineRule="auto"/>
        <w:rPr>
          <w:sz w:val="20"/>
          <w:szCs w:val="20"/>
          <w:color w:val="auto"/>
        </w:rPr>
      </w:pPr>
      <w:r>
        <w:rPr>
          <w:rFonts w:ascii="Courier New" w:cs="Courier New" w:eastAsia="Courier New" w:hAnsi="Courier New"/>
          <w:sz w:val="15"/>
          <w:szCs w:val="15"/>
          <w:color w:val="auto"/>
        </w:rPr>
        <w:t>The following table summarizes the maturities of our match funded securities at December 31, 2002. Maturities are based on weighted-average unpaid principal balance and reflect anticipated future prepayments based on a consensus of dealers in the market.</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Due within one year</w:t>
            </w:r>
          </w:p>
        </w:tc>
        <w:tc>
          <w:tcPr>
            <w:tcW w:w="3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Due after 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through</w:t>
            </w:r>
          </w:p>
        </w:tc>
        <w:tc>
          <w:tcPr>
            <w:tcW w:w="3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5 years...............................</w:t>
            </w: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2,989</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Due after 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through</w:t>
            </w:r>
          </w:p>
        </w:tc>
        <w:tc>
          <w:tcPr>
            <w:tcW w:w="3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10 years..............................</w:t>
            </w: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1,613</w:t>
            </w:r>
          </w:p>
        </w:tc>
      </w:tr>
      <w:tr>
        <w:trPr>
          <w:trHeight w:val="170"/>
        </w:trPr>
        <w:tc>
          <w:tcPr>
            <w:tcW w:w="5420" w:type="dxa"/>
            <w:vAlign w:val="bottom"/>
            <w:gridSpan w:val="3"/>
          </w:tcPr>
          <w:p>
            <w:pPr>
              <w:spacing w:after="0"/>
              <w:rPr>
                <w:sz w:val="20"/>
                <w:szCs w:val="20"/>
                <w:color w:val="auto"/>
              </w:rPr>
            </w:pPr>
            <w:r>
              <w:rPr>
                <w:rFonts w:ascii="Courier New" w:cs="Courier New" w:eastAsia="Courier New" w:hAnsi="Courier New"/>
                <w:sz w:val="15"/>
                <w:szCs w:val="15"/>
                <w:color w:val="auto"/>
              </w:rPr>
              <w:t>Due after 10 years........................................</w:t>
            </w: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2,337</w:t>
            </w: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8,057</w:t>
            </w: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1580" w:firstLine="793"/>
        <w:spacing w:after="0" w:line="238" w:lineRule="auto"/>
        <w:rPr>
          <w:sz w:val="20"/>
          <w:szCs w:val="20"/>
          <w:color w:val="auto"/>
        </w:rPr>
      </w:pPr>
      <w:r>
        <w:rPr>
          <w:rFonts w:ascii="Courier New" w:cs="Courier New" w:eastAsia="Courier New" w:hAnsi="Courier New"/>
          <w:sz w:val="15"/>
          <w:szCs w:val="15"/>
          <w:color w:val="auto"/>
        </w:rPr>
        <w:t>Match funded advances on loans serviced for others resulted from the transfer of certain advances on loans serviced for others to a third party. According to the terms of transfer agreement, we retain the option, at any time, to purchase from the transferee up to 5% of the aggregate advances outstanding and the right to select the specific advances to be repurchased. Accordingly, we retain control of the advances and therefore the transfer did not qualify as a sale for accounting purposes. As a result, the proceeds we received from the transfer are reported as a secured borrowing with pledge of collateral (bonds-match funded agreements) in our consolidated statement of financial condition. See Note 14.</w:t>
      </w:r>
    </w:p>
    <w:p>
      <w:pPr>
        <w:spacing w:after="0" w:line="3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7 REAL ESTATE OWNED</w:t>
      </w:r>
    </w:p>
    <w:p>
      <w:pPr>
        <w:spacing w:after="0" w:line="175" w:lineRule="exact"/>
        <w:rPr>
          <w:sz w:val="20"/>
          <w:szCs w:val="20"/>
          <w:color w:val="auto"/>
        </w:rPr>
      </w:pPr>
    </w:p>
    <w:p>
      <w:pPr>
        <w:ind w:left="10" w:right="1940" w:firstLine="793"/>
        <w:spacing w:after="0" w:line="235" w:lineRule="auto"/>
        <w:rPr>
          <w:sz w:val="20"/>
          <w:szCs w:val="20"/>
          <w:color w:val="auto"/>
        </w:rPr>
      </w:pPr>
      <w:r>
        <w:rPr>
          <w:rFonts w:ascii="Courier New" w:cs="Courier New" w:eastAsia="Courier New" w:hAnsi="Courier New"/>
          <w:sz w:val="15"/>
          <w:szCs w:val="15"/>
          <w:color w:val="auto"/>
        </w:rPr>
        <w:t>Real estate owned, net of valuation allowance, is held for sale and comprised of the following property types at December 31:</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180" w:type="dxa"/>
            <w:vAlign w:val="bottom"/>
          </w:tcPr>
          <w:p>
            <w:pPr>
              <w:spacing w:after="0"/>
              <w:rPr>
                <w:sz w:val="14"/>
                <w:szCs w:val="14"/>
                <w:color w:val="auto"/>
              </w:rPr>
            </w:pPr>
          </w:p>
        </w:tc>
        <w:tc>
          <w:tcPr>
            <w:tcW w:w="12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spacing w:after="0"/>
              <w:rPr>
                <w:sz w:val="14"/>
                <w:szCs w:val="14"/>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93"/>
              </w:rPr>
              <w:t>Single family residential........................</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1,886</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16,424</w:t>
            </w:r>
          </w:p>
        </w:tc>
        <w:tc>
          <w:tcPr>
            <w:tcW w:w="1000" w:type="dxa"/>
            <w:vAlign w:val="bottom"/>
          </w:tcPr>
          <w:p>
            <w:pPr>
              <w:spacing w:after="0"/>
              <w:rPr>
                <w:sz w:val="14"/>
                <w:szCs w:val="14"/>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93"/>
              </w:rPr>
              <w:t>Nonresidential real estate.......................</w:t>
            </w:r>
          </w:p>
        </w:tc>
        <w:tc>
          <w:tcPr>
            <w:tcW w:w="9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60,153</w:t>
            </w:r>
          </w:p>
        </w:tc>
        <w:tc>
          <w:tcPr>
            <w:tcW w:w="180" w:type="dxa"/>
            <w:vAlign w:val="bottom"/>
          </w:tcPr>
          <w:p>
            <w:pPr>
              <w:spacing w:after="0"/>
              <w:rPr>
                <w:sz w:val="14"/>
                <w:szCs w:val="14"/>
                <w:color w:val="auto"/>
              </w:rPr>
            </w:pP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94,041</w:t>
            </w:r>
          </w:p>
        </w:tc>
        <w:tc>
          <w:tcPr>
            <w:tcW w:w="100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62,039</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110,465</w:t>
            </w:r>
          </w:p>
        </w:tc>
        <w:tc>
          <w:tcPr>
            <w:tcW w:w="100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spacing w:after="0"/>
              <w:rPr>
                <w:sz w:val="14"/>
                <w:szCs w:val="14"/>
                <w:color w:val="auto"/>
              </w:rPr>
            </w:pPr>
          </w:p>
        </w:tc>
      </w:tr>
      <w:tr>
        <w:trPr>
          <w:trHeight w:val="339"/>
        </w:trPr>
        <w:tc>
          <w:tcPr>
            <w:tcW w:w="7620" w:type="dxa"/>
            <w:vAlign w:val="bottom"/>
            <w:gridSpan w:val="7"/>
          </w:tcPr>
          <w:p>
            <w:pPr>
              <w:jc w:val="right"/>
              <w:ind w:right="507"/>
              <w:spacing w:after="0"/>
              <w:rPr>
                <w:sz w:val="20"/>
                <w:szCs w:val="20"/>
                <w:color w:val="auto"/>
              </w:rPr>
            </w:pPr>
            <w:r>
              <w:rPr>
                <w:rFonts w:ascii="Courier New" w:cs="Courier New" w:eastAsia="Courier New" w:hAnsi="Courier New"/>
                <w:sz w:val="15"/>
                <w:szCs w:val="15"/>
                <w:color w:val="auto"/>
              </w:rPr>
              <w:t>The following table sets forth by type of property certain geographical</w:t>
            </w:r>
          </w:p>
        </w:tc>
        <w:tc>
          <w:tcPr>
            <w:tcW w:w="1000" w:type="dxa"/>
            <w:vAlign w:val="bottom"/>
          </w:tcPr>
          <w:p>
            <w:pPr>
              <w:spacing w:after="0"/>
              <w:rPr>
                <w:sz w:val="24"/>
                <w:szCs w:val="24"/>
                <w:color w:val="auto"/>
              </w:rPr>
            </w:pPr>
          </w:p>
        </w:tc>
      </w:tr>
      <w:tr>
        <w:trPr>
          <w:trHeight w:val="170"/>
        </w:trPr>
        <w:tc>
          <w:tcPr>
            <w:tcW w:w="6160" w:type="dxa"/>
            <w:vAlign w:val="bottom"/>
            <w:gridSpan w:val="4"/>
          </w:tcPr>
          <w:p>
            <w:pPr>
              <w:spacing w:after="0"/>
              <w:rPr>
                <w:sz w:val="20"/>
                <w:szCs w:val="20"/>
                <w:color w:val="auto"/>
              </w:rPr>
            </w:pPr>
            <w:r>
              <w:rPr>
                <w:rFonts w:ascii="Courier New" w:cs="Courier New" w:eastAsia="Courier New" w:hAnsi="Courier New"/>
                <w:sz w:val="15"/>
                <w:szCs w:val="15"/>
                <w:color w:val="auto"/>
              </w:rPr>
              <w:t>information related to our real estate owned at December 31, 2002: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8"/>
        </w:trPr>
        <w:tc>
          <w:tcPr>
            <w:tcW w:w="396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Single Family Residential</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Nonresidential</w:t>
            </w:r>
          </w:p>
        </w:tc>
      </w:tr>
      <w:tr>
        <w:trPr>
          <w:trHeight w:val="170"/>
        </w:trPr>
        <w:tc>
          <w:tcPr>
            <w:tcW w:w="39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of</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 of</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Properties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Amount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Properties</w:t>
            </w:r>
          </w:p>
        </w:tc>
      </w:tr>
      <w:tr>
        <w:trPr>
          <w:trHeight w:val="170"/>
        </w:trPr>
        <w:tc>
          <w:tcPr>
            <w:tcW w:w="39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(1)...............................</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1,886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60,153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3960" w:type="dxa"/>
            <w:vAlign w:val="bottom"/>
          </w:tcPr>
          <w:p>
            <w:pPr>
              <w:spacing w:after="0"/>
              <w:rPr>
                <w:sz w:val="14"/>
                <w:szCs w:val="14"/>
                <w:color w:val="auto"/>
              </w:rPr>
            </w:pP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2200" w:hanging="790"/>
        <w:spacing w:after="0" w:line="235" w:lineRule="auto"/>
        <w:tabs>
          <w:tab w:leader="none" w:pos="79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18 other states, none of which aggregated over $219 in any one state.</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of</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Properties</w:t>
            </w:r>
          </w:p>
        </w:tc>
      </w:tr>
      <w:tr>
        <w:trPr>
          <w:trHeight w:val="170"/>
        </w:trPr>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18,620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62,039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8630" w:space="360"/>
            <w:col w:w="2120"/>
          </w:cols>
          <w:pgMar w:left="230" w:top="627" w:right="559" w:bottom="904" w:gutter="0" w:footer="0" w:header="0"/>
        </w:sectPr>
      </w:pPr>
    </w:p>
    <w:bookmarkStart w:id="124" w:name="page125"/>
    <w:bookmarkEnd w:id="124"/>
    <w:p>
      <w:pPr>
        <w:jc w:val="center"/>
        <w:ind w:right="413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3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405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following schedule presents the activity, in aggregate, in the</w:t>
      </w:r>
    </w:p>
    <w:tbl>
      <w:tblPr>
        <w:tblLayout w:type="fixed"/>
        <w:tblInd w:w="10" w:type="dxa"/>
        <w:tblCellMar>
          <w:top w:w="0" w:type="dxa"/>
          <w:left w:w="0" w:type="dxa"/>
          <w:bottom w:w="0" w:type="dxa"/>
          <w:right w:w="0" w:type="dxa"/>
        </w:tblCellMar>
      </w:tblP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valuation allowance on our real estate owned for the years ended December 31:</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7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735"/>
              <w:spacing w:after="0"/>
              <w:rPr>
                <w:sz w:val="20"/>
                <w:szCs w:val="20"/>
                <w:color w:val="auto"/>
              </w:rPr>
            </w:pPr>
            <w:r>
              <w:rPr>
                <w:rFonts w:ascii="Courier New" w:cs="Courier New" w:eastAsia="Courier New" w:hAnsi="Courier New"/>
                <w:sz w:val="15"/>
                <w:szCs w:val="15"/>
                <w:color w:val="auto"/>
                <w:w w:val="88"/>
              </w:rPr>
              <w:t>2002</w:t>
            </w:r>
          </w:p>
        </w:tc>
        <w:tc>
          <w:tcPr>
            <w:tcW w:w="220" w:type="dxa"/>
            <w:vAlign w:val="bottom"/>
          </w:tcPr>
          <w:p>
            <w:pPr>
              <w:spacing w:after="0"/>
              <w:rPr>
                <w:sz w:val="24"/>
                <w:szCs w:val="2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40" w:type="dxa"/>
            <w:vAlign w:val="bottom"/>
          </w:tcPr>
          <w:p>
            <w:pPr>
              <w:spacing w:after="0"/>
              <w:rPr>
                <w:sz w:val="14"/>
                <w:szCs w:val="14"/>
                <w:color w:val="auto"/>
              </w:rPr>
            </w:pPr>
          </w:p>
        </w:tc>
        <w:tc>
          <w:tcPr>
            <w:tcW w:w="1500" w:type="dxa"/>
            <w:vAlign w:val="bottom"/>
            <w:gridSpan w:val="2"/>
          </w:tcPr>
          <w:p>
            <w:pPr>
              <w:jc w:val="right"/>
              <w:ind w:right="45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455"/>
              <w:spacing w:after="0"/>
              <w:rPr>
                <w:sz w:val="20"/>
                <w:szCs w:val="20"/>
                <w:color w:val="auto"/>
              </w:rPr>
            </w:pPr>
            <w:r>
              <w:rPr>
                <w:rFonts w:ascii="Courier New" w:cs="Courier New" w:eastAsia="Courier New" w:hAnsi="Courier New"/>
                <w:sz w:val="15"/>
                <w:szCs w:val="15"/>
                <w:color w:val="auto"/>
              </w:rPr>
              <w:t>19,098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18,142</w:t>
            </w:r>
          </w:p>
        </w:tc>
        <w:tc>
          <w:tcPr>
            <w:tcW w:w="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17,181</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Provision for losses.....................................................</w:t>
            </w:r>
          </w:p>
        </w:tc>
        <w:tc>
          <w:tcPr>
            <w:tcW w:w="36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Courier New" w:cs="Courier New" w:eastAsia="Courier New" w:hAnsi="Courier New"/>
                <w:sz w:val="15"/>
                <w:szCs w:val="15"/>
                <w:color w:val="auto"/>
              </w:rPr>
              <w:t>19,685</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17,766</w:t>
            </w:r>
          </w:p>
        </w:tc>
        <w:tc>
          <w:tcPr>
            <w:tcW w:w="5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26,674</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36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Courier New" w:cs="Courier New" w:eastAsia="Courier New" w:hAnsi="Courier New"/>
                <w:sz w:val="15"/>
                <w:szCs w:val="15"/>
                <w:color w:val="auto"/>
              </w:rPr>
              <w:t>(5,304)</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(2,352)</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(4,129)</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Courier New" w:cs="Courier New" w:eastAsia="Courier New" w:hAnsi="Courier New"/>
                <w:sz w:val="15"/>
                <w:szCs w:val="15"/>
                <w:color w:val="auto"/>
              </w:rPr>
              <w:t>(7,835)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(14,458)</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(21,584)</w:t>
            </w:r>
          </w:p>
        </w:tc>
      </w:tr>
      <w:tr>
        <w:trPr>
          <w:trHeight w:val="170"/>
        </w:trPr>
        <w:tc>
          <w:tcPr>
            <w:tcW w:w="7040" w:type="dxa"/>
            <w:vAlign w:val="bottom"/>
          </w:tcPr>
          <w:p>
            <w:pPr>
              <w:spacing w:after="0"/>
              <w:rPr>
                <w:sz w:val="14"/>
                <w:szCs w:val="14"/>
                <w:color w:val="auto"/>
              </w:rPr>
            </w:pPr>
          </w:p>
        </w:tc>
        <w:tc>
          <w:tcPr>
            <w:tcW w:w="1500" w:type="dxa"/>
            <w:vAlign w:val="bottom"/>
            <w:gridSpan w:val="2"/>
          </w:tcPr>
          <w:p>
            <w:pPr>
              <w:jc w:val="right"/>
              <w:ind w:right="45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455"/>
              <w:spacing w:after="0"/>
              <w:rPr>
                <w:sz w:val="20"/>
                <w:szCs w:val="20"/>
                <w:color w:val="auto"/>
              </w:rPr>
            </w:pPr>
            <w:r>
              <w:rPr>
                <w:rFonts w:ascii="Courier New" w:cs="Courier New" w:eastAsia="Courier New" w:hAnsi="Courier New"/>
                <w:sz w:val="15"/>
                <w:szCs w:val="15"/>
                <w:color w:val="auto"/>
              </w:rPr>
              <w:t>25,644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19,098</w:t>
            </w:r>
          </w:p>
        </w:tc>
        <w:tc>
          <w:tcPr>
            <w:tcW w:w="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18,142</w:t>
            </w:r>
          </w:p>
        </w:tc>
      </w:tr>
      <w:tr>
        <w:trPr>
          <w:trHeight w:val="170"/>
        </w:trPr>
        <w:tc>
          <w:tcPr>
            <w:tcW w:w="7040" w:type="dxa"/>
            <w:vAlign w:val="bottom"/>
          </w:tcPr>
          <w:p>
            <w:pPr>
              <w:spacing w:after="0"/>
              <w:rPr>
                <w:sz w:val="14"/>
                <w:szCs w:val="14"/>
                <w:color w:val="auto"/>
              </w:rPr>
            </w:pPr>
          </w:p>
        </w:tc>
        <w:tc>
          <w:tcPr>
            <w:tcW w:w="1500" w:type="dxa"/>
            <w:vAlign w:val="bottom"/>
            <w:gridSpan w:val="2"/>
          </w:tcPr>
          <w:p>
            <w:pPr>
              <w:jc w:val="right"/>
              <w:ind w:right="45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7040" w:type="dxa"/>
            <w:vAlign w:val="bottom"/>
          </w:tcPr>
          <w:p>
            <w:pPr>
              <w:spacing w:after="0"/>
              <w:rPr>
                <w:sz w:val="20"/>
                <w:szCs w:val="20"/>
                <w:color w:val="auto"/>
              </w:rPr>
            </w:pPr>
            <w:r>
              <w:rPr>
                <w:rFonts w:ascii="Courier New" w:cs="Courier New" w:eastAsia="Courier New" w:hAnsi="Courier New"/>
                <w:sz w:val="15"/>
                <w:szCs w:val="15"/>
                <w:color w:val="auto"/>
              </w:rPr>
              <w:t>NOTE 8 INVESTMENT IN REAL ESTATE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040" w:type="dxa"/>
            <w:vAlign w:val="bottom"/>
          </w:tcPr>
          <w:p>
            <w:pPr>
              <w:ind w:left="780"/>
              <w:spacing w:after="0"/>
              <w:rPr>
                <w:sz w:val="20"/>
                <w:szCs w:val="20"/>
                <w:color w:val="auto"/>
              </w:rPr>
            </w:pPr>
            <w:r>
              <w:rPr>
                <w:rFonts w:ascii="Courier New" w:cs="Courier New" w:eastAsia="Courier New" w:hAnsi="Courier New"/>
                <w:sz w:val="15"/>
                <w:szCs w:val="15"/>
                <w:color w:val="auto"/>
              </w:rPr>
              <w:t>Our investment in real estate consisted of the following at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7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w w:val="94"/>
              </w:rPr>
              <w:t>2002</w:t>
            </w:r>
          </w:p>
        </w:tc>
        <w:tc>
          <w:tcPr>
            <w:tcW w:w="14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Properties held for investment (1)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Office buildings....................................................................</w:t>
            </w:r>
          </w:p>
        </w:tc>
        <w:tc>
          <w:tcPr>
            <w:tcW w:w="11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27,602</w:t>
            </w: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32,132</w:t>
            </w: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Retail..............................................................................</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9,090</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29,637</w:t>
            </w: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Building improvements...............................................................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17,387</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17,513</w:t>
            </w: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Tenant improvements and lease commissions...........................................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2,795</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4,537</w:t>
            </w: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Furniture and fixtures..............................................................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56,904</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83,871</w:t>
            </w:r>
          </w:p>
        </w:tc>
      </w:tr>
      <w:tr>
        <w:trPr>
          <w:trHeight w:val="170"/>
        </w:trPr>
        <w:tc>
          <w:tcPr>
            <w:tcW w:w="7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Accumulated depreciation............................................................</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(5,316)</w:t>
            </w:r>
          </w:p>
        </w:tc>
        <w:tc>
          <w:tcPr>
            <w:tcW w:w="52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(5,327)</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51,588</w:t>
            </w:r>
          </w:p>
        </w:tc>
        <w:tc>
          <w:tcPr>
            <w:tcW w:w="5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78,544</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w w:val="94"/>
              </w:rPr>
              <w:t>Nonresidential loans accounted for as investments in real estate (2)...................</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2,188</w:t>
            </w:r>
          </w:p>
        </w:tc>
        <w:tc>
          <w:tcPr>
            <w:tcW w:w="5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w w:val="94"/>
              </w:rPr>
              <w:t>Investment in real estate partnerships (3).............................................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4,900</w:t>
            </w:r>
          </w:p>
        </w:tc>
        <w:tc>
          <w:tcPr>
            <w:tcW w:w="5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7,916</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780"/>
              <w:spacing w:after="0"/>
              <w:rPr>
                <w:sz w:val="20"/>
                <w:szCs w:val="20"/>
                <w:color w:val="auto"/>
              </w:rPr>
            </w:pPr>
            <w:r>
              <w:rPr>
                <w:rFonts w:ascii="Courier New" w:cs="Courier New" w:eastAsia="Courier New" w:hAnsi="Courier New"/>
                <w:sz w:val="10"/>
                <w:szCs w:val="10"/>
                <w:color w:val="auto"/>
                <w:w w:val="71"/>
              </w:rPr>
              <w:t>-------------</w:t>
            </w:r>
          </w:p>
        </w:tc>
        <w:tc>
          <w:tcPr>
            <w:tcW w:w="980" w:type="dxa"/>
            <w:vAlign w:val="bottom"/>
          </w:tcPr>
          <w:p>
            <w:pPr>
              <w:spacing w:after="0"/>
              <w:rPr>
                <w:sz w:val="14"/>
                <w:szCs w:val="14"/>
                <w:color w:val="auto"/>
              </w:rPr>
            </w:pP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58,676</w:t>
            </w:r>
          </w:p>
        </w:tc>
        <w:tc>
          <w:tcPr>
            <w:tcW w:w="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116,896</w:t>
            </w:r>
          </w:p>
        </w:tc>
      </w:tr>
      <w:tr>
        <w:trPr>
          <w:trHeight w:val="170"/>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790" w:right="4320" w:hanging="790"/>
        <w:spacing w:after="0" w:line="258" w:lineRule="auto"/>
        <w:tabs>
          <w:tab w:leader="none" w:pos="79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acquired these properties as a result of our acquisition of OAC in 1999. Our properties held for investment at December 31, 2002 are comprised of one office building located in Jacksonville, Florida and one retail shopping center located in Halifax, Nova Scotia. During 2002, we sold our shopping center located in Bradenton, Florida. We recorded impairment charges of $14,549 during 2002.</w:t>
      </w:r>
    </w:p>
    <w:p>
      <w:pPr>
        <w:spacing w:after="0" w:line="163" w:lineRule="exact"/>
        <w:rPr>
          <w:rFonts w:ascii="Courier New" w:cs="Courier New" w:eastAsia="Courier New" w:hAnsi="Courier New"/>
          <w:sz w:val="14"/>
          <w:szCs w:val="14"/>
          <w:color w:val="auto"/>
        </w:rPr>
      </w:pPr>
    </w:p>
    <w:p>
      <w:pPr>
        <w:ind w:left="790" w:right="4220" w:hanging="790"/>
        <w:spacing w:after="0" w:line="238" w:lineRule="auto"/>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acquired certain acquisition, development and construction loans in January 2000 in which we participate in the expected residual profits of the underlying real estate, and where the borrower has not contributed substantial equity to the project. As such we account for these loans under the equity method of accounting as though we had an investment in a real estate limited partnership.</w:t>
      </w:r>
    </w:p>
    <w:p>
      <w:pPr>
        <w:spacing w:after="0" w:line="175" w:lineRule="exact"/>
        <w:rPr>
          <w:rFonts w:ascii="Courier New" w:cs="Courier New" w:eastAsia="Courier New" w:hAnsi="Courier New"/>
          <w:sz w:val="15"/>
          <w:szCs w:val="15"/>
          <w:color w:val="auto"/>
        </w:rPr>
      </w:pPr>
    </w:p>
    <w:p>
      <w:pPr>
        <w:ind w:left="790" w:right="4500" w:hanging="790"/>
        <w:spacing w:after="0" w:line="235" w:lineRule="auto"/>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interests in two limited partnerships operating as real estate ventures, consisting of multi-family type properties.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9 MORTGAGE SERVICING</w:t>
      </w:r>
    </w:p>
    <w:p>
      <w:pPr>
        <w:spacing w:after="0" w:line="175" w:lineRule="exact"/>
        <w:rPr>
          <w:sz w:val="20"/>
          <w:szCs w:val="20"/>
          <w:color w:val="auto"/>
        </w:rPr>
      </w:pPr>
    </w:p>
    <w:p>
      <w:pPr>
        <w:ind w:left="10" w:right="4220" w:firstLine="793"/>
        <w:spacing w:after="0" w:line="257" w:lineRule="auto"/>
        <w:rPr>
          <w:sz w:val="20"/>
          <w:szCs w:val="20"/>
          <w:color w:val="auto"/>
        </w:rPr>
      </w:pPr>
      <w:r>
        <w:rPr>
          <w:rFonts w:ascii="Courier New" w:cs="Courier New" w:eastAsia="Courier New" w:hAnsi="Courier New"/>
          <w:sz w:val="14"/>
          <w:szCs w:val="14"/>
          <w:color w:val="auto"/>
        </w:rPr>
        <w:t>Under contractual servicing agreements with investors, we service mortgage and non-mortgage loans that we do not own. The total unpaid principal balance of such loans we serviced for others was $32,069,363 and $23,164,012 at December 31, 2002 and 2001, respectively, and is excluded from our consolidated statements of financial condition. We similarly exclude from our statements of financial condition funds representing collections of principal and interest we have received from borrowers that are on deposit with an unaffiliated bank. Those funds amounted to $581,507 and $324,027 at December 31, 2002 and 2001, respectively. Servicing fees and other servicing-related income we earned on loans we serviced for others, net of servicing rights amortization, amounted to $112,720, $112,624 and $78,567 for the years ended December 31, 2002, 2001 and 2000, respectively. These net fees are included in servicing and other fees</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1190"/>
          </w:cols>
          <w:pgMar w:left="230" w:top="622" w:right="479" w:bottom="565" w:gutter="0" w:footer="0" w:header="0"/>
        </w:sectPr>
      </w:pPr>
    </w:p>
    <w:bookmarkStart w:id="125" w:name="page126"/>
    <w:bookmarkEnd w:id="125"/>
    <w:p>
      <w:pPr>
        <w:jc w:val="center"/>
        <w:ind w:right="317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left="10" w:right="3259"/>
        <w:spacing w:after="0" w:line="260" w:lineRule="auto"/>
        <w:rPr>
          <w:sz w:val="20"/>
          <w:szCs w:val="20"/>
          <w:color w:val="auto"/>
        </w:rPr>
      </w:pPr>
      <w:r>
        <w:rPr>
          <w:rFonts w:ascii="Courier New" w:cs="Courier New" w:eastAsia="Courier New" w:hAnsi="Courier New"/>
          <w:sz w:val="14"/>
          <w:szCs w:val="14"/>
          <w:color w:val="auto"/>
        </w:rPr>
        <w:t>in our consolidated statements of operations. In general, these servicing agreements include guidelines and procedures for servicing the loans, including servicing, remittance and reporting requirements, among other provisions.</w:t>
      </w:r>
    </w:p>
    <w:p>
      <w:pPr>
        <w:spacing w:after="0" w:line="163"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We earn servicing and sub-servicing income primarily on mortgage loans secured by real estate in 50 states. At December 31, 2002, the geographic distribution based on the unpaid principal balance of the loans we serviced was as follows: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Amount (1)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 of Loans (1)</w:t>
            </w:r>
          </w:p>
        </w:tc>
      </w:tr>
      <w:tr>
        <w:trPr>
          <w:trHeight w:val="170"/>
        </w:trPr>
        <w:tc>
          <w:tcPr>
            <w:tcW w:w="39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California..................................</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9,846,539</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66,078</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Florida.....................................</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2,022,733</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25,075</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New York....................................</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1,786,745</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17,009</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Illinois....................................</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1,705,760</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Texas.......................................</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1,548,019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23,547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Other (2)...................................</w:t>
            </w:r>
          </w:p>
        </w:tc>
        <w:tc>
          <w:tcPr>
            <w:tcW w:w="5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15,159,567</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190,369</w:t>
            </w:r>
          </w:p>
        </w:tc>
      </w:tr>
      <w:tr>
        <w:trPr>
          <w:trHeight w:val="170"/>
        </w:trPr>
        <w:tc>
          <w:tcPr>
            <w:tcW w:w="3960" w:type="dxa"/>
            <w:vAlign w:val="bottom"/>
          </w:tcPr>
          <w:p>
            <w:pPr>
              <w:spacing w:after="0"/>
              <w:rPr>
                <w:sz w:val="14"/>
                <w:szCs w:val="14"/>
                <w:color w:val="auto"/>
              </w:rPr>
            </w:pP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32,069,363</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336,678</w:t>
            </w:r>
          </w:p>
        </w:tc>
      </w:tr>
      <w:tr>
        <w:trPr>
          <w:trHeight w:val="170"/>
        </w:trPr>
        <w:tc>
          <w:tcPr>
            <w:tcW w:w="3960" w:type="dxa"/>
            <w:vAlign w:val="bottom"/>
          </w:tcPr>
          <w:p>
            <w:pPr>
              <w:spacing w:after="0"/>
              <w:rPr>
                <w:sz w:val="14"/>
                <w:szCs w:val="14"/>
                <w:color w:val="auto"/>
              </w:rPr>
            </w:pP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790" w:right="3359" w:hanging="790"/>
        <w:spacing w:after="0" w:line="235" w:lineRule="auto"/>
        <w:tabs>
          <w:tab w:leader="none" w:pos="7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1,387 non-mortgage loans with an unpaid principal balance of $236,866.</w:t>
      </w:r>
    </w:p>
    <w:p>
      <w:pPr>
        <w:spacing w:after="0" w:line="175" w:lineRule="exact"/>
        <w:rPr>
          <w:rFonts w:ascii="Courier New" w:cs="Courier New" w:eastAsia="Courier New" w:hAnsi="Courier New"/>
          <w:sz w:val="15"/>
          <w:szCs w:val="15"/>
          <w:color w:val="auto"/>
        </w:rPr>
      </w:pPr>
    </w:p>
    <w:p>
      <w:pPr>
        <w:ind w:left="790" w:right="3439" w:hanging="790"/>
        <w:spacing w:after="0" w:line="235" w:lineRule="auto"/>
        <w:tabs>
          <w:tab w:leader="none" w:pos="7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loans in 45 other states, none of which aggregated over $1,097,771 in any one state.</w:t>
      </w:r>
    </w:p>
    <w:p>
      <w:pPr>
        <w:spacing w:after="0" w:line="176"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The risk inherent in such concentrations is dependent upon regional and general economic conditions that affect property values.</w:t>
      </w:r>
    </w:p>
    <w:p>
      <w:pPr>
        <w:spacing w:after="0" w:line="176"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The following table summarizes the activity in our servicing rights for the years ended December 31:</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2002</w:t>
            </w:r>
          </w:p>
        </w:tc>
        <w:tc>
          <w:tcPr>
            <w:tcW w:w="38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04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the beginning of year...........</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101,107</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51,426</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62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128,891</w:t>
            </w:r>
          </w:p>
        </w:tc>
        <w:tc>
          <w:tcPr>
            <w:tcW w:w="38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79,522</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(58,153)</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(29,841)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Sale.......................................</w:t>
            </w:r>
          </w:p>
        </w:tc>
        <w:tc>
          <w:tcPr>
            <w:tcW w:w="6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c>
          <w:tcPr>
            <w:tcW w:w="38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at the end of the year.............</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171,611</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101,107</w:t>
            </w:r>
          </w:p>
        </w:tc>
      </w:tr>
      <w:tr>
        <w:trPr>
          <w:trHeight w:val="170"/>
        </w:trPr>
        <w:tc>
          <w:tcPr>
            <w:tcW w:w="404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699" w:firstLine="793"/>
        <w:spacing w:after="0" w:line="235" w:lineRule="auto"/>
        <w:rPr>
          <w:sz w:val="20"/>
          <w:szCs w:val="20"/>
          <w:color w:val="auto"/>
        </w:rPr>
      </w:pPr>
      <w:r>
        <w:rPr>
          <w:rFonts w:ascii="Courier New" w:cs="Courier New" w:eastAsia="Courier New" w:hAnsi="Courier New"/>
          <w:sz w:val="15"/>
          <w:szCs w:val="15"/>
          <w:color w:val="auto"/>
        </w:rPr>
        <w:t>At December 31, 2002 and 2001, we estimated the fair value of our servicing rights to be $219,600 and $200,500, respectively.</w:t>
      </w:r>
    </w:p>
    <w:p>
      <w:pPr>
        <w:spacing w:after="0" w:line="176" w:lineRule="exact"/>
        <w:rPr>
          <w:sz w:val="20"/>
          <w:szCs w:val="20"/>
          <w:color w:val="auto"/>
        </w:rPr>
      </w:pPr>
    </w:p>
    <w:p>
      <w:pPr>
        <w:ind w:left="10" w:right="3619" w:firstLine="793"/>
        <w:spacing w:after="0" w:line="235" w:lineRule="auto"/>
        <w:rPr>
          <w:sz w:val="20"/>
          <w:szCs w:val="20"/>
          <w:color w:val="auto"/>
        </w:rPr>
      </w:pPr>
      <w:r>
        <w:rPr>
          <w:rFonts w:ascii="Courier New" w:cs="Courier New" w:eastAsia="Courier New" w:hAnsi="Courier New"/>
          <w:sz w:val="15"/>
          <w:szCs w:val="15"/>
          <w:color w:val="auto"/>
        </w:rPr>
        <w:t>Advances related to our loans serviced for others consisted of the following at December 31:</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0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Principal and interest.....................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63,326</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107,319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Taxes and insurance........................</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117,937</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99,972</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84,455</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69,543</w:t>
            </w:r>
          </w:p>
        </w:tc>
      </w:tr>
      <w:tr>
        <w:trPr>
          <w:trHeight w:val="170"/>
        </w:trPr>
        <w:tc>
          <w:tcPr>
            <w:tcW w:w="40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265,718</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276,834</w:t>
            </w:r>
          </w:p>
        </w:tc>
      </w:tr>
      <w:tr>
        <w:trPr>
          <w:trHeight w:val="170"/>
        </w:trPr>
        <w:tc>
          <w:tcPr>
            <w:tcW w:w="40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Advances related to our loans serviced for others do not include advances on our loan portfolios of $638 and $6,349 at December 31, 2002 and 2001, respectively. These advances also do not include advances reported as part of match funded assets. See Note 6.</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29"/>
          </w:cols>
          <w:pgMar w:left="230" w:top="622" w:right="1440" w:bottom="1440" w:gutter="0" w:footer="0" w:header="0"/>
        </w:sectPr>
      </w:pPr>
    </w:p>
    <w:bookmarkStart w:id="126" w:name="page127"/>
    <w:bookmarkEnd w:id="126"/>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AFFORDABLE HOUSING PROPERTIES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investments in affordable housing properties were as follows at</w:t>
      </w:r>
    </w:p>
    <w:p>
      <w:pPr>
        <w:spacing w:after="0"/>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8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Investments solely as</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a limited partner made before May 18, 1995................</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6,838</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Investments solely as</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a limited partner made on or after May 18, 1995...........</w:t>
            </w:r>
          </w:p>
        </w:tc>
        <w:tc>
          <w:tcPr>
            <w:tcW w:w="7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11,962</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21,768</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Investments both as a</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limited and, through subsidiaries, as a general partner...</w:t>
            </w:r>
          </w:p>
        </w:tc>
        <w:tc>
          <w:tcPr>
            <w:tcW w:w="7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3,357</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73,463</w:t>
            </w:r>
          </w:p>
        </w:tc>
      </w:tr>
      <w:tr>
        <w:trPr>
          <w:trHeight w:val="170"/>
        </w:trPr>
        <w:tc>
          <w:tcPr>
            <w:tcW w:w="18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15,319</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102,069</w:t>
            </w:r>
          </w:p>
        </w:tc>
      </w:tr>
      <w:tr>
        <w:trPr>
          <w:trHeight w:val="170"/>
        </w:trPr>
        <w:tc>
          <w:tcPr>
            <w:tcW w:w="18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880" w:firstLine="793"/>
        <w:spacing w:after="0" w:line="237" w:lineRule="auto"/>
        <w:rPr>
          <w:sz w:val="20"/>
          <w:szCs w:val="20"/>
          <w:color w:val="auto"/>
        </w:rPr>
      </w:pPr>
      <w:r>
        <w:rPr>
          <w:rFonts w:ascii="Courier New" w:cs="Courier New" w:eastAsia="Courier New" w:hAnsi="Courier New"/>
          <w:sz w:val="15"/>
          <w:szCs w:val="15"/>
          <w:color w:val="auto"/>
        </w:rPr>
        <w:t>The qualified affordable housing projects underlying our investments in affordable housing properties are geographically located throughout the United States. At December 31, 2002, our largest single investment was $6,474, which related to a project located in N. Wildwood, New Jersey.</w:t>
      </w:r>
    </w:p>
    <w:p>
      <w:pPr>
        <w:spacing w:after="0" w:line="176" w:lineRule="exact"/>
        <w:rPr>
          <w:sz w:val="20"/>
          <w:szCs w:val="20"/>
          <w:color w:val="auto"/>
        </w:rPr>
      </w:pPr>
    </w:p>
    <w:p>
      <w:pPr>
        <w:ind w:right="3880" w:firstLine="793"/>
        <w:spacing w:after="0" w:line="257" w:lineRule="auto"/>
        <w:rPr>
          <w:sz w:val="20"/>
          <w:szCs w:val="20"/>
          <w:color w:val="auto"/>
        </w:rPr>
      </w:pPr>
      <w:r>
        <w:rPr>
          <w:rFonts w:ascii="Courier New" w:cs="Courier New" w:eastAsia="Courier New" w:hAnsi="Courier New"/>
          <w:sz w:val="14"/>
          <w:szCs w:val="14"/>
          <w:color w:val="auto"/>
        </w:rPr>
        <w:t>We record income on our limited partnership investments made before May 18, 1995 under the level yield method as a reduction of income tax expense. This income amounted to $521, $388 and $2,093 for the years ended December 31, 2002, 2001 and 2000, respectively. For 2000, we also recorded additional income tax expense of $6,875 related to certain of our limited partnership investments made before May 18, 1995 resulting from the sale of those investments in advance of their maturity for tax credit purposes. As a result, we could not realize all of the deferred tax benefit that had been previously recorded by us under the level yield method, and we reversed the related accrual for the excess benefits. For limited partnership investments made after May 18, 1995, and for investments as a limited and, through subsidiaries, as a general partner, we recognized tax credits of $2,164, $1,690 and $7,359 for the years ended December 31, 2002, 2001 and 2000, respectively, and recorded a loss after depreciation of $1,066, $993 and $3,483 from operations on the underlying real estate for the years ended December 31, 2002, 2001 and 2000, respectively.</w:t>
      </w:r>
    </w:p>
    <w:p>
      <w:pPr>
        <w:spacing w:after="0" w:line="165" w:lineRule="exact"/>
        <w:rPr>
          <w:sz w:val="20"/>
          <w:szCs w:val="20"/>
          <w:color w:val="auto"/>
        </w:rPr>
      </w:pPr>
    </w:p>
    <w:p>
      <w:pPr>
        <w:jc w:val="both"/>
        <w:ind w:right="4140" w:firstLine="793"/>
        <w:spacing w:after="0" w:line="256" w:lineRule="auto"/>
        <w:rPr>
          <w:sz w:val="20"/>
          <w:szCs w:val="20"/>
          <w:color w:val="auto"/>
        </w:rPr>
      </w:pPr>
      <w:r>
        <w:rPr>
          <w:rFonts w:ascii="Courier New" w:cs="Courier New" w:eastAsia="Courier New" w:hAnsi="Courier New"/>
          <w:sz w:val="14"/>
          <w:szCs w:val="14"/>
          <w:color w:val="auto"/>
        </w:rPr>
        <w:t>Included in our gains on other non-interest earning assets, net, for the years ended December 31, 2002, 2001 and 2000, are gains (losses) of $444, $(956) and $497, respectively, on the sales of affordable housing properties.</w:t>
      </w:r>
    </w:p>
    <w:p>
      <w:pPr>
        <w:spacing w:after="0" w:line="1" w:lineRule="exact"/>
        <w:rPr>
          <w:sz w:val="20"/>
          <w:szCs w:val="20"/>
          <w:color w:val="auto"/>
        </w:rPr>
      </w:pPr>
    </w:p>
    <w:p>
      <w:pPr>
        <w:ind w:right="3880"/>
        <w:spacing w:after="0" w:line="235" w:lineRule="auto"/>
        <w:rPr>
          <w:sz w:val="20"/>
          <w:szCs w:val="20"/>
          <w:color w:val="auto"/>
        </w:rPr>
      </w:pPr>
      <w:r>
        <w:rPr>
          <w:rFonts w:ascii="Courier New" w:cs="Courier New" w:eastAsia="Courier New" w:hAnsi="Courier New"/>
          <w:sz w:val="15"/>
          <w:szCs w:val="15"/>
          <w:color w:val="auto"/>
        </w:rPr>
        <w:t>The properties sold in 2002, 2001 and 2000 had carrying values, net of reserves, of $73,087, $55,652 and $28,942, respectively.</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During 2002 and 2001, we recorded charges of $17,350 and $15,587,</w:t>
      </w:r>
    </w:p>
    <w:p>
      <w:pPr>
        <w:spacing w:after="0"/>
        <w:rPr>
          <w:sz w:val="20"/>
          <w:szCs w:val="20"/>
          <w:color w:val="auto"/>
        </w:rPr>
      </w:pPr>
      <w:r>
        <w:rPr>
          <w:rFonts w:ascii="Courier New" w:cs="Courier New" w:eastAsia="Courier New" w:hAnsi="Courier New"/>
          <w:sz w:val="15"/>
          <w:szCs w:val="15"/>
          <w:color w:val="auto"/>
        </w:rPr>
        <w:t>respectively, to reserve for estimated losses from the sales of properties. We</w:t>
      </w:r>
    </w:p>
    <w:p>
      <w:pPr>
        <w:spacing w:after="0"/>
        <w:rPr>
          <w:sz w:val="20"/>
          <w:szCs w:val="20"/>
          <w:color w:val="auto"/>
        </w:rPr>
      </w:pPr>
      <w:r>
        <w:rPr>
          <w:rFonts w:ascii="Courier New" w:cs="Courier New" w:eastAsia="Courier New" w:hAnsi="Courier New"/>
          <w:sz w:val="15"/>
          <w:szCs w:val="15"/>
          <w:color w:val="auto"/>
        </w:rPr>
        <w:t>incurred an additional charge during 2002 of $3,944 to record a discount on a</w:t>
      </w:r>
    </w:p>
    <w:p>
      <w:pPr>
        <w:spacing w:after="0" w:line="238" w:lineRule="auto"/>
        <w:rPr>
          <w:sz w:val="20"/>
          <w:szCs w:val="20"/>
          <w:color w:val="auto"/>
        </w:rPr>
      </w:pPr>
      <w:r>
        <w:rPr>
          <w:rFonts w:ascii="Courier New" w:cs="Courier New" w:eastAsia="Courier New" w:hAnsi="Courier New"/>
          <w:sz w:val="15"/>
          <w:szCs w:val="15"/>
          <w:color w:val="auto"/>
        </w:rPr>
        <w:t>long-term note receivable taken in consideration for the sale of seven</w:t>
      </w:r>
    </w:p>
    <w:p>
      <w:pPr>
        <w:spacing w:after="0"/>
        <w:rPr>
          <w:sz w:val="20"/>
          <w:szCs w:val="20"/>
          <w:color w:val="auto"/>
        </w:rPr>
      </w:pPr>
      <w:r>
        <w:rPr>
          <w:rFonts w:ascii="Courier New" w:cs="Courier New" w:eastAsia="Courier New" w:hAnsi="Courier New"/>
          <w:sz w:val="15"/>
          <w:szCs w:val="15"/>
          <w:color w:val="auto"/>
        </w:rPr>
        <w:t>properties. We are accreting this discount to income over the term of the</w:t>
      </w:r>
    </w:p>
    <w:p>
      <w:pPr>
        <w:spacing w:after="0"/>
        <w:rPr>
          <w:sz w:val="20"/>
          <w:szCs w:val="20"/>
          <w:color w:val="auto"/>
        </w:rPr>
      </w:pPr>
      <w:r>
        <w:rPr>
          <w:rFonts w:ascii="Courier New" w:cs="Courier New" w:eastAsia="Courier New" w:hAnsi="Courier New"/>
          <w:sz w:val="15"/>
          <w:szCs w:val="15"/>
          <w:color w:val="auto"/>
        </w:rPr>
        <w:t>related receivable balance, which extends through September 2014. During 2000,</w:t>
      </w:r>
    </w:p>
    <w:p>
      <w:pPr>
        <w:spacing w:after="0" w:line="238" w:lineRule="auto"/>
        <w:rPr>
          <w:sz w:val="20"/>
          <w:szCs w:val="20"/>
          <w:color w:val="auto"/>
        </w:rPr>
      </w:pPr>
      <w:r>
        <w:rPr>
          <w:rFonts w:ascii="Courier New" w:cs="Courier New" w:eastAsia="Courier New" w:hAnsi="Courier New"/>
          <w:sz w:val="15"/>
          <w:szCs w:val="15"/>
          <w:color w:val="auto"/>
        </w:rPr>
        <w:t>we entered into transactions to sell twenty-five of our low-income housing tax</w:t>
      </w:r>
    </w:p>
    <w:p>
      <w:pPr>
        <w:spacing w:after="0"/>
        <w:rPr>
          <w:sz w:val="20"/>
          <w:szCs w:val="20"/>
          <w:color w:val="auto"/>
        </w:rPr>
      </w:pPr>
      <w:r>
        <w:rPr>
          <w:rFonts w:ascii="Courier New" w:cs="Courier New" w:eastAsia="Courier New" w:hAnsi="Courier New"/>
          <w:sz w:val="15"/>
          <w:szCs w:val="15"/>
          <w:color w:val="auto"/>
        </w:rPr>
        <w:t>credit properties, together with the related tax credits. Although these</w:t>
      </w:r>
    </w:p>
    <w:p>
      <w:pPr>
        <w:spacing w:after="0"/>
        <w:rPr>
          <w:sz w:val="20"/>
          <w:szCs w:val="20"/>
          <w:color w:val="auto"/>
        </w:rPr>
      </w:pPr>
      <w:r>
        <w:rPr>
          <w:rFonts w:ascii="Courier New" w:cs="Courier New" w:eastAsia="Courier New" w:hAnsi="Courier New"/>
          <w:sz w:val="15"/>
          <w:szCs w:val="15"/>
          <w:color w:val="auto"/>
        </w:rPr>
        <w:t>transactions resulted in the transfer of tax credits and operating results for</w:t>
      </w:r>
    </w:p>
    <w:p>
      <w:pPr>
        <w:spacing w:after="0"/>
        <w:rPr>
          <w:sz w:val="20"/>
          <w:szCs w:val="20"/>
          <w:color w:val="auto"/>
        </w:rPr>
      </w:pPr>
      <w:r>
        <w:rPr>
          <w:rFonts w:ascii="Courier New" w:cs="Courier New" w:eastAsia="Courier New" w:hAnsi="Courier New"/>
          <w:sz w:val="15"/>
          <w:szCs w:val="15"/>
          <w:color w:val="auto"/>
        </w:rPr>
        <w:t>these properties to the purchasers, they did not qualify as sales for accounting</w:t>
      </w:r>
    </w:p>
    <w:p>
      <w:pPr>
        <w:spacing w:after="0" w:line="238" w:lineRule="auto"/>
        <w:rPr>
          <w:sz w:val="20"/>
          <w:szCs w:val="20"/>
          <w:color w:val="auto"/>
        </w:rPr>
      </w:pPr>
      <w:r>
        <w:rPr>
          <w:rFonts w:ascii="Courier New" w:cs="Courier New" w:eastAsia="Courier New" w:hAnsi="Courier New"/>
          <w:sz w:val="15"/>
          <w:szCs w:val="15"/>
          <w:color w:val="auto"/>
        </w:rPr>
        <w:t>purposes, primarily due to insufficient cash received at signing, as well as</w:t>
      </w:r>
    </w:p>
    <w:p>
      <w:pPr>
        <w:spacing w:after="0"/>
        <w:rPr>
          <w:sz w:val="20"/>
          <w:szCs w:val="20"/>
          <w:color w:val="auto"/>
        </w:rPr>
      </w:pPr>
      <w:r>
        <w:rPr>
          <w:rFonts w:ascii="Courier New" w:cs="Courier New" w:eastAsia="Courier New" w:hAnsi="Courier New"/>
          <w:sz w:val="15"/>
          <w:szCs w:val="15"/>
          <w:color w:val="auto"/>
        </w:rPr>
        <w:t>certain contingencies with respect to potential repurchase requirements. We</w:t>
      </w:r>
    </w:p>
    <w:p>
      <w:pPr>
        <w:spacing w:after="0"/>
        <w:rPr>
          <w:sz w:val="20"/>
          <w:szCs w:val="20"/>
          <w:color w:val="auto"/>
        </w:rPr>
      </w:pPr>
      <w:r>
        <w:rPr>
          <w:rFonts w:ascii="Courier New" w:cs="Courier New" w:eastAsia="Courier New" w:hAnsi="Courier New"/>
          <w:sz w:val="15"/>
          <w:szCs w:val="15"/>
          <w:color w:val="auto"/>
        </w:rPr>
        <w:t>recorded a charge to earnings during 2000 of $6,448 reflecting the expected net</w:t>
      </w:r>
    </w:p>
    <w:p>
      <w:pPr>
        <w:spacing w:after="0" w:line="238" w:lineRule="auto"/>
        <w:rPr>
          <w:sz w:val="20"/>
          <w:szCs w:val="20"/>
          <w:color w:val="auto"/>
        </w:rPr>
      </w:pPr>
      <w:r>
        <w:rPr>
          <w:rFonts w:ascii="Courier New" w:cs="Courier New" w:eastAsia="Courier New" w:hAnsi="Courier New"/>
          <w:sz w:val="15"/>
          <w:szCs w:val="15"/>
          <w:color w:val="auto"/>
        </w:rPr>
        <w:t>loss to be incurred upon completion of these transactions. At December 31, 2002</w:t>
      </w:r>
    </w:p>
    <w:p>
      <w:pPr>
        <w:spacing w:after="0"/>
        <w:rPr>
          <w:sz w:val="20"/>
          <w:szCs w:val="20"/>
          <w:color w:val="auto"/>
        </w:rPr>
      </w:pPr>
      <w:r>
        <w:rPr>
          <w:rFonts w:ascii="Courier New" w:cs="Courier New" w:eastAsia="Courier New" w:hAnsi="Courier New"/>
          <w:sz w:val="15"/>
          <w:szCs w:val="15"/>
          <w:color w:val="auto"/>
        </w:rPr>
        <w:t>and 2001, our investments in affordable housing properties included $4,458 and</w:t>
      </w:r>
    </w:p>
    <w:p>
      <w:pPr>
        <w:spacing w:after="0"/>
        <w:rPr>
          <w:sz w:val="20"/>
          <w:szCs w:val="20"/>
          <w:color w:val="auto"/>
        </w:rPr>
      </w:pPr>
      <w:r>
        <w:rPr>
          <w:rFonts w:ascii="Courier New" w:cs="Courier New" w:eastAsia="Courier New" w:hAnsi="Courier New"/>
          <w:sz w:val="15"/>
          <w:szCs w:val="15"/>
          <w:color w:val="auto"/>
        </w:rPr>
        <w:t>$49,893, respectively of properties subject to sales agreements that had not yet</w:t>
      </w:r>
    </w:p>
    <w:p>
      <w:pPr>
        <w:spacing w:after="0"/>
        <w:rPr>
          <w:sz w:val="20"/>
          <w:szCs w:val="20"/>
          <w:color w:val="auto"/>
        </w:rPr>
      </w:pPr>
      <w:r>
        <w:rPr>
          <w:rFonts w:ascii="Courier New" w:cs="Courier New" w:eastAsia="Courier New" w:hAnsi="Courier New"/>
          <w:sz w:val="15"/>
          <w:szCs w:val="15"/>
          <w:color w:val="auto"/>
        </w:rPr>
        <w:t>qualified as sales for accounting purposes.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920"/>
          </w:cols>
          <w:pgMar w:left="240" w:top="622" w:right="739" w:bottom="1440" w:gutter="0" w:footer="0" w:header="0"/>
        </w:sectPr>
      </w:pPr>
    </w:p>
    <w:bookmarkStart w:id="127" w:name="page128"/>
    <w:bookmarkEnd w:id="127"/>
    <w:p>
      <w:pPr>
        <w:jc w:val="center"/>
        <w:ind w:right="10"/>
        <w:spacing w:after="0" w:line="237"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2002, 2001, AND 2000 (Dollars in thousands, except share data)</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11 PREMISES AND EQUIPMENT</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Our premises and equipment are summarized as follows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Computer hardware and software..............................................</w:t>
      </w:r>
    </w:p>
    <w:p>
      <w:pPr>
        <w:ind w:left="10"/>
        <w:spacing w:after="0"/>
        <w:rPr>
          <w:sz w:val="20"/>
          <w:szCs w:val="20"/>
          <w:color w:val="auto"/>
        </w:rPr>
      </w:pPr>
      <w:r>
        <w:rPr>
          <w:rFonts w:ascii="Courier New" w:cs="Courier New" w:eastAsia="Courier New" w:hAnsi="Courier New"/>
          <w:sz w:val="15"/>
          <w:szCs w:val="15"/>
          <w:color w:val="auto"/>
        </w:rPr>
        <w:t>Buildings...................................................................</w:t>
      </w:r>
    </w:p>
    <w:p>
      <w:pPr>
        <w:ind w:left="10"/>
        <w:spacing w:after="0"/>
        <w:rPr>
          <w:sz w:val="20"/>
          <w:szCs w:val="20"/>
          <w:color w:val="auto"/>
        </w:rPr>
      </w:pPr>
      <w:r>
        <w:rPr>
          <w:rFonts w:ascii="Courier New" w:cs="Courier New" w:eastAsia="Courier New" w:hAnsi="Courier New"/>
          <w:sz w:val="15"/>
          <w:szCs w:val="15"/>
          <w:color w:val="auto"/>
        </w:rPr>
        <w:t>Leasehold improvements......................................................</w:t>
      </w:r>
    </w:p>
    <w:p>
      <w:pPr>
        <w:ind w:left="10"/>
        <w:spacing w:after="0" w:line="238" w:lineRule="auto"/>
        <w:rPr>
          <w:sz w:val="20"/>
          <w:szCs w:val="20"/>
          <w:color w:val="auto"/>
        </w:rPr>
      </w:pPr>
      <w:r>
        <w:rPr>
          <w:rFonts w:ascii="Courier New" w:cs="Courier New" w:eastAsia="Courier New" w:hAnsi="Courier New"/>
          <w:sz w:val="15"/>
          <w:szCs w:val="15"/>
          <w:color w:val="auto"/>
        </w:rPr>
        <w:t>Land and land improvements..................................................</w:t>
      </w:r>
    </w:p>
    <w:p>
      <w:pPr>
        <w:ind w:left="10"/>
        <w:spacing w:after="0"/>
        <w:rPr>
          <w:sz w:val="20"/>
          <w:szCs w:val="20"/>
          <w:color w:val="auto"/>
        </w:rPr>
      </w:pPr>
      <w:r>
        <w:rPr>
          <w:rFonts w:ascii="Courier New" w:cs="Courier New" w:eastAsia="Courier New" w:hAnsi="Courier New"/>
          <w:sz w:val="15"/>
          <w:szCs w:val="15"/>
          <w:color w:val="auto"/>
        </w:rPr>
        <w:t>Furniture and fixtures......................................................</w:t>
      </w:r>
    </w:p>
    <w:p>
      <w:pPr>
        <w:ind w:left="10"/>
        <w:spacing w:after="0"/>
        <w:rPr>
          <w:sz w:val="20"/>
          <w:szCs w:val="20"/>
          <w:color w:val="auto"/>
        </w:rPr>
      </w:pPr>
      <w:r>
        <w:rPr>
          <w:rFonts w:ascii="Courier New" w:cs="Courier New" w:eastAsia="Courier New" w:hAnsi="Courier New"/>
          <w:sz w:val="15"/>
          <w:szCs w:val="15"/>
          <w:color w:val="auto"/>
        </w:rPr>
        <w:t>Office equipment............................................................</w:t>
      </w:r>
    </w:p>
    <w:p>
      <w:pPr>
        <w:ind w:left="10"/>
        <w:spacing w:after="0" w:line="238" w:lineRule="auto"/>
        <w:rPr>
          <w:sz w:val="20"/>
          <w:szCs w:val="20"/>
          <w:color w:val="auto"/>
        </w:rPr>
      </w:pPr>
      <w:r>
        <w:rPr>
          <w:rFonts w:ascii="Courier New" w:cs="Courier New" w:eastAsia="Courier New" w:hAnsi="Courier New"/>
          <w:sz w:val="15"/>
          <w:szCs w:val="15"/>
          <w:color w:val="auto"/>
        </w:rPr>
        <w:t>Less accumulated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firstLine="793"/>
        <w:spacing w:after="0" w:line="237" w:lineRule="auto"/>
        <w:rPr>
          <w:sz w:val="20"/>
          <w:szCs w:val="20"/>
          <w:color w:val="auto"/>
        </w:rPr>
      </w:pPr>
      <w:r>
        <w:rPr>
          <w:rFonts w:ascii="Courier New" w:cs="Courier New" w:eastAsia="Courier New" w:hAnsi="Courier New"/>
          <w:sz w:val="15"/>
          <w:szCs w:val="15"/>
          <w:color w:val="auto"/>
        </w:rPr>
        <w:t>Depreciation expense amounted to $12,985, $11,398 and $12,248 for 2002, 2001 and 2000, respectively (of which $2,647, $2,344 and $2,353 for 2002, 2001 and 2000, respectively, related to computer software). Buildings represent our customer service and collection facility in Orlando, Florida.</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12 DEPOSITS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Our deposits consisted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Non-interest-bearing deposits................................................</w:t>
      </w:r>
    </w:p>
    <w:p>
      <w:pPr>
        <w:ind w:left="10"/>
        <w:spacing w:after="0"/>
        <w:rPr>
          <w:sz w:val="20"/>
          <w:szCs w:val="20"/>
          <w:color w:val="auto"/>
        </w:rPr>
      </w:pPr>
      <w:r>
        <w:rPr>
          <w:rFonts w:ascii="Courier New" w:cs="Courier New" w:eastAsia="Courier New" w:hAnsi="Courier New"/>
          <w:sz w:val="15"/>
          <w:szCs w:val="15"/>
          <w:color w:val="auto"/>
        </w:rPr>
        <w:t>NOW and money market checking accounts.......................................</w:t>
      </w:r>
    </w:p>
    <w:p>
      <w:pPr>
        <w:ind w:left="10"/>
        <w:spacing w:after="0"/>
        <w:rPr>
          <w:sz w:val="20"/>
          <w:szCs w:val="20"/>
          <w:color w:val="auto"/>
        </w:rPr>
      </w:pPr>
      <w:r>
        <w:rPr>
          <w:rFonts w:ascii="Courier New" w:cs="Courier New" w:eastAsia="Courier New" w:hAnsi="Courier New"/>
          <w:sz w:val="15"/>
          <w:szCs w:val="15"/>
          <w:color w:val="auto"/>
        </w:rPr>
        <w:t>Savings accounts.............................................................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Certificates of deposit (1)(2)...............................................</w:t>
      </w:r>
    </w:p>
    <w:p>
      <w:pPr>
        <w:ind w:left="10"/>
        <w:spacing w:after="0"/>
        <w:rPr>
          <w:sz w:val="20"/>
          <w:szCs w:val="20"/>
          <w:color w:val="auto"/>
        </w:rPr>
      </w:pPr>
      <w:r>
        <w:rPr>
          <w:rFonts w:ascii="Courier New" w:cs="Courier New" w:eastAsia="Courier New" w:hAnsi="Courier New"/>
          <w:sz w:val="15"/>
          <w:szCs w:val="15"/>
          <w:color w:val="auto"/>
        </w:rPr>
        <w:t>Unamortized deferred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0" w:hanging="790"/>
        <w:spacing w:after="0" w:line="238" w:lineRule="auto"/>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2002 and 2001, certificates of deposit, net of unamortized deferred fees, included $198,248 and $484,698, respectively, of brokered deposits originated through national, regional and local investment banking firms which solicit deposits from their customers, all of which are non-cancelable. We did not issue any new brokered certificates of deposit during 2002 or 2001 and, at this time, do not intend to issue any such deposits in the foreseeable future.</w:t>
      </w:r>
    </w:p>
    <w:p>
      <w:pPr>
        <w:spacing w:after="0" w:line="177" w:lineRule="exact"/>
        <w:rPr>
          <w:rFonts w:ascii="Courier New" w:cs="Courier New" w:eastAsia="Courier New" w:hAnsi="Courier New"/>
          <w:sz w:val="15"/>
          <w:szCs w:val="15"/>
          <w:color w:val="auto"/>
        </w:rPr>
      </w:pPr>
    </w:p>
    <w:p>
      <w:pPr>
        <w:ind w:left="790" w:hanging="790"/>
        <w:spacing w:after="0" w:line="237" w:lineRule="auto"/>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2002 and 2001, certificates of deposit with outstanding balances of $100 or more amounted to $125,451 and $82,771, respectively. Of the $125,451 of uninsured deposits at December 31, 2002, $49,507 were from political subdivisions in New Jersey and are secured or collateralized as required under state law.</w:t>
      </w:r>
    </w:p>
    <w:p>
      <w:pPr>
        <w:spacing w:after="0" w:line="17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contractual remaining maturity of our certificates of deposit at</w:t>
      </w:r>
    </w:p>
    <w:p>
      <w:pPr>
        <w:ind w:left="10"/>
        <w:spacing w:after="0"/>
        <w:rPr>
          <w:sz w:val="20"/>
          <w:szCs w:val="20"/>
          <w:color w:val="auto"/>
        </w:rPr>
      </w:pPr>
      <w:r>
        <w:rPr>
          <w:rFonts w:ascii="Courier New" w:cs="Courier New" w:eastAsia="Courier New" w:hAnsi="Courier New"/>
          <w:sz w:val="15"/>
          <w:szCs w:val="15"/>
          <w:color w:val="auto"/>
        </w:rPr>
        <w:t>December 31, 2002 is as follows: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3"/>
                <w:szCs w:val="13"/>
                <w:color w:val="auto"/>
                <w:w w:val="71"/>
              </w:rPr>
              <w:t>Within one year..............................................</w:t>
            </w:r>
          </w:p>
        </w:tc>
        <w:tc>
          <w:tcPr>
            <w:tcW w:w="2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269,315</w:t>
            </w:r>
          </w:p>
        </w:tc>
      </w:t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Within two years.............................................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78,467</w:t>
            </w:r>
          </w:p>
        </w:tc>
      </w:t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Within three years...........................................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29,036</w:t>
            </w:r>
          </w:p>
        </w:tc>
      </w:t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Within four years............................................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1,528</w:t>
            </w:r>
          </w:p>
        </w:tc>
      </w:t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Within five years............................................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3,945</w:t>
            </w:r>
          </w:p>
        </w:tc>
      </w:tr>
      <w:tr>
        <w:trPr>
          <w:trHeight w:val="170"/>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19,989</w:t>
            </w:r>
          </w:p>
        </w:tc>
      </w:tr>
      <w:tr>
        <w:trPr>
          <w:trHeight w:val="170"/>
        </w:trPr>
        <w:tc>
          <w:tcPr>
            <w:tcW w:w="342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2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402,280</w:t>
            </w:r>
          </w:p>
        </w:tc>
      </w:tr>
      <w:tr>
        <w:trPr>
          <w:trHeight w:val="170"/>
        </w:trPr>
        <w:tc>
          <w:tcPr>
            <w:tcW w:w="342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4"/>
                <w:szCs w:val="24"/>
                <w:color w:val="auto"/>
              </w:rPr>
            </w:pPr>
          </w:p>
        </w:tc>
        <w:tc>
          <w:tcPr>
            <w:tcW w:w="282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88"/>
              </w:rPr>
              <w:t>98</w:t>
            </w: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4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64,730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53,557</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19,530</w:t>
            </w:r>
          </w:p>
        </w:tc>
        <w:tc>
          <w:tcPr>
            <w:tcW w:w="6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19,270</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10,011</w:t>
            </w:r>
          </w:p>
        </w:tc>
        <w:tc>
          <w:tcPr>
            <w:tcW w:w="6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9,788</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4,041</w:t>
            </w:r>
          </w:p>
        </w:tc>
        <w:tc>
          <w:tcPr>
            <w:tcW w:w="6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4,041</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9,072</w:t>
            </w:r>
          </w:p>
        </w:tc>
        <w:tc>
          <w:tcPr>
            <w:tcW w:w="6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8,810</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2,564</w:t>
            </w:r>
          </w:p>
        </w:tc>
        <w:tc>
          <w:tcPr>
            <w:tcW w:w="6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1,773</w:t>
            </w:r>
          </w:p>
        </w:tc>
      </w:tr>
      <w:tr>
        <w:trPr>
          <w:trHeight w:val="170"/>
        </w:trPr>
        <w:tc>
          <w:tcPr>
            <w:tcW w:w="26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(65,680)</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(52,650)</w:t>
            </w:r>
          </w:p>
        </w:tc>
      </w:tr>
      <w:tr>
        <w:trPr>
          <w:trHeight w:val="170"/>
        </w:trPr>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44,268</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44,589</w:t>
            </w:r>
          </w:p>
        </w:tc>
      </w:tr>
      <w:tr>
        <w:trPr>
          <w:trHeight w:val="170"/>
        </w:trPr>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2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4"/>
              </w:rPr>
              <w:t>2002</w:t>
            </w:r>
          </w:p>
        </w:tc>
        <w:tc>
          <w:tcPr>
            <w:tcW w:w="6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4,378</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5,624</w:t>
            </w:r>
          </w:p>
        </w:tc>
      </w:tr>
      <w:tr>
        <w:trPr>
          <w:trHeight w:val="170"/>
        </w:trPr>
        <w:tc>
          <w:tcPr>
            <w:tcW w:w="34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17,720</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15,479</w:t>
            </w:r>
          </w:p>
        </w:tc>
      </w:tr>
      <w:tr>
        <w:trPr>
          <w:trHeight w:val="170"/>
        </w:trPr>
        <w:tc>
          <w:tcPr>
            <w:tcW w:w="34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1,592</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1,287</w:t>
            </w:r>
          </w:p>
        </w:tc>
      </w:tr>
      <w:tr>
        <w:trPr>
          <w:trHeight w:val="170"/>
        </w:trPr>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23,690</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22,390</w:t>
            </w:r>
          </w:p>
        </w:tc>
      </w:tr>
      <w:tr>
        <w:trPr>
          <w:trHeight w:val="170"/>
        </w:trPr>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spacing w:after="0"/>
              <w:rPr>
                <w:sz w:val="24"/>
                <w:szCs w:val="2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402,917</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636,037</w:t>
            </w:r>
          </w:p>
        </w:tc>
      </w:tr>
    </w:tbl>
    <w:p>
      <w:pPr>
        <w:spacing w:after="0" w:line="5" w:lineRule="exact"/>
        <w:rPr>
          <w:sz w:val="20"/>
          <w:szCs w:val="20"/>
          <w:color w:val="auto"/>
        </w:rPr>
      </w:pPr>
    </w:p>
    <w:p>
      <w:pPr>
        <w:ind w:left="2720" w:hanging="1756"/>
        <w:spacing w:after="0"/>
        <w:tabs>
          <w:tab w:leader="none" w:pos="27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(1,549)</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tbl>
      <w:tblPr>
        <w:tblLayout w:type="fixed"/>
        <w:tblInd w:w="18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402,280</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634,488</w:t>
            </w:r>
          </w:p>
        </w:tc>
      </w:tr>
      <w:tr>
        <w:trPr>
          <w:trHeight w:val="170"/>
        </w:trPr>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425,970</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656,878</w:t>
            </w:r>
          </w:p>
        </w:tc>
      </w:tr>
      <w:tr>
        <w:trPr>
          <w:trHeight w:val="170"/>
        </w:trPr>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50" w:space="360"/>
            <w:col w:w="3340"/>
          </w:cols>
          <w:pgMar w:left="230" w:top="627" w:right="919" w:bottom="904" w:gutter="0" w:footer="0" w:header="0"/>
        </w:sectPr>
      </w:pPr>
    </w:p>
    <w:bookmarkStart w:id="128" w:name="page129"/>
    <w:bookmarkEnd w:id="128"/>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9"/>
              </w:rPr>
              <w:t>We amortize deferred fees on certificates of deposit on a straight-line</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w w:val="98"/>
              </w:rPr>
              <w:t>basis over the term of the respective certificates of deposit. Such amortization</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amounted to $912, $2,441 and $4,419 for the years ended December 31, 2002, 2001</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and 2000, respectively, and is included in interest expense on deposits.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7"/>
              </w:rPr>
              <w:t>Interest expense we incurred by type of deposit account was as follows for the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2002</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24"/>
                <w:szCs w:val="2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86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rPr>
              <w:t>NOW accounts and money market checking................................</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532</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Savings...............................................................</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27,198</w:t>
            </w: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59,545</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97,655</w:t>
            </w:r>
          </w:p>
        </w:tc>
      </w:tr>
      <w:tr>
        <w:trPr>
          <w:trHeight w:val="170"/>
        </w:trPr>
        <w:tc>
          <w:tcPr>
            <w:tcW w:w="686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860" w:type="dxa"/>
            <w:vAlign w:val="bottom"/>
          </w:tcPr>
          <w:p>
            <w:pPr>
              <w:spacing w:after="0"/>
              <w:rPr>
                <w:sz w:val="14"/>
                <w:szCs w:val="14"/>
                <w:color w:val="auto"/>
              </w:rPr>
            </w:pP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27,455</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59,967</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98,224</w:t>
            </w:r>
          </w:p>
        </w:tc>
      </w:tr>
      <w:tr>
        <w:trPr>
          <w:trHeight w:val="170"/>
        </w:trPr>
        <w:tc>
          <w:tcPr>
            <w:tcW w:w="686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7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Accrued interest payable on our deposits amounted to $3,093 and $6,858</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at December 31, 2002 and 2001, respectively.</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6860" w:type="dxa"/>
            <w:vAlign w:val="bottom"/>
          </w:tcPr>
          <w:p>
            <w:pPr>
              <w:spacing w:after="0"/>
              <w:rPr>
                <w:sz w:val="20"/>
                <w:szCs w:val="20"/>
                <w:color w:val="auto"/>
              </w:rPr>
            </w:pPr>
            <w:r>
              <w:rPr>
                <w:rFonts w:ascii="Courier New" w:cs="Courier New" w:eastAsia="Courier New" w:hAnsi="Courier New"/>
                <w:sz w:val="15"/>
                <w:szCs w:val="15"/>
                <w:color w:val="auto"/>
              </w:rPr>
              <w:t>NOTE 13 ESCROW DEPOSITS ON LOANS AND LOANS SERVICED FOR OTHERS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860" w:type="dxa"/>
            <w:vAlign w:val="bottom"/>
          </w:tcPr>
          <w:p>
            <w:pPr>
              <w:ind w:left="780"/>
              <w:spacing w:after="0"/>
              <w:rPr>
                <w:sz w:val="20"/>
                <w:szCs w:val="20"/>
                <w:color w:val="auto"/>
              </w:rPr>
            </w:pPr>
            <w:r>
              <w:rPr>
                <w:rFonts w:ascii="Courier New" w:cs="Courier New" w:eastAsia="Courier New" w:hAnsi="Courier New"/>
                <w:sz w:val="15"/>
                <w:szCs w:val="15"/>
                <w:color w:val="auto"/>
              </w:rPr>
              <w:t>Escrow deposits on loans we own and on loans we serviced for others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consisted of the following at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620" w:type="dxa"/>
            <w:vAlign w:val="bottom"/>
          </w:tcPr>
          <w:p>
            <w:pPr>
              <w:spacing w:after="0"/>
              <w:rPr>
                <w:sz w:val="24"/>
                <w:szCs w:val="24"/>
                <w:color w:val="auto"/>
              </w:rPr>
            </w:pPr>
          </w:p>
        </w:tc>
        <w:tc>
          <w:tcPr>
            <w:tcW w:w="15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Taxes and insurance payments held on loans serviced for others...............</w:t>
            </w:r>
          </w:p>
        </w:tc>
        <w:tc>
          <w:tcPr>
            <w:tcW w:w="2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67,007</w:t>
            </w:r>
          </w:p>
        </w:tc>
        <w:tc>
          <w:tcPr>
            <w:tcW w:w="62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65,009</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Other escrow deposits........................................................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17,979</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8,556</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84,986</w:t>
            </w:r>
          </w:p>
        </w:tc>
        <w:tc>
          <w:tcPr>
            <w:tcW w:w="6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73,565</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6860" w:type="dxa"/>
            <w:vAlign w:val="bottom"/>
          </w:tcPr>
          <w:p>
            <w:pPr>
              <w:spacing w:after="0"/>
              <w:rPr>
                <w:sz w:val="20"/>
                <w:szCs w:val="20"/>
                <w:color w:val="auto"/>
              </w:rPr>
            </w:pPr>
            <w:r>
              <w:rPr>
                <w:rFonts w:ascii="Courier New" w:cs="Courier New" w:eastAsia="Courier New" w:hAnsi="Courier New"/>
                <w:sz w:val="15"/>
                <w:szCs w:val="15"/>
                <w:color w:val="auto"/>
              </w:rPr>
              <w:t>NOTE 14 BONDS-MATCH FUNDED AGREEMENTS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860" w:type="dxa"/>
            <w:vAlign w:val="bottom"/>
          </w:tcPr>
          <w:p>
            <w:pPr>
              <w:ind w:left="780"/>
              <w:spacing w:after="0"/>
              <w:rPr>
                <w:sz w:val="20"/>
                <w:szCs w:val="20"/>
                <w:color w:val="auto"/>
              </w:rPr>
            </w:pPr>
            <w:r>
              <w:rPr>
                <w:rFonts w:ascii="Courier New" w:cs="Courier New" w:eastAsia="Courier New" w:hAnsi="Courier New"/>
                <w:sz w:val="15"/>
                <w:szCs w:val="15"/>
                <w:color w:val="auto"/>
              </w:rPr>
              <w:t>Our bonds-match funded agreements are accounted for as secured</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9"/>
              </w:rPr>
              <w:t>borrowings with pledges of collateral and were comprised of the following at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6860" w:type="dxa"/>
            <w:vAlign w:val="bottom"/>
          </w:tcPr>
          <w:p>
            <w:pPr>
              <w:spacing w:after="0"/>
              <w:rPr>
                <w:sz w:val="20"/>
                <w:szCs w:val="20"/>
                <w:color w:val="auto"/>
              </w:rPr>
            </w:pPr>
            <w:r>
              <w:rPr>
                <w:rFonts w:ascii="Courier New" w:cs="Courier New" w:eastAsia="Courier New" w:hAnsi="Courier New"/>
                <w:sz w:val="15"/>
                <w:szCs w:val="15"/>
                <w:color w:val="auto"/>
              </w:rPr>
              <w:t>Collateral</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2002</w:t>
            </w:r>
          </w:p>
        </w:tc>
        <w:tc>
          <w:tcPr>
            <w:tcW w:w="620" w:type="dxa"/>
            <w:vAlign w:val="bottom"/>
          </w:tcPr>
          <w:p>
            <w:pPr>
              <w:spacing w:after="0"/>
              <w:rPr>
                <w:sz w:val="24"/>
                <w:szCs w:val="24"/>
                <w:color w:val="auto"/>
              </w:rPr>
            </w:pPr>
          </w:p>
        </w:tc>
        <w:tc>
          <w:tcPr>
            <w:tcW w:w="15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 -----------------------------------------------------------------------------</w:t>
            </w:r>
          </w:p>
        </w:tc>
        <w:tc>
          <w:tcPr>
            <w:tcW w:w="22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Single family residential loans..............................................</w:t>
            </w:r>
          </w:p>
        </w:tc>
        <w:tc>
          <w:tcPr>
            <w:tcW w:w="2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32,217</w:t>
            </w:r>
          </w:p>
        </w:tc>
        <w:tc>
          <w:tcPr>
            <w:tcW w:w="62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46,145</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Unrated residual securities..................................................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8,057</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18,997</w:t>
            </w:r>
          </w:p>
        </w:tc>
      </w:tr>
      <w:tr>
        <w:trPr>
          <w:trHeight w:val="170"/>
        </w:trPr>
        <w:tc>
          <w:tcPr>
            <w:tcW w:w="6860" w:type="dxa"/>
            <w:vAlign w:val="bottom"/>
          </w:tcPr>
          <w:p>
            <w:pPr>
              <w:spacing w:after="0"/>
              <w:rPr>
                <w:sz w:val="20"/>
                <w:szCs w:val="20"/>
                <w:color w:val="auto"/>
              </w:rPr>
            </w:pPr>
            <w:r>
              <w:rPr>
                <w:rFonts w:ascii="Courier New" w:cs="Courier New" w:eastAsia="Courier New" w:hAnsi="Courier New"/>
                <w:sz w:val="15"/>
                <w:szCs w:val="15"/>
                <w:color w:val="auto"/>
                <w:w w:val="98"/>
              </w:rPr>
              <w:t>Advances on loans serviced for others........................................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106,797</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91,766</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147,071</w:t>
            </w:r>
          </w:p>
        </w:tc>
        <w:tc>
          <w:tcPr>
            <w:tcW w:w="6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156,908</w:t>
            </w:r>
          </w:p>
        </w:tc>
      </w:tr>
      <w:tr>
        <w:trPr>
          <w:trHeight w:val="170"/>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Our bonds-match funded agreements are obligations secured by the collateral underlying the related match funded assets, and are repaid through the cash proceeds arising from those assets.</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At December 31, 2002 and 2001, our bonds-match funded agreements had a weighted average interest rate of 3.13% and 3.97%, respectively. Accrued interest payable on our bonds-match funded agreements amounted to $108 and $97 at December 31, 2002 and 2001, respectively. We incurred interest expense on our bonds-match funded agreements of $6,573, $7,315 and $11,484 during 2002, 2001 and 2000, respectively.</w:t>
      </w:r>
    </w:p>
    <w:p>
      <w:pPr>
        <w:spacing w:after="0" w:line="176" w:lineRule="exact"/>
        <w:rPr>
          <w:sz w:val="20"/>
          <w:szCs w:val="20"/>
          <w:color w:val="auto"/>
        </w:rPr>
      </w:pPr>
    </w:p>
    <w:p>
      <w:pPr>
        <w:ind w:right="3960" w:firstLine="793"/>
        <w:spacing w:after="0" w:line="259" w:lineRule="auto"/>
        <w:rPr>
          <w:sz w:val="20"/>
          <w:szCs w:val="20"/>
          <w:color w:val="auto"/>
        </w:rPr>
      </w:pPr>
      <w:r>
        <w:rPr>
          <w:rFonts w:ascii="Courier New" w:cs="Courier New" w:eastAsia="Courier New" w:hAnsi="Courier New"/>
          <w:sz w:val="14"/>
          <w:szCs w:val="14"/>
          <w:color w:val="auto"/>
        </w:rPr>
        <w:t>Our bonds-match funded agreements contain various qualitative and quantitative covenants that, among other things, establish requirements for the monitoring and reporting of specified financial transactions and reporting on defined events affecting the collateral underlying the agreements.</w:t>
      </w:r>
    </w:p>
    <w:p>
      <w:pPr>
        <w:spacing w:after="0" w:line="163"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The facility underlying our bonds-match funded agreements collateralized by advances on loans serviced for others, if not renewed, will mature in December 2003. This would preclude our ability to finance further advances through this facility.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920"/>
          </w:cols>
          <w:pgMar w:left="240" w:top="622" w:right="739" w:bottom="904" w:gutter="0" w:footer="0" w:header="0"/>
        </w:sectPr>
      </w:pPr>
    </w:p>
    <w:bookmarkStart w:id="129" w:name="page130"/>
    <w:bookmarkEnd w:id="129"/>
    <w:p>
      <w:pPr>
        <w:jc w:val="center"/>
        <w:ind w:right="423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2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5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415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15 LINES OF CREDIT AND OTHER SHORT-TERM BORROWINGS</w:t>
      </w:r>
    </w:p>
    <w:p>
      <w:pPr>
        <w:spacing w:after="0" w:line="175" w:lineRule="exact"/>
        <w:rPr>
          <w:sz w:val="20"/>
          <w:szCs w:val="20"/>
          <w:color w:val="auto"/>
        </w:rPr>
      </w:pPr>
    </w:p>
    <w:p>
      <w:pPr>
        <w:ind w:left="10" w:right="4320" w:firstLine="793"/>
        <w:spacing w:after="0" w:line="235" w:lineRule="auto"/>
        <w:rPr>
          <w:sz w:val="20"/>
          <w:szCs w:val="20"/>
          <w:color w:val="auto"/>
        </w:rPr>
      </w:pPr>
      <w:r>
        <w:rPr>
          <w:rFonts w:ascii="Courier New" w:cs="Courier New" w:eastAsia="Courier New" w:hAnsi="Courier New"/>
          <w:sz w:val="15"/>
          <w:szCs w:val="15"/>
          <w:color w:val="auto"/>
        </w:rPr>
        <w:t>Through our subsidiaries we have obtained secured lines of credit from various unaffiliated financial institutions as follows:</w:t>
      </w:r>
    </w:p>
    <w:p>
      <w:pPr>
        <w:sectPr>
          <w:pgSz w:w="11900" w:h="16838" w:orient="portrait"/>
          <w:cols w:equalWidth="0" w:num="1">
            <w:col w:w="11290"/>
          </w:cols>
          <w:pgMar w:left="230" w:top="6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Collateral</w:t>
      </w:r>
    </w:p>
    <w:p>
      <w:pPr>
        <w:spacing w:after="0" w:line="5" w:lineRule="exact"/>
        <w:rPr>
          <w:sz w:val="20"/>
          <w:szCs w:val="20"/>
          <w:color w:val="auto"/>
        </w:rPr>
      </w:pPr>
    </w:p>
    <w:p>
      <w:pPr>
        <w:jc w:val="cente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Balance</w:t>
      </w:r>
    </w:p>
    <w:p>
      <w:pPr>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w:t>
      </w:r>
    </w:p>
    <w:p>
      <w:pPr>
        <w:ind w:left="80"/>
        <w:spacing w:after="0"/>
        <w:rPr>
          <w:sz w:val="20"/>
          <w:szCs w:val="20"/>
          <w:color w:val="auto"/>
        </w:rPr>
      </w:pPr>
      <w:r>
        <w:rPr>
          <w:rFonts w:ascii="Courier New" w:cs="Courier New" w:eastAsia="Courier New" w:hAnsi="Courier New"/>
          <w:sz w:val="15"/>
          <w:szCs w:val="15"/>
          <w:color w:val="auto"/>
        </w:rPr>
        <w:t>Facility</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Committed</w:t>
      </w:r>
    </w:p>
    <w:p>
      <w:pPr>
        <w:ind w:left="80"/>
        <w:spacing w:after="0"/>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Maturity</w:t>
      </w:r>
    </w:p>
    <w:p>
      <w:pPr>
        <w:ind w:left="26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Interest Rate(3)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6">
            <w:col w:w="3270" w:space="160"/>
            <w:col w:w="1340" w:space="80"/>
            <w:col w:w="1060" w:space="180"/>
            <w:col w:w="1140" w:space="180"/>
            <w:col w:w="1220" w:space="180"/>
            <w:col w:w="2480"/>
          </w:cols>
          <w:pgMar w:left="230" w:top="622" w:right="37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December 31, 2002</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Advances on loans serviced</w:t>
      </w:r>
    </w:p>
    <w:p>
      <w:pPr>
        <w:sectPr>
          <w:pgSz w:w="11900" w:h="16838" w:orient="portrait"/>
          <w:cols w:equalWidth="0" w:num="1">
            <w:col w:w="11290"/>
          </w:cols>
          <w:pgMar w:left="230" w:top="622" w:right="379" w:bottom="1440"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for others (1)..............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$ 78,511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$ 100,000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78,511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April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+ 200 basis points</w:t>
      </w:r>
    </w:p>
    <w:p>
      <w:pPr>
        <w:spacing w:after="0" w:line="174" w:lineRule="exact"/>
        <w:rPr>
          <w:sz w:val="20"/>
          <w:szCs w:val="20"/>
          <w:color w:val="auto"/>
        </w:rPr>
      </w:pPr>
    </w:p>
    <w:p>
      <w:pPr>
        <w:sectPr>
          <w:pgSz w:w="11900" w:h="16838" w:orient="portrait"/>
          <w:cols w:equalWidth="0" w:num="6">
            <w:col w:w="2910" w:space="620"/>
            <w:col w:w="700" w:space="620"/>
            <w:col w:w="800" w:space="440"/>
            <w:col w:w="780" w:space="540"/>
            <w:col w:w="880" w:space="520"/>
            <w:col w:w="2480"/>
          </w:cols>
          <w:pgMar w:left="230" w:top="622" w:right="37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December 31, 2001</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Real estate investments and</w:t>
      </w:r>
    </w:p>
    <w:p>
      <w:pPr>
        <w:sectPr>
          <w:pgSz w:w="11900" w:h="16838" w:orient="portrait"/>
          <w:cols w:equalWidth="0" w:num="1">
            <w:col w:w="11290"/>
          </w:cols>
          <w:pgMar w:left="230" w:top="622" w:right="379" w:bottom="1440"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commercial loans (2)........</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32,463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$ 115,580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+ 240 basis points</w:t>
      </w:r>
    </w:p>
    <w:p>
      <w:pPr>
        <w:spacing w:after="0" w:line="180" w:lineRule="exact"/>
        <w:rPr>
          <w:sz w:val="20"/>
          <w:szCs w:val="20"/>
          <w:color w:val="auto"/>
        </w:rPr>
      </w:pPr>
    </w:p>
    <w:p>
      <w:pPr>
        <w:sectPr>
          <w:pgSz w:w="11900" w:h="16838" w:orient="portrait"/>
          <w:cols w:equalWidth="0" w:num="6">
            <w:col w:w="2910" w:space="620"/>
            <w:col w:w="780" w:space="540"/>
            <w:col w:w="800" w:space="440"/>
            <w:col w:w="780" w:space="540"/>
            <w:col w:w="780" w:space="620"/>
            <w:col w:w="2480"/>
          </w:cols>
          <w:pgMar w:left="230" w:top="622" w:right="37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Advances on loans serviced</w:t>
      </w:r>
    </w:p>
    <w:p>
      <w:pPr>
        <w:sectPr>
          <w:pgSz w:w="11900" w:h="16838" w:orient="portrait"/>
          <w:cols w:equalWidth="0" w:num="1">
            <w:col w:w="11290"/>
          </w:cols>
          <w:pgMar w:left="230" w:top="622" w:right="379" w:bottom="1440" w:gutter="0" w:footer="0" w:header="0"/>
          <w:type w:val="continuous"/>
        </w:sectPr>
      </w:pP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for others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51,841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51,841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October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LIBOR + 200 basis points</w:t>
      </w:r>
    </w:p>
    <w:p>
      <w:pPr>
        <w:spacing w:after="0" w:line="10" w:lineRule="exact"/>
        <w:rPr>
          <w:sz w:val="20"/>
          <w:szCs w:val="20"/>
          <w:color w:val="auto"/>
        </w:rPr>
      </w:pPr>
    </w:p>
    <w:p>
      <w:pPr>
        <w:sectPr>
          <w:pgSz w:w="11900" w:h="16838" w:orient="portrait"/>
          <w:cols w:equalWidth="0" w:num="6">
            <w:col w:w="3070" w:space="720"/>
            <w:col w:w="520" w:space="720"/>
            <w:col w:w="620" w:space="440"/>
            <w:col w:w="780" w:space="440"/>
            <w:col w:w="1060" w:space="440"/>
            <w:col w:w="2480"/>
          </w:cols>
          <w:pgMar w:left="230" w:top="622" w:right="379" w:bottom="1440" w:gutter="0" w:footer="0" w:header="0"/>
          <w:type w:val="continuous"/>
        </w:sectPr>
      </w:pPr>
    </w:p>
    <w:p>
      <w:pPr>
        <w:ind w:left="35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290"/>
          </w:cols>
          <w:pgMar w:left="230" w:top="622" w:right="379" w:bottom="1440" w:gutter="0" w:footer="0" w:header="0"/>
          <w:type w:val="continuous"/>
        </w:sectPr>
      </w:pPr>
    </w:p>
    <w:p>
      <w:pPr>
        <w:spacing w:after="0" w:line="5" w:lineRule="exact"/>
        <w:rPr>
          <w:sz w:val="20"/>
          <w:szCs w:val="20"/>
          <w:color w:val="auto"/>
        </w:rPr>
      </w:pPr>
    </w:p>
    <w:p>
      <w:pPr>
        <w:ind w:left="3790" w:hanging="264"/>
        <w:spacing w:after="0"/>
        <w:tabs>
          <w:tab w:leader="none" w:pos="379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84,304</w:t>
      </w:r>
    </w:p>
    <w:p>
      <w:pPr>
        <w:ind w:left="3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line was entered into during 2001 to fund servicing advances.</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 connection with our acquisition of OAC.</w:t>
      </w:r>
    </w:p>
    <w:p>
      <w:pPr>
        <w:spacing w:after="0" w:line="174" w:lineRule="exact"/>
        <w:rPr>
          <w:rFonts w:ascii="Courier New" w:cs="Courier New" w:eastAsia="Courier New" w:hAnsi="Courier New"/>
          <w:sz w:val="15"/>
          <w:szCs w:val="15"/>
          <w:color w:val="auto"/>
        </w:rPr>
      </w:pPr>
    </w:p>
    <w:p>
      <w:pPr>
        <w:ind w:left="790" w:right="4320" w:hanging="790"/>
        <w:spacing w:after="0" w:line="384" w:lineRule="auto"/>
        <w:tabs>
          <w:tab w:leader="none" w:pos="79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was 1.38% and 1.87% at December 31, 2002 and 2001, respectively. The maximum month end amount of our borrowings under lines of credit</w:t>
      </w:r>
    </w:p>
    <w:p>
      <w:pPr>
        <w:spacing w:after="0" w:line="1" w:lineRule="exact"/>
        <w:rPr>
          <w:sz w:val="20"/>
          <w:szCs w:val="20"/>
          <w:color w:val="auto"/>
        </w:rPr>
      </w:pPr>
    </w:p>
    <w:p>
      <w:pPr>
        <w:ind w:left="10" w:right="4680"/>
        <w:spacing w:after="0" w:line="237" w:lineRule="auto"/>
        <w:rPr>
          <w:sz w:val="20"/>
          <w:szCs w:val="20"/>
          <w:color w:val="auto"/>
        </w:rPr>
      </w:pPr>
      <w:r>
        <w:rPr>
          <w:rFonts w:ascii="Courier New" w:cs="Courier New" w:eastAsia="Courier New" w:hAnsi="Courier New"/>
          <w:sz w:val="15"/>
          <w:szCs w:val="15"/>
          <w:color w:val="auto"/>
        </w:rPr>
        <w:t>was $106,673 and $119,648 for the years ended December 31, 2002 and 2001, respectively. The average balance of obligations outstanding under lines of credit was $88,282 and $82,604 during the years ended December 31, 2002 and 2001, respectively, and the weighted average interest rates were 4.29% and 6.67%, respectively.</w:t>
      </w:r>
    </w:p>
    <w:p>
      <w:pPr>
        <w:spacing w:after="0" w:line="178" w:lineRule="exact"/>
        <w:rPr>
          <w:sz w:val="20"/>
          <w:szCs w:val="20"/>
          <w:color w:val="auto"/>
        </w:rPr>
      </w:pPr>
    </w:p>
    <w:p>
      <w:pPr>
        <w:ind w:left="10" w:right="4320" w:firstLine="793"/>
        <w:spacing w:after="0" w:line="237" w:lineRule="auto"/>
        <w:rPr>
          <w:sz w:val="20"/>
          <w:szCs w:val="20"/>
          <w:color w:val="auto"/>
        </w:rPr>
      </w:pPr>
      <w:r>
        <w:rPr>
          <w:rFonts w:ascii="Courier New" w:cs="Courier New" w:eastAsia="Courier New" w:hAnsi="Courier New"/>
          <w:sz w:val="15"/>
          <w:szCs w:val="15"/>
          <w:color w:val="auto"/>
        </w:rPr>
        <w:t>Accrued interest payable on our obligations outstanding under lines of credit amounted to $226 and $171 at December 31, 2002 and 2001, respectively. Interest expense we incurred on our obligations outstanding under lines of credits amounted to $3,787, $5,511 and $13,881 during 2002, 2001 and 2000, respectively.</w:t>
      </w:r>
    </w:p>
    <w:p>
      <w:pPr>
        <w:spacing w:after="0" w:line="178" w:lineRule="exact"/>
        <w:rPr>
          <w:sz w:val="20"/>
          <w:szCs w:val="20"/>
          <w:color w:val="auto"/>
        </w:rPr>
      </w:pPr>
    </w:p>
    <w:p>
      <w:pPr>
        <w:ind w:left="10" w:right="4240" w:firstLine="793"/>
        <w:spacing w:after="0" w:line="238" w:lineRule="auto"/>
        <w:rPr>
          <w:sz w:val="20"/>
          <w:szCs w:val="20"/>
          <w:color w:val="auto"/>
        </w:rPr>
      </w:pPr>
      <w:r>
        <w:rPr>
          <w:rFonts w:ascii="Courier New" w:cs="Courier New" w:eastAsia="Courier New" w:hAnsi="Courier New"/>
          <w:sz w:val="15"/>
          <w:szCs w:val="15"/>
          <w:color w:val="auto"/>
        </w:rPr>
        <w:t>In addition to our lines of credit listed above, through the Bank, we have the capacity to borrow from the Federal Home Bank of New York ("FHLB") up to an aggregate of $50,000 (subject to the availability of acceptable collateral), at the prevailing market rate. This facility matures in March 2003. We had no advances from the FHLB during the years ended December 31, 2002 and 2001.</w:t>
      </w:r>
    </w:p>
    <w:p>
      <w:pPr>
        <w:spacing w:after="0" w:line="176" w:lineRule="exact"/>
        <w:rPr>
          <w:sz w:val="20"/>
          <w:szCs w:val="20"/>
          <w:color w:val="auto"/>
        </w:rPr>
      </w:pPr>
    </w:p>
    <w:p>
      <w:pPr>
        <w:ind w:left="10" w:right="4240" w:firstLine="793"/>
        <w:spacing w:after="0" w:line="238" w:lineRule="auto"/>
        <w:rPr>
          <w:sz w:val="20"/>
          <w:szCs w:val="20"/>
          <w:color w:val="auto"/>
        </w:rPr>
      </w:pPr>
      <w:r>
        <w:rPr>
          <w:rFonts w:ascii="Courier New" w:cs="Courier New" w:eastAsia="Courier New" w:hAnsi="Courier New"/>
          <w:sz w:val="15"/>
          <w:szCs w:val="15"/>
          <w:color w:val="auto"/>
        </w:rPr>
        <w:t>At December 31, 2002, we had $0 of repurchase agreements outstanding as compared to $79,405 at December 31, 2001. At December 31, 2001 repurchase agreements ranged in maturity from two to seven days and had interest rates ranging from 1.80% to 1.89%. The maximum month end amount of our borrowings through repurchase agreements was $66,817 and $92,095 during the years ended December 31, 2002 and 2001, respectively. The average balance of repurchase agreements outstanding was $12,774 and $19,500 during the years ended December 31, 2002 and 2001, respectively, and the weighted average interest rates were 1.84% and 2.71%, respectively.</w:t>
      </w:r>
    </w:p>
    <w:p>
      <w:pPr>
        <w:spacing w:after="0" w:line="179" w:lineRule="exact"/>
        <w:rPr>
          <w:sz w:val="20"/>
          <w:szCs w:val="20"/>
          <w:color w:val="auto"/>
        </w:rPr>
      </w:pPr>
    </w:p>
    <w:p>
      <w:pPr>
        <w:ind w:left="10" w:right="4320" w:firstLine="793"/>
        <w:spacing w:after="0" w:line="237" w:lineRule="auto"/>
        <w:rPr>
          <w:sz w:val="20"/>
          <w:szCs w:val="20"/>
          <w:color w:val="auto"/>
        </w:rPr>
      </w:pPr>
      <w:r>
        <w:rPr>
          <w:rFonts w:ascii="Courier New" w:cs="Courier New" w:eastAsia="Courier New" w:hAnsi="Courier New"/>
          <w:sz w:val="15"/>
          <w:szCs w:val="15"/>
          <w:color w:val="auto"/>
        </w:rPr>
        <w:t>As of December 31, the weighted average interest rates of our obligations outstanding under lines of credit and reverse repurchase agreements were as follows: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34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85"/>
              </w:rPr>
              <w:t>Lines of credit............................</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3.38%</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4.02%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85"/>
              </w:rPr>
              <w:t>Repurchase agreements......................</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1.87%</w:t>
            </w:r>
          </w:p>
        </w:tc>
      </w:tr>
      <w:tr>
        <w:trPr>
          <w:trHeight w:val="339"/>
        </w:trPr>
        <w:tc>
          <w:tcPr>
            <w:tcW w:w="3340" w:type="dxa"/>
            <w:vAlign w:val="bottom"/>
          </w:tcPr>
          <w:p>
            <w:pPr>
              <w:spacing w:after="0"/>
              <w:rPr>
                <w:sz w:val="24"/>
                <w:szCs w:val="24"/>
                <w:color w:val="auto"/>
              </w:rPr>
            </w:pPr>
          </w:p>
        </w:tc>
        <w:tc>
          <w:tcPr>
            <w:tcW w:w="224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88"/>
              </w:rPr>
              <w:t>100</w:t>
            </w:r>
          </w:p>
        </w:tc>
        <w:tc>
          <w:tcPr>
            <w:tcW w:w="1280" w:type="dxa"/>
            <w:vAlign w:val="bottom"/>
          </w:tcPr>
          <w:p>
            <w:pPr>
              <w:spacing w:after="0"/>
              <w:rPr>
                <w:sz w:val="24"/>
                <w:szCs w:val="24"/>
                <w:color w:val="auto"/>
              </w:rPr>
            </w:pPr>
          </w:p>
        </w:tc>
      </w:tr>
    </w:tbl>
    <w:p>
      <w:pPr>
        <w:sectPr>
          <w:pgSz w:w="11900" w:h="16838" w:orient="portrait"/>
          <w:cols w:equalWidth="0" w:num="1">
            <w:col w:w="11290"/>
          </w:cols>
          <w:pgMar w:left="230" w:top="622" w:right="379" w:bottom="1440" w:gutter="0" w:footer="0" w:header="0"/>
          <w:type w:val="continuous"/>
        </w:sectPr>
      </w:pPr>
    </w:p>
    <w:bookmarkStart w:id="130" w:name="page131"/>
    <w:bookmarkEnd w:id="130"/>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NOTES, DEBENTURES AND OTHER INTEREST-BEARING OBLIGATIONS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notes, debentures and other interest-bearing obligations mature as</w:t>
      </w:r>
    </w:p>
    <w:tbl>
      <w:tblPr>
        <w:tblLayout w:type="fixed"/>
        <w:tblInd w:w="0" w:type="dxa"/>
        <w:tblCellMar>
          <w:top w:w="0" w:type="dxa"/>
          <w:left w:w="0" w:type="dxa"/>
          <w:bottom w:w="0" w:type="dxa"/>
          <w:right w:w="0" w:type="dxa"/>
        </w:tblCellMar>
      </w:tblP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8"/>
        </w:trPr>
        <w:tc>
          <w:tcPr>
            <w:tcW w:w="8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810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10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1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11.875% Notes due October 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43,475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$87,025</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Loan due September 30 (LIBOR plus 250 basis points or a minimum of 8%)..................</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Loan due May 24 (LIBOR plus 250 basis points)...........................................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6,235</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12% Subordinated Debentures due June 15.................................................</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0"/>
        </w:trPr>
        <w:tc>
          <w:tcPr>
            <w:tcW w:w="8100" w:type="dxa"/>
            <w:vAlign w:val="bottom"/>
          </w:tcPr>
          <w:p>
            <w:pPr>
              <w:spacing w:after="0"/>
              <w:rPr>
                <w:sz w:val="20"/>
                <w:szCs w:val="20"/>
                <w:color w:val="auto"/>
              </w:rPr>
            </w:pPr>
            <w:r>
              <w:rPr>
                <w:rFonts w:ascii="Courier New" w:cs="Courier New" w:eastAsia="Courier New" w:hAnsi="Courier New"/>
                <w:sz w:val="15"/>
                <w:szCs w:val="15"/>
                <w:color w:val="auto"/>
              </w:rPr>
              <w:t>11.5% Notes due July 1..................................................................</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810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1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81,210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160,305</w:t>
            </w:r>
          </w:p>
        </w:tc>
      </w:tr>
      <w:tr>
        <w:trPr>
          <w:trHeight w:val="170"/>
        </w:trPr>
        <w:tc>
          <w:tcPr>
            <w:tcW w:w="810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960" w:firstLine="793"/>
        <w:spacing w:after="0" w:line="237" w:lineRule="auto"/>
        <w:rPr>
          <w:sz w:val="20"/>
          <w:szCs w:val="20"/>
          <w:color w:val="auto"/>
        </w:rPr>
      </w:pPr>
      <w:r>
        <w:rPr>
          <w:rFonts w:ascii="Courier New" w:cs="Courier New" w:eastAsia="Courier New" w:hAnsi="Courier New"/>
          <w:sz w:val="15"/>
          <w:szCs w:val="15"/>
          <w:color w:val="auto"/>
        </w:rPr>
        <w:t>In addition to the specific requirements discussed below, each of our notes and debentures contain qualitative and quantitative covenants that establish, among other things, the maintenance of specified net worth and restrictions on future indebtedness, as well as the monitoring and reporting of various specified transactions or events.</w:t>
      </w:r>
    </w:p>
    <w:p>
      <w:pPr>
        <w:spacing w:after="0" w:line="178" w:lineRule="exact"/>
        <w:rPr>
          <w:sz w:val="20"/>
          <w:szCs w:val="20"/>
          <w:color w:val="auto"/>
        </w:rPr>
      </w:pPr>
    </w:p>
    <w:p>
      <w:pPr>
        <w:jc w:val="both"/>
        <w:ind w:right="4060" w:firstLine="793"/>
        <w:spacing w:after="0" w:line="259" w:lineRule="auto"/>
        <w:rPr>
          <w:sz w:val="20"/>
          <w:szCs w:val="20"/>
          <w:color w:val="auto"/>
        </w:rPr>
      </w:pPr>
      <w:r>
        <w:rPr>
          <w:rFonts w:ascii="Courier New" w:cs="Courier New" w:eastAsia="Courier New" w:hAnsi="Courier New"/>
          <w:sz w:val="14"/>
          <w:szCs w:val="14"/>
          <w:color w:val="auto"/>
        </w:rPr>
        <w:t>We issued our 11.875% Notes due October 1, 2003, ("the Notes") in the original amount of $125,000 with interest payable semiannually on April 1 and October 1. The Notes are unsecured general obligations and are subordinated in right of payment to the claims of creditors of our subsidiaries.</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On November 26, 2002 we exercised our redemption option and called</w:t>
      </w:r>
    </w:p>
    <w:p>
      <w:pPr>
        <w:spacing w:after="0"/>
        <w:rPr>
          <w:sz w:val="20"/>
          <w:szCs w:val="20"/>
          <w:color w:val="auto"/>
        </w:rPr>
      </w:pPr>
      <w:r>
        <w:rPr>
          <w:rFonts w:ascii="Courier New" w:cs="Courier New" w:eastAsia="Courier New" w:hAnsi="Courier New"/>
          <w:sz w:val="15"/>
          <w:szCs w:val="15"/>
          <w:color w:val="auto"/>
        </w:rPr>
        <w:t>$40,000 of the Notes at a price of 102.969%. We may redeem the remaining balance</w:t>
      </w:r>
    </w:p>
    <w:p>
      <w:pPr>
        <w:spacing w:after="0" w:line="5" w:lineRule="exact"/>
        <w:rPr>
          <w:sz w:val="20"/>
          <w:szCs w:val="20"/>
          <w:color w:val="auto"/>
        </w:rPr>
      </w:pPr>
    </w:p>
    <w:p>
      <w:pPr>
        <w:ind w:right="3880"/>
        <w:spacing w:after="0" w:line="258" w:lineRule="auto"/>
        <w:rPr>
          <w:sz w:val="20"/>
          <w:szCs w:val="20"/>
          <w:color w:val="auto"/>
        </w:rPr>
      </w:pPr>
      <w:r>
        <w:rPr>
          <w:rFonts w:ascii="Courier New" w:cs="Courier New" w:eastAsia="Courier New" w:hAnsi="Courier New"/>
          <w:sz w:val="14"/>
          <w:szCs w:val="14"/>
          <w:color w:val="auto"/>
        </w:rPr>
        <w:t>of the Notes at our option, in whole or in part, at a redemption price of 102.969% (expressed as a percentage of the principal amount) plus accrued and unpaid interest, if redeemed prior to the maturity on October 1, 2003. Earlier in 2002, we also repurchased $3,550 of the Notes in the open market. We incurred a loss of $1,508 on these transactions in 2002. During 2001, we repurchased $13,025 of our Notes in the open market, resulting in gains of $52.</w:t>
      </w:r>
    </w:p>
    <w:p>
      <w:pPr>
        <w:spacing w:after="0" w:line="164"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The indenture governing the Notes requires that we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We maintained an investment in cash and cash equivalents of $5,172 and $10,366 at December 31, 2002 and 2001, respectively, that is restricted for purposes of meeting this liquidity requirement. The indenture further provides that we shall not sell, transfer or otherwise dispose of shares of common stock of the Bank or permit the Bank to issue, sell or otherwise dispose of shares of its common stock unless in either case the Bank remains a wholly-owned subsidiary.</w:t>
      </w:r>
    </w:p>
    <w:p>
      <w:pPr>
        <w:spacing w:after="0" w:line="181" w:lineRule="exact"/>
        <w:rPr>
          <w:sz w:val="20"/>
          <w:szCs w:val="20"/>
          <w:color w:val="auto"/>
        </w:rPr>
      </w:pPr>
    </w:p>
    <w:p>
      <w:pPr>
        <w:ind w:right="3880" w:firstLine="793"/>
        <w:spacing w:after="0" w:line="257" w:lineRule="auto"/>
        <w:rPr>
          <w:sz w:val="20"/>
          <w:szCs w:val="20"/>
          <w:color w:val="auto"/>
        </w:rPr>
      </w:pPr>
      <w:r>
        <w:rPr>
          <w:rFonts w:ascii="Courier New" w:cs="Courier New" w:eastAsia="Courier New" w:hAnsi="Courier New"/>
          <w:sz w:val="14"/>
          <w:szCs w:val="14"/>
          <w:color w:val="auto"/>
        </w:rPr>
        <w:t>In connection with the issuance of the Notes, we incurred certain costs that we capitalized and are amortizing on a straight-line basis over the life of the Notes. The unamortized balance of these issuance costs amounted to $253 and $1,185 at December 31, 2002 and 2001, respectively, and is included in other assets. Accrued interest payable on the Notes amounted to $1,291 and $2,583 at December 31, 2002 and 2001, respectively. We incurred interest expense on the Notes of $9,681, $11,465 and $12,293 during 2002, 2001 and 2000 respectively.</w:t>
      </w:r>
    </w:p>
    <w:p>
      <w:pPr>
        <w:spacing w:after="0" w:line="167" w:lineRule="exact"/>
        <w:rPr>
          <w:sz w:val="20"/>
          <w:szCs w:val="20"/>
          <w:color w:val="auto"/>
        </w:rPr>
      </w:pPr>
    </w:p>
    <w:p>
      <w:pPr>
        <w:ind w:right="3880" w:firstLine="793"/>
        <w:spacing w:after="0" w:line="237" w:lineRule="auto"/>
        <w:rPr>
          <w:sz w:val="20"/>
          <w:szCs w:val="20"/>
          <w:color w:val="auto"/>
        </w:rPr>
      </w:pPr>
      <w:r>
        <w:rPr>
          <w:rFonts w:ascii="Courier New" w:cs="Courier New" w:eastAsia="Courier New" w:hAnsi="Courier New"/>
          <w:sz w:val="15"/>
          <w:szCs w:val="15"/>
          <w:color w:val="auto"/>
        </w:rPr>
        <w:t>The Bank issued its 12% Subordinated Debentures due 2005 (the "Debentures") in the original amount of $100,000 with interest payable semiannually on June 15 and December 15. The Debentures are unsecured general obligations of the Bank and are subordinated in right of payment to all existing and future senior debt.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920"/>
          </w:cols>
          <w:pgMar w:left="240" w:top="622" w:right="739" w:bottom="1440" w:gutter="0" w:footer="0" w:header="0"/>
        </w:sectPr>
      </w:pPr>
    </w:p>
    <w:bookmarkStart w:id="131" w:name="page132"/>
    <w:bookmarkEnd w:id="131"/>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7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Bank may redeem the Debentures at any time at its option, in whole or in part, together with accrued and unpaid interest, if any, on not less than 30 nor more than 60 days notice at the following redemption prices (expressed as a percentage of the principal amount), if redeemed during the twelve-month period beginning June 15 of the years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51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Redemption Price</w:t>
            </w: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102.667%</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101.333%</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w w:val="99"/>
              </w:rPr>
              <w:t>and thereafter..........................................</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100.000%</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November 26, 2002 the Bank exercised its redemption option and called $33,500</w:t>
      </w:r>
    </w:p>
    <w:p>
      <w:pPr>
        <w:spacing w:after="0"/>
        <w:rPr>
          <w:sz w:val="20"/>
          <w:szCs w:val="20"/>
          <w:color w:val="auto"/>
        </w:rPr>
      </w:pPr>
      <w:r>
        <w:rPr>
          <w:rFonts w:ascii="Courier New" w:cs="Courier New" w:eastAsia="Courier New" w:hAnsi="Courier New"/>
          <w:sz w:val="15"/>
          <w:szCs w:val="15"/>
          <w:color w:val="auto"/>
        </w:rPr>
        <w:t>of the Debentures at a redemption price of 102.667%, resulting in a loss of</w:t>
      </w:r>
    </w:p>
    <w:p>
      <w:pPr>
        <w:spacing w:after="0"/>
        <w:rPr>
          <w:sz w:val="20"/>
          <w:szCs w:val="20"/>
          <w:color w:val="auto"/>
        </w:rPr>
      </w:pPr>
      <w:r>
        <w:rPr>
          <w:rFonts w:ascii="Courier New" w:cs="Courier New" w:eastAsia="Courier New" w:hAnsi="Courier New"/>
          <w:sz w:val="15"/>
          <w:szCs w:val="15"/>
          <w:color w:val="auto"/>
        </w:rPr>
        <w:t>$1,025. During 1999, the Bank repurchased $33,000 of its debentures in the open</w:t>
      </w:r>
    </w:p>
    <w:p>
      <w:pPr>
        <w:spacing w:after="0" w:line="238" w:lineRule="auto"/>
        <w:rPr>
          <w:sz w:val="20"/>
          <w:szCs w:val="20"/>
          <w:color w:val="auto"/>
        </w:rPr>
      </w:pPr>
      <w:r>
        <w:rPr>
          <w:rFonts w:ascii="Courier New" w:cs="Courier New" w:eastAsia="Courier New" w:hAnsi="Courier New"/>
          <w:sz w:val="15"/>
          <w:szCs w:val="15"/>
          <w:color w:val="auto"/>
        </w:rPr>
        <w:t>market, resulting in a gain of $1,025. There were no repurchases during 2001 or</w:t>
      </w:r>
    </w:p>
    <w:p>
      <w:pPr>
        <w:spacing w:after="0"/>
        <w:rPr>
          <w:sz w:val="20"/>
          <w:szCs w:val="20"/>
          <w:color w:val="auto"/>
        </w:rPr>
      </w:pPr>
      <w:r>
        <w:rPr>
          <w:rFonts w:ascii="Courier New" w:cs="Courier New" w:eastAsia="Courier New" w:hAnsi="Courier New"/>
          <w:sz w:val="15"/>
          <w:szCs w:val="15"/>
          <w:color w:val="auto"/>
        </w:rPr>
        <w:t>2000.</w:t>
      </w:r>
    </w:p>
    <w:p>
      <w:pPr>
        <w:spacing w:after="0" w:line="174"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In connection with the issuance of the Debentures, the Bank incurred certain costs that we capitalized and are amortizing on a straight-line basis over the expected life of the Debentures. The unamortized balance of these issuance costs amounted to $94 and $617 at December 31, 2002 and 2001, respectively, and is included in other assets. Accrued interest payable on the Debentures amounted to $168 and $335 at December 31, 2002 and 2001, respectively. We incurred interest expense on the Debentures of $7,660, $8,040 and $8,040 during 2002, 2001 and 2000, respectively.</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As a result of our acquisition of OAC in October 1999, we assumed the 11.5% Redeemable Notes (the "Redeemable Notes") due 2005, which OAC issued during 1998 in the original amount of $150,000. During 2000, OAC repurchased in the open market $44,930 of the outstanding balance of its Redeemable Notes. These repurchases resulted in gains of $8,073. Additionally, on December 21, 2000, we acquired $98,025 in aggregate principal outstanding of the Redeemable Notes pursuant to our tender offer and consent solicitation dated November 14, 2000. This repurchase resulted in a gain of $9,452. On November 5, 2002 OAC exercised its redemption option and called the remaining $45 balance at a price of 105.75%, resulting in a loss of $2. We incurred interest expense on the Redeemable Notes of $4, $5 and $13,680 during 2002, 2001 and 2000,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CAPITAL SECURITIES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August 1997, Ocwen Capital Trust ("OCT") issued $125,000 of 10.875% Capital Securities (the "Capital Securities"). OCT invested the proceeds from issuance of the Capital Securities in 10.875% Junior Subordinated Debentures issued by OCN. The Junior Subordinated Debentures, which represent the sole assets of OCT, will mature on August 1, 2027. During 2002, 2001 and 2000, we repurchased $4,910, $18,371 and $30,470, respectively, of our Capital Securities in the open market, resulting in gains of $1,074, $3,723 and $11,739, respectively.</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Ocwen Financial Corporation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 Accumulated distributions payable on the Capital Securities amounted to $2,549 and $2,771 at December 31, 2002 and 2001, respectively, and are included in accrued interest payable.</w:t>
      </w:r>
    </w:p>
    <w:p>
      <w:pPr>
        <w:spacing w:after="0" w:line="18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w:t>
      </w:r>
    </w:p>
    <w:p>
      <w:pPr>
        <w:spacing w:after="0" w:line="1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22" w:right="1440" w:bottom="735" w:gutter="0" w:footer="0" w:header="0"/>
        </w:sectPr>
      </w:pPr>
    </w:p>
    <w:bookmarkStart w:id="132" w:name="page133"/>
    <w:bookmarkEnd w:id="132"/>
    <w:p>
      <w:pPr>
        <w:jc w:val="center"/>
        <w:ind w:right="890"/>
        <w:spacing w:after="0" w:line="237"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2002, 2001, AND 2000 (Dollars in thousands, except share data)</w:t>
      </w:r>
    </w:p>
    <w:p>
      <w:pPr>
        <w:spacing w:after="0" w:line="176" w:lineRule="exact"/>
        <w:rPr>
          <w:sz w:val="20"/>
          <w:szCs w:val="20"/>
          <w:color w:val="auto"/>
        </w:rPr>
      </w:pPr>
    </w:p>
    <w:p>
      <w:pPr>
        <w:ind w:left="10" w:right="960"/>
        <w:spacing w:after="0" w:line="237" w:lineRule="auto"/>
        <w:rPr>
          <w:sz w:val="20"/>
          <w:szCs w:val="20"/>
          <w:color w:val="auto"/>
        </w:rPr>
      </w:pPr>
      <w:r>
        <w:rPr>
          <w:rFonts w:ascii="Courier New" w:cs="Courier New" w:eastAsia="Courier New" w:hAnsi="Courier New"/>
          <w:sz w:val="15"/>
          <w:szCs w:val="15"/>
          <w:color w:val="auto"/>
        </w:rPr>
        <w:t>securities that rank pari passu with or junior to the Junior Subordinated Debentures. During an extension period, interest on the Junior Subordinated Debentures will continue to accrue at the rate of 10.875% per annum, compounded semiannually.</w:t>
      </w:r>
    </w:p>
    <w:p>
      <w:pPr>
        <w:spacing w:after="0" w:line="176" w:lineRule="exact"/>
        <w:rPr>
          <w:sz w:val="20"/>
          <w:szCs w:val="20"/>
          <w:color w:val="auto"/>
        </w:rPr>
      </w:pPr>
    </w:p>
    <w:p>
      <w:pPr>
        <w:ind w:left="10" w:right="880" w:firstLine="793"/>
        <w:spacing w:after="0" w:line="256" w:lineRule="auto"/>
        <w:rPr>
          <w:sz w:val="20"/>
          <w:szCs w:val="20"/>
          <w:color w:val="auto"/>
        </w:rPr>
      </w:pPr>
      <w:r>
        <w:rPr>
          <w:rFonts w:ascii="Courier New" w:cs="Courier New" w:eastAsia="Courier New" w:hAnsi="Courier New"/>
          <w:sz w:val="14"/>
          <w:szCs w:val="14"/>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6" w:lineRule="exact"/>
        <w:rPr>
          <w:sz w:val="20"/>
          <w:szCs w:val="20"/>
          <w:color w:val="auto"/>
        </w:rPr>
      </w:pPr>
    </w:p>
    <w:p>
      <w:pPr>
        <w:ind w:left="10" w:right="880" w:firstLine="793"/>
        <w:spacing w:after="0" w:line="238" w:lineRule="auto"/>
        <w:rPr>
          <w:sz w:val="20"/>
          <w:szCs w:val="20"/>
          <w:color w:val="auto"/>
        </w:rPr>
      </w:pPr>
      <w:r>
        <w:rPr>
          <w:rFonts w:ascii="Courier New" w:cs="Courier New" w:eastAsia="Courier New" w:hAnsi="Courier New"/>
          <w:sz w:val="15"/>
          <w:szCs w:val="15"/>
          <w:color w:val="auto"/>
        </w:rPr>
        <w:t>For financial reporting purposes, we treat OCT as a subsidiary and, accordingly, the accounts of OCT are included in our consolidated financial statements. We eliminate intercompany balances and transactions with OCT, including the balance of Junior Subordinated Debentures outstanding, in our consolidated financial statements. We present the Capital Securities in a separate caption between liabilities and stockholders' equity in our consolidated statement of financial condition as "Company-obligated, mandatorily redeemable securities of subsidiary trust holding solely Junior Subordinated Debentures of the Company." We report distributions on the Capital Securities in a separate caption immediately following non-interest expense in our consolidated statement of operations. We intend to continue this method of accounting in the future.</w:t>
      </w:r>
    </w:p>
    <w:p>
      <w:pPr>
        <w:spacing w:after="0" w:line="182" w:lineRule="exact"/>
        <w:rPr>
          <w:sz w:val="20"/>
          <w:szCs w:val="20"/>
          <w:color w:val="auto"/>
        </w:rPr>
      </w:pPr>
    </w:p>
    <w:p>
      <w:pPr>
        <w:ind w:left="10" w:right="960" w:firstLine="793"/>
        <w:spacing w:after="0" w:line="237" w:lineRule="auto"/>
        <w:rPr>
          <w:sz w:val="20"/>
          <w:szCs w:val="20"/>
          <w:color w:val="auto"/>
        </w:rPr>
      </w:pPr>
      <w:r>
        <w:rPr>
          <w:rFonts w:ascii="Courier New" w:cs="Courier New" w:eastAsia="Courier New" w:hAnsi="Courier New"/>
          <w:sz w:val="15"/>
          <w:szCs w:val="15"/>
          <w:color w:val="auto"/>
        </w:rPr>
        <w:t>In connection with our issuance of the Capital Securities, we incurred certain costs that we capitalized and are amortizing over the term of the Capital Securities. The unamortized balance of these issuance costs amounted to $1,841 and $2,083 at December 31, 2002 and 2001, respectively, and are included in other assets.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18 BASIC AND DILUTED EARNINGS PER SHARE</w:t>
      </w:r>
    </w:p>
    <w:p>
      <w:pPr>
        <w:spacing w:after="0" w:line="175" w:lineRule="exact"/>
        <w:rPr>
          <w:sz w:val="20"/>
          <w:szCs w:val="20"/>
          <w:color w:val="auto"/>
        </w:rPr>
      </w:pPr>
    </w:p>
    <w:p>
      <w:pPr>
        <w:ind w:left="10" w:right="960" w:firstLine="793"/>
        <w:spacing w:after="0" w:line="238" w:lineRule="auto"/>
        <w:rPr>
          <w:sz w:val="20"/>
          <w:szCs w:val="20"/>
          <w:color w:val="auto"/>
        </w:rPr>
      </w:pPr>
      <w:r>
        <w:rPr>
          <w:rFonts w:ascii="Courier New" w:cs="Courier New" w:eastAsia="Courier New" w:hAnsi="Courier New"/>
          <w:sz w:val="15"/>
          <w:szCs w:val="15"/>
          <w:color w:val="auto"/>
        </w:rPr>
        <w:t>We are required to present both basic and diluted EPS on the face of our statement of operations. Basic EPS excludes common stock equivalents and is calculated by dividing net income by the weighted average number of common shares outstanding during the year. We calculate diluted EPS by dividing net income by the weighted average number of common shares outstanding, including the dilutive potential common shares related to outstanding stock options.</w:t>
      </w:r>
    </w:p>
    <w:p>
      <w:pPr>
        <w:spacing w:after="0" w:line="176" w:lineRule="exact"/>
        <w:rPr>
          <w:sz w:val="20"/>
          <w:szCs w:val="20"/>
          <w:color w:val="auto"/>
        </w:rPr>
      </w:pPr>
    </w:p>
    <w:p>
      <w:pPr>
        <w:ind w:left="10" w:right="1140" w:firstLine="793"/>
        <w:spacing w:after="0" w:line="235" w:lineRule="auto"/>
        <w:rPr>
          <w:sz w:val="20"/>
          <w:szCs w:val="20"/>
          <w:color w:val="auto"/>
        </w:rPr>
      </w:pPr>
      <w:r>
        <w:rPr>
          <w:rFonts w:ascii="Courier New" w:cs="Courier New" w:eastAsia="Courier New" w:hAnsi="Courier New"/>
          <w:sz w:val="15"/>
          <w:szCs w:val="15"/>
          <w:color w:val="auto"/>
        </w:rPr>
        <w:t>The following is a reconciliation of the calculation of basic EPS to diluted EPS for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(68,775)</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 average shares of common stock.............................</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67,321,299</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Basic EPS...........................................................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 average shares of common stock.............................</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67,321,299</w:t>
            </w:r>
          </w:p>
        </w:tc>
      </w:tr>
      <w:tr>
        <w:trPr>
          <w:trHeight w:val="170"/>
        </w:trPr>
        <w:tc>
          <w:tcPr>
            <w:tcW w:w="6560" w:type="dxa"/>
            <w:vAlign w:val="bottom"/>
          </w:tcPr>
          <w:p>
            <w:pPr>
              <w:jc w:val="right"/>
              <w:ind w:right="3667"/>
              <w:spacing w:after="0"/>
              <w:rPr>
                <w:sz w:val="20"/>
                <w:szCs w:val="20"/>
                <w:color w:val="auto"/>
              </w:rPr>
            </w:pPr>
            <w:r>
              <w:rPr>
                <w:rFonts w:ascii="Courier New" w:cs="Courier New" w:eastAsia="Courier New" w:hAnsi="Courier New"/>
                <w:sz w:val="15"/>
                <w:szCs w:val="15"/>
                <w:color w:val="auto"/>
              </w:rPr>
              <w:t>Effect of dilutive securities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Stock options (1).................................................</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67,321,299</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Diluted EPS.........................................................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880" w:hanging="790"/>
        <w:spacing w:after="0" w:line="259" w:lineRule="auto"/>
        <w:tabs>
          <w:tab w:leader="none" w:pos="79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effect of all options in 2002 and 2001 because options are antidilutive in the event of a loss and the effect of 1,718,133 of options that are antidilutive for 2000 because their exercise price is greater than the market price of our stock at December 31, 2000.</w:t>
      </w:r>
    </w:p>
    <w:p>
      <w:pPr>
        <w:spacing w:after="0" w:line="15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spacing w:after="0"/>
        <w:tabs>
          <w:tab w:leader="none" w:pos="17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40" w:val="left"/>
          <w:tab w:leader="none" w:pos="1480" w:val="left"/>
          <w:tab w:leader="none" w:pos="2000" w:val="left"/>
        </w:tabs>
        <w:rPr>
          <w:sz w:val="20"/>
          <w:szCs w:val="20"/>
          <w:color w:val="auto"/>
        </w:rPr>
      </w:pPr>
      <w:r>
        <w:rPr>
          <w:rFonts w:ascii="Courier New" w:cs="Courier New" w:eastAsia="Courier New" w:hAnsi="Courier New"/>
          <w:sz w:val="15"/>
          <w:szCs w:val="15"/>
          <w:color w:val="auto"/>
        </w:rPr>
        <w:t>$</w:t>
        <w:tab/>
        <w:t>(124,782)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2,192</w:t>
      </w:r>
    </w:p>
    <w:p>
      <w:pPr>
        <w:spacing w:after="0" w:line="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80"/>
        <w:spacing w:after="0"/>
        <w:tabs>
          <w:tab w:leader="none" w:pos="1560" w:val="left"/>
        </w:tabs>
        <w:rPr>
          <w:sz w:val="20"/>
          <w:szCs w:val="20"/>
          <w:color w:val="auto"/>
        </w:rPr>
      </w:pPr>
      <w:r>
        <w:rPr>
          <w:rFonts w:ascii="Courier New" w:cs="Courier New" w:eastAsia="Courier New" w:hAnsi="Courier New"/>
          <w:sz w:val="14"/>
          <w:szCs w:val="14"/>
          <w:color w:val="auto"/>
        </w:rPr>
        <w:t>67,227,058</w:t>
      </w:r>
      <w:r>
        <w:rPr>
          <w:sz w:val="20"/>
          <w:szCs w:val="20"/>
          <w:color w:val="auto"/>
        </w:rPr>
        <w:tab/>
      </w:r>
      <w:r>
        <w:rPr>
          <w:rFonts w:ascii="Courier New" w:cs="Courier New" w:eastAsia="Courier New" w:hAnsi="Courier New"/>
          <w:sz w:val="14"/>
          <w:szCs w:val="14"/>
          <w:color w:val="auto"/>
        </w:rPr>
        <w:t>67,427,662</w:t>
      </w:r>
    </w:p>
    <w:p>
      <w:pPr>
        <w:spacing w:after="0" w:line="1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500" w:val="left"/>
          <w:tab w:leader="none" w:pos="1480" w:val="left"/>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0.03</w:t>
      </w:r>
    </w:p>
    <w:p>
      <w:pPr>
        <w:spacing w:after="0" w:line="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50" w:lineRule="exact"/>
        <w:rPr>
          <w:sz w:val="20"/>
          <w:szCs w:val="20"/>
          <w:color w:val="auto"/>
        </w:rPr>
      </w:pPr>
    </w:p>
    <w:p>
      <w:pPr>
        <w:ind w:left="80"/>
        <w:spacing w:after="0"/>
        <w:tabs>
          <w:tab w:leader="none" w:pos="1560" w:val="left"/>
        </w:tabs>
        <w:rPr>
          <w:sz w:val="20"/>
          <w:szCs w:val="20"/>
          <w:color w:val="auto"/>
        </w:rPr>
      </w:pPr>
      <w:r>
        <w:rPr>
          <w:rFonts w:ascii="Courier New" w:cs="Courier New" w:eastAsia="Courier New" w:hAnsi="Courier New"/>
          <w:sz w:val="14"/>
          <w:szCs w:val="14"/>
          <w:color w:val="auto"/>
        </w:rPr>
        <w:t>67,227,058</w:t>
      </w:r>
      <w:r>
        <w:rPr>
          <w:sz w:val="20"/>
          <w:szCs w:val="20"/>
          <w:color w:val="auto"/>
        </w:rPr>
        <w:tab/>
      </w:r>
      <w:r>
        <w:rPr>
          <w:rFonts w:ascii="Courier New" w:cs="Courier New" w:eastAsia="Courier New" w:hAnsi="Courier New"/>
          <w:sz w:val="14"/>
          <w:szCs w:val="14"/>
          <w:color w:val="auto"/>
        </w:rPr>
        <w:t>67,427,662</w:t>
      </w:r>
    </w:p>
    <w:p>
      <w:pPr>
        <w:spacing w:after="0" w:line="180" w:lineRule="exact"/>
        <w:rPr>
          <w:sz w:val="20"/>
          <w:szCs w:val="20"/>
          <w:color w:val="auto"/>
        </w:rPr>
      </w:pPr>
    </w:p>
    <w:p>
      <w:pPr>
        <w:ind w:left="1940" w:hanging="1155"/>
        <w:spacing w:after="0"/>
        <w:tabs>
          <w:tab w:leader="none" w:pos="19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36,381</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67,227,058</w:t>
      </w:r>
      <w:r>
        <w:rPr>
          <w:rFonts w:ascii="Courier New" w:cs="Courier New" w:eastAsia="Courier New" w:hAnsi="Courier New"/>
          <w:sz w:val="14"/>
          <w:szCs w:val="14"/>
          <w:color w:val="auto"/>
        </w:rPr>
        <w:t>67,464,043</w:t>
      </w:r>
    </w:p>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(1.86)</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0"/>
        </w:trPr>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930" w:space="540"/>
            <w:col w:w="2460"/>
          </w:cols>
          <w:pgMar w:left="230" w:top="627" w:right="739" w:bottom="0" w:gutter="0" w:footer="0" w:header="0"/>
        </w:sectPr>
      </w:pPr>
    </w:p>
    <w:bookmarkStart w:id="133" w:name="page134"/>
    <w:bookmarkEnd w:id="133"/>
    <w:p>
      <w:pPr>
        <w:jc w:val="center"/>
        <w:ind w:right="640"/>
        <w:spacing w:after="0" w:line="237"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2002, 2001, AND 2000 (Dollars in thousands, except share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DERIVATIVE FINANCIAL INSTRUMENTS</w:t>
      </w:r>
    </w:p>
    <w:p>
      <w:pPr>
        <w:spacing w:after="0" w:line="175" w:lineRule="exact"/>
        <w:rPr>
          <w:sz w:val="20"/>
          <w:szCs w:val="20"/>
          <w:color w:val="auto"/>
        </w:rPr>
      </w:pPr>
    </w:p>
    <w:p>
      <w:pPr>
        <w:ind w:right="620" w:firstLine="793"/>
        <w:spacing w:after="0" w:line="237"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w:t>
      </w:r>
    </w:p>
    <w:p>
      <w:pPr>
        <w:spacing w:after="0" w:line="175" w:lineRule="exact"/>
        <w:rPr>
          <w:sz w:val="20"/>
          <w:szCs w:val="20"/>
          <w:color w:val="auto"/>
        </w:rPr>
      </w:pPr>
    </w:p>
    <w:p>
      <w:pPr>
        <w:ind w:right="800" w:firstLine="793"/>
        <w:spacing w:after="0" w:line="257" w:lineRule="auto"/>
        <w:rPr>
          <w:sz w:val="20"/>
          <w:szCs w:val="20"/>
          <w:color w:val="auto"/>
        </w:rPr>
      </w:pPr>
      <w:r>
        <w:rPr>
          <w:rFonts w:ascii="Courier New" w:cs="Courier New" w:eastAsia="Courier New" w:hAnsi="Courier New"/>
          <w:sz w:val="14"/>
          <w:szCs w:val="14"/>
          <w:color w:val="auto"/>
        </w:rPr>
        <w:t>Because interest rate futures and foreign currency futures contracts are exchange traded, holders of these instruments look to the exchange for performance under these contracts and not the entity holding the offsetting futures contract, thereby minimizing the risk of nonperformance under these contracts. We are exposed to credit loss in the event of nonperformance by the counterparty to the interest rate and currency swaps and control this risk through credit monitoring procedures. The notional principal amount does not represent our exposure to credit loss.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5" w:lineRule="exact"/>
        <w:rPr>
          <w:sz w:val="20"/>
          <w:szCs w:val="20"/>
          <w:color w:val="auto"/>
        </w:rPr>
      </w:pPr>
    </w:p>
    <w:p>
      <w:pPr>
        <w:ind w:right="620" w:firstLine="793"/>
        <w:spacing w:after="0" w:line="238" w:lineRule="auto"/>
        <w:rPr>
          <w:sz w:val="20"/>
          <w:szCs w:val="20"/>
          <w:color w:val="auto"/>
        </w:rPr>
      </w:pPr>
      <w:r>
        <w:rPr>
          <w:rFonts w:ascii="Courier New" w:cs="Courier New" w:eastAsia="Courier New" w:hAnsi="Courier New"/>
          <w:sz w:val="15"/>
          <w:szCs w:val="15"/>
          <w:color w:val="auto"/>
        </w:rPr>
        <w:t>In managing our interest rate risk, we enter into interest rate swaps from time to time. Under interest rate swaps, we agree with other parties to exchange, at specified intervals, the difference between fixed-rate and floating-rate interest amounts calculated by reference to an agreed upon notional amount. The terms of the interest rate swaps provided for us to receive a floating rate of interest based on the London Interbank Offered Rate ("LIBOR") and to pay fixed interest rates. We used these interest rate swaps to alter the interest rate on LIBOR rate debt incurred to fund our acquisitions of real estate, subordinate and residual securities and securities sold under agreements to repurchase.</w:t>
      </w:r>
    </w:p>
    <w:p>
      <w:pPr>
        <w:spacing w:after="0" w:line="180" w:lineRule="exact"/>
        <w:rPr>
          <w:sz w:val="20"/>
          <w:szCs w:val="20"/>
          <w:color w:val="auto"/>
        </w:rPr>
      </w:pPr>
    </w:p>
    <w:p>
      <w:pPr>
        <w:ind w:right="620" w:firstLine="793"/>
        <w:spacing w:after="0" w:line="238" w:lineRule="auto"/>
        <w:rPr>
          <w:sz w:val="20"/>
          <w:szCs w:val="20"/>
          <w:color w:val="auto"/>
        </w:rPr>
      </w:pPr>
      <w:r>
        <w:rPr>
          <w:rFonts w:ascii="Courier New" w:cs="Courier New" w:eastAsia="Courier New" w:hAnsi="Courier New"/>
          <w:sz w:val="15"/>
          <w:szCs w:val="15"/>
          <w:color w:val="auto"/>
        </w:rPr>
        <w:t>We are exposed to credit loss when we enter into interest rate swaps if: (i) the counterparty to the interest rate swap does not perform and (ii) the floating interest rate that we receive exceeds the fixed interest rate that we pay. All the counterparties had long-term debt ratings of A+ or above by Standard and Poor's and A1 or above by Moody's. Although a swap generally may not be sold or transferred without the consent of the counterparty, management does not believe that this consent would be withheld. Although none of our interest rate swaps were exchange-traded, there are a number of financial institutions which enter into these types of transactions as part of their day-to-day activities.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 had no interest rate swaps outstanding at December 31, 2002. Our</w:t>
      </w:r>
    </w:p>
    <w:p>
      <w:pPr>
        <w:spacing w:after="0"/>
        <w:rPr>
          <w:sz w:val="20"/>
          <w:szCs w:val="20"/>
          <w:color w:val="auto"/>
        </w:rPr>
      </w:pPr>
      <w:r>
        <w:rPr>
          <w:rFonts w:ascii="Courier New" w:cs="Courier New" w:eastAsia="Courier New" w:hAnsi="Courier New"/>
          <w:sz w:val="15"/>
          <w:szCs w:val="15"/>
          <w:color w:val="auto"/>
        </w:rPr>
        <w:t>swaps had the effect of increasing (decreasing) net interest income by $2 and</w:t>
      </w:r>
    </w:p>
    <w:p>
      <w:pPr>
        <w:spacing w:after="0"/>
        <w:rPr>
          <w:sz w:val="20"/>
          <w:szCs w:val="20"/>
          <w:color w:val="auto"/>
        </w:rPr>
      </w:pPr>
      <w:r>
        <w:rPr>
          <w:rFonts w:ascii="Courier New" w:cs="Courier New" w:eastAsia="Courier New" w:hAnsi="Courier New"/>
          <w:sz w:val="15"/>
          <w:szCs w:val="15"/>
          <w:color w:val="auto"/>
        </w:rPr>
        <w:t>$(148) for the years ended December 31, 2001 and 2000, respectively. During 2001</w:t>
      </w:r>
    </w:p>
    <w:p>
      <w:pPr>
        <w:spacing w:after="0" w:line="238" w:lineRule="auto"/>
        <w:rPr>
          <w:sz w:val="20"/>
          <w:szCs w:val="20"/>
          <w:color w:val="auto"/>
        </w:rPr>
      </w:pPr>
      <w:r>
        <w:rPr>
          <w:rFonts w:ascii="Courier New" w:cs="Courier New" w:eastAsia="Courier New" w:hAnsi="Courier New"/>
          <w:sz w:val="15"/>
          <w:szCs w:val="15"/>
          <w:color w:val="auto"/>
        </w:rPr>
        <w:t>and 2000, we realized gains (losses) of $(9) and $575 on swaps that we included</w:t>
      </w:r>
    </w:p>
    <w:p>
      <w:pPr>
        <w:spacing w:after="0"/>
        <w:rPr>
          <w:sz w:val="20"/>
          <w:szCs w:val="20"/>
          <w:color w:val="auto"/>
        </w:rPr>
      </w:pPr>
      <w:r>
        <w:rPr>
          <w:rFonts w:ascii="Courier New" w:cs="Courier New" w:eastAsia="Courier New" w:hAnsi="Courier New"/>
          <w:sz w:val="15"/>
          <w:szCs w:val="15"/>
          <w:color w:val="auto"/>
        </w:rPr>
        <w:t>in net operating gains on investments in real estate.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ind w:left="780"/>
              <w:spacing w:after="0"/>
              <w:rPr>
                <w:sz w:val="20"/>
                <w:szCs w:val="20"/>
                <w:color w:val="auto"/>
              </w:rPr>
            </w:pPr>
            <w:r>
              <w:rPr>
                <w:rFonts w:ascii="Courier New" w:cs="Courier New" w:eastAsia="Courier New" w:hAnsi="Courier New"/>
                <w:sz w:val="15"/>
                <w:szCs w:val="15"/>
                <w:color w:val="auto"/>
                <w:w w:val="99"/>
              </w:rPr>
              <w:t>We have purchased amortizing</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caps and floors to hedge our interest rate</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exposure relating to our match funded</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loans and securities. An interest rate cap</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or interest rate floor is designed to</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provide protection against the interest</w:t>
            </w: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rate on a floating-rate instrument rising above some level (cap) or falling</w:t>
            </w: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below some level (floor). The interest rate representing the cap or the floor is</w:t>
            </w: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referred to as the "strike rate." We receive payments from the seller on caps</w:t>
            </w: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when the current interest rate rises above the strike rate and on floors when</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the current interest rate falls below</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strike rate. The amount received</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represents the difference between the</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current rate and the strike rate applied</w:t>
            </w: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to the notional amount. The terms of our outstanding caps and floors at December</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31, 2002 and 2001 are as follows: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78"/>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Notional</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Maturity</w:t>
            </w:r>
          </w:p>
        </w:tc>
        <w:tc>
          <w:tcPr>
            <w:tcW w:w="1420" w:type="dxa"/>
            <w:vAlign w:val="bottom"/>
          </w:tcPr>
          <w:p>
            <w:pPr>
              <w:ind w:left="540"/>
              <w:spacing w:after="0"/>
              <w:rPr>
                <w:sz w:val="20"/>
                <w:szCs w:val="20"/>
                <w:color w:val="auto"/>
              </w:rPr>
            </w:pPr>
            <w:r>
              <w:rPr>
                <w:rFonts w:ascii="Courier New" w:cs="Courier New" w:eastAsia="Courier New" w:hAnsi="Courier New"/>
                <w:sz w:val="15"/>
                <w:szCs w:val="15"/>
                <w:color w:val="auto"/>
              </w:rPr>
              <w:t>Index</w:t>
            </w:r>
          </w:p>
        </w:tc>
      </w:tr>
      <w:tr>
        <w:trPr>
          <w:trHeight w:val="170"/>
        </w:trPr>
        <w:tc>
          <w:tcPr>
            <w:tcW w:w="33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111,799</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October 2003</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LIBOR 1-Month</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Floors......................</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30,563</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October 2003</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CMT 2-Year</w:t>
            </w:r>
          </w:p>
        </w:tc>
      </w:tr>
      <w:tr>
        <w:trPr>
          <w:trHeight w:val="848"/>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125,933</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October 2003</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LIBOR 1-Month</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Floors......................</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34,100</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October 2003</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CMT 2-Year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Strike Rate</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Fair Value</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7.00%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4.35</w:t>
            </w:r>
          </w:p>
        </w:tc>
        <w:tc>
          <w:tcPr>
            <w:tcW w:w="3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13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13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7.00%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4.35</w:t>
            </w:r>
          </w:p>
        </w:tc>
        <w:tc>
          <w:tcPr>
            <w:tcW w:w="3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13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w:t>
            </w:r>
          </w:p>
        </w:tc>
      </w:tr>
      <w:tr>
        <w:trPr>
          <w:trHeight w:val="170"/>
        </w:trPr>
        <w:tc>
          <w:tcPr>
            <w:tcW w:w="13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60" w:space="360"/>
            <w:col w:w="2720"/>
          </w:cols>
          <w:pgMar w:left="240" w:top="627" w:right="919" w:bottom="1440" w:gutter="0" w:footer="0" w:header="0"/>
        </w:sectPr>
      </w:pPr>
    </w:p>
    <w:bookmarkStart w:id="134" w:name="page135"/>
    <w:bookmarkEnd w:id="134"/>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880" w:firstLine="793"/>
        <w:spacing w:after="0" w:line="237" w:lineRule="auto"/>
        <w:rPr>
          <w:sz w:val="20"/>
          <w:szCs w:val="20"/>
          <w:color w:val="auto"/>
        </w:rPr>
      </w:pPr>
      <w:r>
        <w:rPr>
          <w:rFonts w:ascii="Courier New" w:cs="Courier New" w:eastAsia="Courier New" w:hAnsi="Courier New"/>
          <w:sz w:val="15"/>
          <w:szCs w:val="15"/>
          <w:color w:val="auto"/>
        </w:rPr>
        <w:t>During 2001, we determined that our caps and floors no longer qualified for hedge accounting. Unrealized gains included in earnings to record our caps and floors at fair value during 2002 and 2001 amounted to $188 and $404, respectively. Amortization of the caps and floors amounted to $391 and $1,172 during the years ended December 31, 2001 and 2000, respectively.</w:t>
      </w:r>
    </w:p>
    <w:p>
      <w:pPr>
        <w:spacing w:after="0" w:line="178" w:lineRule="exact"/>
        <w:rPr>
          <w:sz w:val="20"/>
          <w:szCs w:val="20"/>
          <w:color w:val="auto"/>
        </w:rPr>
      </w:pPr>
    </w:p>
    <w:p>
      <w:pPr>
        <w:ind w:right="3880" w:firstLine="793"/>
        <w:spacing w:after="0" w:line="237" w:lineRule="auto"/>
        <w:rPr>
          <w:sz w:val="20"/>
          <w:szCs w:val="20"/>
          <w:color w:val="auto"/>
        </w:rPr>
      </w:pPr>
      <w:r>
        <w:rPr>
          <w:rFonts w:ascii="Courier New" w:cs="Courier New" w:eastAsia="Courier New" w:hAnsi="Courier New"/>
          <w:sz w:val="15"/>
          <w:szCs w:val="15"/>
          <w:color w:val="auto"/>
        </w:rPr>
        <w:t>We purchased no swaptions, put options, U.S. Treasury futures contracts or US Agency futures contracts during 2002 or 2001. The following table summarizes our net realized gains and (losses) on the following financial instruments included in earnings for year ended December 31, 2000.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Swaptions and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put</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U.S. Treasury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Agency futures................................</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r>
    </w:tbl>
    <w:p>
      <w:pPr>
        <w:spacing w:after="0" w:line="344" w:lineRule="exact"/>
        <w:rPr>
          <w:sz w:val="20"/>
          <w:szCs w:val="20"/>
          <w:color w:val="auto"/>
        </w:rPr>
      </w:pPr>
    </w:p>
    <w:p>
      <w:pPr>
        <w:ind w:right="3960" w:firstLine="793"/>
        <w:spacing w:after="0" w:line="237" w:lineRule="auto"/>
        <w:rPr>
          <w:sz w:val="20"/>
          <w:szCs w:val="20"/>
          <w:color w:val="auto"/>
        </w:rPr>
      </w:pPr>
      <w:r>
        <w:rPr>
          <w:rFonts w:ascii="Courier New" w:cs="Courier New" w:eastAsia="Courier New" w:hAnsi="Courier New"/>
          <w:sz w:val="15"/>
          <w:szCs w:val="15"/>
          <w:color w:val="auto"/>
        </w:rPr>
        <w:t>The fair value of our interest rate swaps and caps and floors represents the estimated amount that we would receive or pay to terminate these agreements taking into account current interest rates. Market quotes are available for these agreements. The following table summarizes our use of interest rate risk management instruments: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Notional Amount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tcPr>
          <w:p>
            <w:pPr>
              <w:spacing w:after="0"/>
              <w:rPr>
                <w:sz w:val="14"/>
                <w:szCs w:val="14"/>
                <w:color w:val="auto"/>
              </w:rPr>
            </w:pPr>
          </w:p>
        </w:tc>
        <w:tc>
          <w:tcPr>
            <w:tcW w:w="41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Interest Rate</w:t>
            </w: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Swaps</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Caps</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Floors</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2000.................................................</w:t>
            </w:r>
          </w:p>
        </w:tc>
        <w:tc>
          <w:tcPr>
            <w:tcW w:w="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33,000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$ 141,674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37,787</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Maturities.................................................................</w:t>
            </w:r>
          </w:p>
        </w:tc>
        <w:tc>
          <w:tcPr>
            <w:tcW w:w="4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(33,000)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(15,741)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(3,686)</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2001.................................................</w:t>
            </w:r>
          </w:p>
        </w:tc>
        <w:tc>
          <w:tcPr>
            <w:tcW w:w="46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125,933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34,101</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Maturities.................................................................</w:t>
            </w:r>
          </w:p>
        </w:tc>
        <w:tc>
          <w:tcPr>
            <w:tcW w:w="46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(14,134)</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(3,538)</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2002.................................................</w:t>
            </w:r>
          </w:p>
        </w:tc>
        <w:tc>
          <w:tcPr>
            <w:tcW w:w="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$ 111,799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30,563</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Risk Management</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We enter into foreign currency derivatives to hedge our investments in our foreign subsidiaries which own residual interests backed by residential loans originated in the UK ("UK residuals") and in our shopping center located in Halifax, Nova Scotia ("the Nova Scotia shopping center"). It is our policy to periodically adjust the amount of foreign currency derivative contracts we have entered into in response to changes in our investments in these assets. Currency futures are commitments to either purchase or sell foreign currency at a future date for a specified price.</w:t>
      </w:r>
    </w:p>
    <w:p>
      <w:pPr>
        <w:spacing w:after="0" w:line="178"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We have determined that the local currency of our investment in UK residuals and our investment in the Nova Scotia Shopping Center is the functional currency. Our foreign currency derivative financial instruments qualify for hedge accounting. Accordingly, we include the gains or losses in the net unrealized foreign currency translation in accumulated other comprehensive income in stockholders' equity.</w:t>
      </w:r>
    </w:p>
    <w:p>
      <w:pPr>
        <w:spacing w:after="0" w:line="176" w:lineRule="exact"/>
        <w:rPr>
          <w:sz w:val="20"/>
          <w:szCs w:val="20"/>
          <w:color w:val="auto"/>
        </w:rPr>
      </w:pPr>
    </w:p>
    <w:p>
      <w:pPr>
        <w:ind w:right="4320"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terms and values of our foreign currency financial instruments at December 31, 2002 and 2001: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Strike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Position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Maturity</w:t>
            </w:r>
          </w:p>
        </w:tc>
        <w:tc>
          <w:tcPr>
            <w:tcW w:w="1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Notional Amount</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Rate</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404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Canadian Dollar currency futures.............</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Short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March 2003</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C$</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0.6390</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British Pound currency futures...............</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Short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March 2003</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(pound)</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18,750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1.5599</w:t>
            </w:r>
          </w:p>
        </w:tc>
        <w:tc>
          <w:tcPr>
            <w:tcW w:w="5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(793)</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Canadian Dollar currency futures.............</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Short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March 2002</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C$</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0.6380</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British Pound currency futures...............</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Short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March 2002</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(pound)</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17,250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1.4350</w:t>
            </w:r>
          </w:p>
        </w:tc>
        <w:tc>
          <w:tcPr>
            <w:tcW w:w="5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140" w:firstLine="793"/>
        <w:spacing w:after="0" w:line="237" w:lineRule="auto"/>
        <w:rPr>
          <w:sz w:val="20"/>
          <w:szCs w:val="20"/>
          <w:color w:val="auto"/>
        </w:rPr>
      </w:pPr>
      <w:r>
        <w:rPr>
          <w:rFonts w:ascii="Courier New" w:cs="Courier New" w:eastAsia="Courier New" w:hAnsi="Courier New"/>
          <w:sz w:val="15"/>
          <w:szCs w:val="15"/>
          <w:color w:val="auto"/>
        </w:rPr>
        <w:t>Before the sale of our equity investment in Kensington in 2000, we entered into a British Pound currency forward ("currency forward") with an AAA-rated counterparty to hedge our equity investment in Kensington. In connection with the sale of the equity investment in Kensington, the currency forward was closed in November 2000.</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920"/>
          </w:cols>
          <w:pgMar w:left="240" w:top="622" w:right="739" w:bottom="0" w:gutter="0" w:footer="0" w:header="0"/>
        </w:sectPr>
      </w:pPr>
    </w:p>
    <w:bookmarkStart w:id="135" w:name="page136"/>
    <w:bookmarkEnd w:id="135"/>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72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ind w:left="780"/>
              <w:spacing w:after="0"/>
              <w:rPr>
                <w:sz w:val="20"/>
                <w:szCs w:val="20"/>
                <w:color w:val="auto"/>
              </w:rPr>
            </w:pPr>
            <w:r>
              <w:rPr>
                <w:rFonts w:ascii="Courier New" w:cs="Courier New" w:eastAsia="Courier New" w:hAnsi="Courier New"/>
                <w:sz w:val="15"/>
                <w:szCs w:val="15"/>
                <w:color w:val="auto"/>
              </w:rPr>
              <w:t>The components of income tax expense (benefit) were as follows: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7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gridSpan w:val="4"/>
          </w:tcPr>
          <w:p>
            <w:pPr>
              <w:jc w:val="center"/>
              <w:ind w:left="327"/>
              <w:spacing w:after="0"/>
              <w:rPr>
                <w:sz w:val="20"/>
                <w:szCs w:val="20"/>
                <w:color w:val="auto"/>
              </w:rPr>
            </w:pPr>
            <w:r>
              <w:rPr>
                <w:rFonts w:ascii="Courier New" w:cs="Courier New" w:eastAsia="Courier New" w:hAnsi="Courier New"/>
                <w:sz w:val="15"/>
                <w:szCs w:val="15"/>
                <w:color w:val="auto"/>
                <w:w w:val="98"/>
              </w:rPr>
              <w:t>Years Ended December 31,</w:t>
            </w:r>
          </w:p>
        </w:tc>
        <w:tc>
          <w:tcPr>
            <w:tcW w:w="760" w:type="dxa"/>
            <w:vAlign w:val="bottom"/>
          </w:tcPr>
          <w:p>
            <w:pPr>
              <w:spacing w:after="0"/>
              <w:rPr>
                <w:sz w:val="24"/>
                <w:szCs w:val="24"/>
                <w:color w:val="auto"/>
              </w:rPr>
            </w:pPr>
          </w:p>
        </w:tc>
      </w:tr>
      <w:tr>
        <w:trPr>
          <w:trHeight w:val="170"/>
        </w:trPr>
        <w:tc>
          <w:tcPr>
            <w:tcW w:w="7080" w:type="dxa"/>
            <w:vAlign w:val="bottom"/>
          </w:tcPr>
          <w:p>
            <w:pPr>
              <w:spacing w:after="0"/>
              <w:rPr>
                <w:sz w:val="14"/>
                <w:szCs w:val="14"/>
                <w:color w:val="auto"/>
              </w:rPr>
            </w:pPr>
          </w:p>
        </w:tc>
        <w:tc>
          <w:tcPr>
            <w:tcW w:w="37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4"/>
                <w:szCs w:val="14"/>
                <w:color w:val="auto"/>
              </w:rPr>
            </w:pPr>
          </w:p>
        </w:tc>
        <w:tc>
          <w:tcPr>
            <w:tcW w:w="9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2001</w:t>
            </w:r>
          </w:p>
        </w:tc>
        <w:tc>
          <w:tcPr>
            <w:tcW w:w="4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8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(24,744)</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1,817</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(24,483)</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(30,798)</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(21,339)</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25,714</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(2,085)</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(2,009)</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Provision for valuation allowance on prior year's deferred tax asset........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Provision for valuation allowance on current year's deferred tax asset......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34,049</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23,348</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Income tax expense before change in accounting principle....................</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2,983</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Income tax expense on change of accounting principle........................</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7080" w:type="dxa"/>
            <w:vAlign w:val="bottom"/>
          </w:tcPr>
          <w:p>
            <w:pPr>
              <w:ind w:left="780"/>
              <w:spacing w:after="0"/>
              <w:rPr>
                <w:sz w:val="20"/>
                <w:szCs w:val="20"/>
                <w:color w:val="auto"/>
              </w:rPr>
            </w:pPr>
            <w:r>
              <w:rPr>
                <w:rFonts w:ascii="Courier New" w:cs="Courier New" w:eastAsia="Courier New" w:hAnsi="Courier New"/>
                <w:sz w:val="15"/>
                <w:szCs w:val="15"/>
                <w:color w:val="auto"/>
                <w:w w:val="99"/>
              </w:rPr>
              <w:t>Income tax expense before the effect of change in accounting principle</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w w:val="99"/>
              </w:rPr>
              <w:t>differs from the amounts computed by applying the U.S. Federal corporate income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tax rate of 35% as follows: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7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gridSpan w:val="4"/>
          </w:tcPr>
          <w:p>
            <w:pPr>
              <w:jc w:val="center"/>
              <w:ind w:left="327"/>
              <w:spacing w:after="0"/>
              <w:rPr>
                <w:sz w:val="20"/>
                <w:szCs w:val="20"/>
                <w:color w:val="auto"/>
              </w:rPr>
            </w:pPr>
            <w:r>
              <w:rPr>
                <w:rFonts w:ascii="Courier New" w:cs="Courier New" w:eastAsia="Courier New" w:hAnsi="Courier New"/>
                <w:sz w:val="15"/>
                <w:szCs w:val="15"/>
                <w:color w:val="auto"/>
                <w:w w:val="98"/>
              </w:rPr>
              <w:t>Years Ended December 31,</w:t>
            </w:r>
          </w:p>
        </w:tc>
        <w:tc>
          <w:tcPr>
            <w:tcW w:w="760" w:type="dxa"/>
            <w:vAlign w:val="bottom"/>
          </w:tcPr>
          <w:p>
            <w:pPr>
              <w:spacing w:after="0"/>
              <w:rPr>
                <w:sz w:val="24"/>
                <w:szCs w:val="24"/>
                <w:color w:val="auto"/>
              </w:rPr>
            </w:pPr>
          </w:p>
        </w:tc>
      </w:tr>
      <w:tr>
        <w:trPr>
          <w:trHeight w:val="170"/>
        </w:trPr>
        <w:tc>
          <w:tcPr>
            <w:tcW w:w="7080" w:type="dxa"/>
            <w:vAlign w:val="bottom"/>
          </w:tcPr>
          <w:p>
            <w:pPr>
              <w:spacing w:after="0"/>
              <w:rPr>
                <w:sz w:val="14"/>
                <w:szCs w:val="14"/>
                <w:color w:val="auto"/>
              </w:rPr>
            </w:pPr>
          </w:p>
        </w:tc>
        <w:tc>
          <w:tcPr>
            <w:tcW w:w="37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4"/>
                <w:szCs w:val="14"/>
                <w:color w:val="auto"/>
              </w:rPr>
            </w:pPr>
          </w:p>
        </w:tc>
        <w:tc>
          <w:tcPr>
            <w:tcW w:w="9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2001</w:t>
            </w:r>
          </w:p>
        </w:tc>
        <w:tc>
          <w:tcPr>
            <w:tcW w:w="4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80" w:type="dxa"/>
            <w:vAlign w:val="bottom"/>
          </w:tcPr>
          <w:p>
            <w:pPr>
              <w:spacing w:after="0"/>
              <w:rPr>
                <w:sz w:val="20"/>
                <w:szCs w:val="20"/>
                <w:color w:val="auto"/>
              </w:rPr>
            </w:pPr>
            <w:r>
              <w:rPr>
                <w:rFonts w:ascii="Courier New" w:cs="Courier New" w:eastAsia="Courier New" w:hAnsi="Courier New"/>
                <w:sz w:val="15"/>
                <w:szCs w:val="15"/>
                <w:color w:val="auto"/>
              </w:rPr>
              <w:t>Expected income tax expense (benefit) at statutory rate.....................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(27,933)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(14,532)</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7,993</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Differences between expected and actual expense (benefit)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Excess of cost over net assets acquired, net.............................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1,108</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1,078</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Excess of net assets acquired over purchase price........................</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(6,416)</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(4,939)</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State tax (after Federal tax benefit)....................................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(1,355)</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(1,306)</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Low-income housing tax credits...........................................</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(2,685)</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Deferred tax asset valuation allowance current year tax benefit..........</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34,049</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23,348</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Deferred tax asset valuation allowance prior year........................</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Actual income tax expense (benefit)....................................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18,947</w:t>
            </w:r>
          </w:p>
        </w:tc>
      </w:tr>
      <w:tr>
        <w:trPr>
          <w:trHeight w:val="170"/>
        </w:trPr>
        <w:tc>
          <w:tcPr>
            <w:tcW w:w="7080" w:type="dxa"/>
            <w:vAlign w:val="bottom"/>
          </w:tcPr>
          <w:p>
            <w:pPr>
              <w:spacing w:after="0"/>
              <w:rPr>
                <w:sz w:val="14"/>
                <w:szCs w:val="14"/>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800" w:firstLine="793"/>
        <w:spacing w:after="0" w:line="257" w:lineRule="auto"/>
        <w:rPr>
          <w:sz w:val="20"/>
          <w:szCs w:val="20"/>
          <w:color w:val="auto"/>
        </w:rPr>
      </w:pPr>
      <w:r>
        <w:rPr>
          <w:rFonts w:ascii="Courier New" w:cs="Courier New" w:eastAsia="Courier New" w:hAnsi="Courier New"/>
          <w:sz w:val="14"/>
          <w:szCs w:val="14"/>
          <w:color w:val="auto"/>
        </w:rPr>
        <w:t>For taxable years beginning before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 loans (generally loans secured by an interest in improved real estate). The applicable percentage was 8% for tax periods after 1987. The Bank utilized the percentage of taxable income method for these years.</w:t>
      </w:r>
    </w:p>
    <w:p>
      <w:pPr>
        <w:spacing w:after="0" w:line="166" w:lineRule="exact"/>
        <w:rPr>
          <w:sz w:val="20"/>
          <w:szCs w:val="20"/>
          <w:color w:val="auto"/>
        </w:rPr>
      </w:pPr>
    </w:p>
    <w:p>
      <w:pPr>
        <w:ind w:right="3800" w:firstLine="793"/>
        <w:spacing w:after="0" w:line="238" w:lineRule="auto"/>
        <w:rPr>
          <w:sz w:val="20"/>
          <w:szCs w:val="20"/>
          <w:color w:val="auto"/>
        </w:rPr>
      </w:pPr>
      <w:r>
        <w:rPr>
          <w:rFonts w:ascii="Courier New" w:cs="Courier New" w:eastAsia="Courier New" w:hAnsi="Courier New"/>
          <w:sz w:val="15"/>
          <w:szCs w:val="15"/>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$42,400 of applicable excess reserves. As of December 31, 1996, the Bank had fully provided for the tax related to this recapture.</w:t>
      </w:r>
    </w:p>
    <w:p>
      <w:pPr>
        <w:spacing w:after="0" w:line="182" w:lineRule="exact"/>
        <w:rPr>
          <w:sz w:val="20"/>
          <w:szCs w:val="20"/>
          <w:color w:val="auto"/>
        </w:rPr>
      </w:pPr>
    </w:p>
    <w:p>
      <w:pPr>
        <w:ind w:right="3880" w:firstLine="793"/>
        <w:spacing w:after="0" w:line="257" w:lineRule="auto"/>
        <w:rPr>
          <w:sz w:val="20"/>
          <w:szCs w:val="20"/>
          <w:color w:val="auto"/>
        </w:rPr>
      </w:pPr>
      <w:r>
        <w:rPr>
          <w:rFonts w:ascii="Courier New" w:cs="Courier New" w:eastAsia="Courier New" w:hAnsi="Courier New"/>
          <w:sz w:val="14"/>
          <w:szCs w:val="14"/>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has had no material impact on the Bank's or OCN's operations or financial position.</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840"/>
          </w:cols>
          <w:pgMar w:left="240" w:top="622" w:right="819" w:bottom="57" w:gutter="0" w:footer="0" w:header="0"/>
        </w:sectPr>
      </w:pPr>
    </w:p>
    <w:bookmarkStart w:id="136" w:name="page137"/>
    <w:bookmarkEnd w:id="136"/>
    <w:p>
      <w:pPr>
        <w:jc w:val="center"/>
        <w:ind w:right="32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6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18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260" w:firstLine="793"/>
        <w:spacing w:after="0" w:line="238" w:lineRule="auto"/>
        <w:rPr>
          <w:sz w:val="20"/>
          <w:szCs w:val="20"/>
          <w:color w:val="auto"/>
        </w:rPr>
      </w:pPr>
      <w:r>
        <w:rPr>
          <w:rFonts w:ascii="Courier New" w:cs="Courier New" w:eastAsia="Courier New" w:hAnsi="Courier New"/>
          <w:sz w:val="15"/>
          <w:szCs w:val="15"/>
          <w:color w:val="auto"/>
        </w:rPr>
        <w:t>We have not recognized a deferred tax liability for the tax bad debt base year reserves of the Bank. The base year reserves are generally the balance of reserves as of December 31, 1987, reduced proportionately for reductions in the Bank's loan portfolio between that date and December 31, 1995. At December 31, 2002 and 2001, the amount of those reserves was approximately $5,700. This reserve could be recognized in the future under the conditions described in the preceding paragraph.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The net deferred tax asset was comprised of the following as of:</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7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24"/>
                <w:szCs w:val="24"/>
                <w:color w:val="auto"/>
              </w:rPr>
            </w:pPr>
          </w:p>
        </w:tc>
      </w:tr>
      <w:tr>
        <w:trPr>
          <w:trHeight w:val="170"/>
        </w:trPr>
        <w:tc>
          <w:tcPr>
            <w:tcW w:w="7300" w:type="dxa"/>
            <w:vAlign w:val="bottom"/>
          </w:tcPr>
          <w:p>
            <w:pPr>
              <w:spacing w:after="0"/>
              <w:rPr>
                <w:sz w:val="14"/>
                <w:szCs w:val="14"/>
                <w:color w:val="auto"/>
              </w:rPr>
            </w:pPr>
          </w:p>
        </w:tc>
        <w:tc>
          <w:tcPr>
            <w:tcW w:w="30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88"/>
              </w:rPr>
              <w:t>2002</w:t>
            </w:r>
          </w:p>
        </w:tc>
        <w:tc>
          <w:tcPr>
            <w:tcW w:w="48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3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Tax residuals and deferred income on tax residuals ...........................</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4,506</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3,176</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State taxes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7,944</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5,685</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Accrued profit sharing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2,597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2,271</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Accrued other liabilities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Interest expense related to discount loan portfolio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7,031</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7,031</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Valuation allowance on real estate owned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11,895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6,873</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Gain on loan foreclosure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4,891</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7,009</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Bad debt and allowance for loan losses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14,936</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11,021</w:t>
            </w:r>
          </w:p>
        </w:tc>
      </w:tr>
      <w:tr>
        <w:trPr>
          <w:trHeight w:val="170"/>
        </w:trPr>
        <w:tc>
          <w:tcPr>
            <w:tcW w:w="73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Impairment on securities available for sale and unrealized gains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and losses on trading securities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57,709</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71,866</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Mortgage servicing rights amortization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11,564</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5,971</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Goodwill amortization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Foreign currency exchange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Capital loss carryforward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9,347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4,160</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 operating loss carryforward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26,178</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15,647</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Partnership losses and low-income housing tax credits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51,078</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40,782</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2,821</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215,156</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183,217</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Deferred interest income on discount loan portfolio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6,421</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6,421</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Research and development costs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1,078</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1,294</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w:t>
            </w: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1,870</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7,499</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9,585</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207,657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173,632</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Valuation allowances ............................................................</w:t>
            </w:r>
          </w:p>
        </w:tc>
        <w:tc>
          <w:tcPr>
            <w:tcW w:w="5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(199,270)</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(165,221)</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deferred tax asset ..........................................................</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8,387</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8,411</w:t>
            </w:r>
          </w:p>
        </w:tc>
      </w:tr>
      <w:tr>
        <w:trPr>
          <w:trHeight w:val="170"/>
        </w:trPr>
        <w:tc>
          <w:tcPr>
            <w:tcW w:w="7300" w:type="dxa"/>
            <w:vAlign w:val="bottom"/>
          </w:tcPr>
          <w:p>
            <w:pPr>
              <w:spacing w:after="0"/>
              <w:rPr>
                <w:sz w:val="14"/>
                <w:szCs w:val="14"/>
                <w:color w:val="auto"/>
              </w:rPr>
            </w:pPr>
          </w:p>
        </w:tc>
        <w:tc>
          <w:tcPr>
            <w:tcW w:w="16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60" w:firstLine="793"/>
        <w:spacing w:after="0" w:line="238" w:lineRule="auto"/>
        <w:rPr>
          <w:sz w:val="20"/>
          <w:szCs w:val="20"/>
          <w:color w:val="auto"/>
        </w:rPr>
      </w:pPr>
      <w:r>
        <w:rPr>
          <w:rFonts w:ascii="Courier New" w:cs="Courier New" w:eastAsia="Courier New" w:hAnsi="Courier New"/>
          <w:sz w:val="15"/>
          <w:szCs w:val="15"/>
          <w:color w:val="auto"/>
        </w:rPr>
        <w:t>As of December 31, 2002, we had a deferred tax asset valuation allowance totaling $199,270. This allowance is comprised of $38,873 relating to built-in loss limitations arising from our acquisition of OAC and $126,348 relating to our evaluation of the future realization of prior years deferred tax asset and $34,049 related to the future realization of our current year tax benefit.</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 conduct periodic evaluations to determine whether it is more likely</w:t>
      </w:r>
    </w:p>
    <w:p>
      <w:pPr>
        <w:spacing w:after="0"/>
        <w:rPr>
          <w:sz w:val="20"/>
          <w:szCs w:val="20"/>
          <w:color w:val="auto"/>
        </w:rPr>
      </w:pPr>
      <w:r>
        <w:rPr>
          <w:rFonts w:ascii="Courier New" w:cs="Courier New" w:eastAsia="Courier New" w:hAnsi="Courier New"/>
          <w:sz w:val="15"/>
          <w:szCs w:val="15"/>
          <w:color w:val="auto"/>
        </w:rPr>
        <w:t>than not that the deferred tax asset can be realized in future periods. Among</w:t>
      </w:r>
    </w:p>
    <w:p>
      <w:pPr>
        <w:spacing w:after="0"/>
        <w:rPr>
          <w:sz w:val="20"/>
          <w:szCs w:val="20"/>
          <w:color w:val="auto"/>
        </w:rPr>
      </w:pPr>
      <w:r>
        <w:rPr>
          <w:rFonts w:ascii="Courier New" w:cs="Courier New" w:eastAsia="Courier New" w:hAnsi="Courier New"/>
          <w:sz w:val="15"/>
          <w:szCs w:val="15"/>
          <w:color w:val="auto"/>
        </w:rPr>
        <w:t>the factors considered in this evaluation are estimates of future taxable</w:t>
      </w:r>
    </w:p>
    <w:p>
      <w:pPr>
        <w:spacing w:after="0" w:line="238" w:lineRule="auto"/>
        <w:rPr>
          <w:sz w:val="20"/>
          <w:szCs w:val="20"/>
          <w:color w:val="auto"/>
        </w:rPr>
      </w:pPr>
      <w:r>
        <w:rPr>
          <w:rFonts w:ascii="Courier New" w:cs="Courier New" w:eastAsia="Courier New" w:hAnsi="Courier New"/>
          <w:sz w:val="15"/>
          <w:szCs w:val="15"/>
          <w:color w:val="auto"/>
        </w:rPr>
        <w:t>income, the future reversal of temporary differences, tax character and the</w:t>
      </w:r>
    </w:p>
    <w:p>
      <w:pPr>
        <w:spacing w:after="0"/>
        <w:rPr>
          <w:sz w:val="20"/>
          <w:szCs w:val="20"/>
          <w:color w:val="auto"/>
        </w:rPr>
      </w:pPr>
      <w:r>
        <w:rPr>
          <w:rFonts w:ascii="Courier New" w:cs="Courier New" w:eastAsia="Courier New" w:hAnsi="Courier New"/>
          <w:sz w:val="15"/>
          <w:szCs w:val="15"/>
          <w:color w:val="auto"/>
        </w:rPr>
        <w:t>impact of tax planning strategies that can be implemented if warranted. As a</w:t>
      </w:r>
    </w:p>
    <w:p>
      <w:pPr>
        <w:spacing w:after="0"/>
        <w:rPr>
          <w:sz w:val="20"/>
          <w:szCs w:val="20"/>
          <w:color w:val="auto"/>
        </w:rPr>
      </w:pPr>
      <w:r>
        <w:rPr>
          <w:rFonts w:ascii="Courier New" w:cs="Courier New" w:eastAsia="Courier New" w:hAnsi="Courier New"/>
          <w:sz w:val="15"/>
          <w:szCs w:val="15"/>
          <w:color w:val="auto"/>
        </w:rPr>
        <w:t>result of this evaluation, we included in the tax provision an increase of</w:t>
      </w:r>
    </w:p>
    <w:p>
      <w:pPr>
        <w:spacing w:after="0" w:line="238" w:lineRule="auto"/>
        <w:rPr>
          <w:sz w:val="20"/>
          <w:szCs w:val="20"/>
          <w:color w:val="auto"/>
        </w:rPr>
      </w:pPr>
      <w:r>
        <w:rPr>
          <w:rFonts w:ascii="Courier New" w:cs="Courier New" w:eastAsia="Courier New" w:hAnsi="Courier New"/>
          <w:sz w:val="15"/>
          <w:szCs w:val="15"/>
          <w:color w:val="auto"/>
        </w:rPr>
        <w:t>$34,049, $106,348 and $17,500 to the valuation allowance for 2002, 2001 and 2000</w:t>
      </w:r>
    </w:p>
    <w:p>
      <w:pPr>
        <w:spacing w:after="0"/>
        <w:rPr>
          <w:sz w:val="20"/>
          <w:szCs w:val="20"/>
          <w:color w:val="auto"/>
        </w:rPr>
      </w:pPr>
      <w:r>
        <w:rPr>
          <w:rFonts w:ascii="Courier New" w:cs="Courier New" w:eastAsia="Courier New" w:hAnsi="Courier New"/>
          <w:sz w:val="15"/>
          <w:szCs w:val="15"/>
          <w:color w:val="auto"/>
        </w:rPr>
        <w:t>respectively.</w:t>
      </w:r>
    </w:p>
    <w:p>
      <w:pPr>
        <w:spacing w:after="0" w:line="175" w:lineRule="exact"/>
        <w:rPr>
          <w:sz w:val="20"/>
          <w:szCs w:val="20"/>
          <w:color w:val="auto"/>
        </w:rPr>
      </w:pPr>
    </w:p>
    <w:p>
      <w:pPr>
        <w:ind w:right="3340" w:firstLine="793"/>
        <w:spacing w:after="0" w:line="238" w:lineRule="auto"/>
        <w:rPr>
          <w:sz w:val="20"/>
          <w:szCs w:val="20"/>
          <w:color w:val="auto"/>
        </w:rPr>
      </w:pPr>
      <w:r>
        <w:rPr>
          <w:rFonts w:ascii="Courier New" w:cs="Courier New" w:eastAsia="Courier New" w:hAnsi="Courier New"/>
          <w:sz w:val="15"/>
          <w:szCs w:val="15"/>
          <w:color w:val="auto"/>
        </w:rPr>
        <w:t>Before our acquisition of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Ocwen Financial Corporation and its subsidiaries ("the IRC section 382 limitation"). A net unrealized built-in loss is an amount by which the tax basis of the corporation's assets at the time of the change in ownership exceeds the</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300"/>
          </w:cols>
          <w:pgMar w:left="240" w:top="622" w:right="1359" w:bottom="1074" w:gutter="0" w:footer="0" w:header="0"/>
        </w:sectPr>
      </w:pPr>
    </w:p>
    <w:bookmarkStart w:id="137" w:name="page138"/>
    <w:bookmarkEnd w:id="137"/>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International Hotel Group ("IHG"), a wholly-owned subsidiary of IMI, and IHG's subsidiaries had at December 31, 2002, approximately $1,079 of Separate Return Limitation Year ("SRLY") net operating loss carryforwards. The SRLY net operating loss carryforward can only offset the future taxable income of IHG and its subsidiaries. The $1,079 operating loss carryforward will expire, if unused, in the year 2008. At December 31, 2002 we had net operating loss carryforwards of $74,795, of which $13,746 expire in 2018, $10,771 expire in 2021 and $50,278 expire in 2022. At December 31, 2002, we had tax credit carryforwards of $37,291 related to our low-income housing tax credits, which expire in 2018, 2019, 2020, 2021 and 2022.</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EMPLOYEE BENEFIT AND COMPENSATION PLANS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maintain a defined contribution plan to provide postretirement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the attraction and retention of employees vital to our long-term success. These plans are summarized below.</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maintain a defined contribution 401(k) plan. We match 50% of each employee's contributions, limited to 2% of the employee's compensation. Our contributions to the 401(k) plan for the years ended December 31, 2002, 2001 and 2000, were $593, $613 and $694, respectively.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 connection with our acquisition of Berkeley Federal Savings Bank in June 1993, the Bank assumed the obligations under a noncontributory defined benefit pension plan (the "Plan") covering substantially all employees upon their eligibility under the terms of the Plan. We froze and fully funded the Plan after the plan year ended December 31,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Ocwen Financial Corporation 1998 Annual Incentive Plan (the "AIP") is our primary incentive compensation plan for executives and other key employees. Under the terms of the AIP participants can earn cash and equity based awards as determined by the Compensation Committee. The awards are based on objective performance criteria established by the Committee, including growth in our core businesses, reduction in non-core assets, cost savings through Six Sigma initiatives and utilization of India operations and the achievement of other established performance goals. Non-qualified stock options to purchase our common stock are issued as part of the AIP and are granted pursuant to the Ocwen Financial Corporation 1991 Non-Qualified Stock Option Plan.</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622" w:right="1440" w:bottom="1440" w:gutter="0" w:footer="0" w:header="0"/>
        </w:sectPr>
      </w:pPr>
    </w:p>
    <w:bookmarkStart w:id="138" w:name="page139"/>
    <w:bookmarkEnd w:id="138"/>
    <w:p>
      <w:pPr>
        <w:jc w:val="center"/>
        <w:ind w:right="395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5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7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The following table provides a summary of our stock option activity for the years ended December 31, 2002, 2001 and 2000, respectively, and stock options exercisable at the end of each of those year:</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14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 of</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Options</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9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   -----------   -----------   -----------   -----------</w:t>
            </w: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4,655,269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9.01</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3,424,594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$ 13.11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2,013,201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14.09</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634,228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1,584,093</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7.67</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1,617,461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(128,156)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4.59</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Forfeited..............................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(542,856)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9.90</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(225,262)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(206,068)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14.74</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end of year.............</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4,713,704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4,655,269</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3,424,594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end of year.............</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2,738,463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2,483,697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11.29</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1,885,048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13.11</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4" w:lineRule="exact"/>
        <w:rPr>
          <w:sz w:val="20"/>
          <w:szCs w:val="20"/>
          <w:color w:val="auto"/>
        </w:rPr>
      </w:pPr>
    </w:p>
    <w:p>
      <w:pPr>
        <w:ind w:left="790" w:right="4040" w:hanging="790"/>
        <w:spacing w:after="0" w:line="235" w:lineRule="auto"/>
        <w:tabs>
          <w:tab w:leader="none" w:pos="79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was $2.67 in 2002, $8.36 in 2001 and $5.84 in 2000.</w:t>
      </w:r>
    </w:p>
    <w:p>
      <w:pPr>
        <w:spacing w:after="0" w:line="176" w:lineRule="exact"/>
        <w:rPr>
          <w:sz w:val="20"/>
          <w:szCs w:val="20"/>
          <w:color w:val="auto"/>
        </w:rPr>
      </w:pPr>
    </w:p>
    <w:p>
      <w:pPr>
        <w:ind w:left="10" w:right="4400" w:firstLine="793"/>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our stock options outstanding at December 31:</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382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Options Outstanding</w:t>
            </w:r>
          </w:p>
        </w:tc>
        <w:tc>
          <w:tcPr>
            <w:tcW w:w="2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476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12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4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Remaining</w:t>
            </w:r>
          </w:p>
        </w:tc>
        <w:tc>
          <w:tcPr>
            <w:tcW w:w="12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4760" w:type="dxa"/>
            <w:vAlign w:val="bottom"/>
          </w:tcPr>
          <w:p>
            <w:pPr>
              <w:spacing w:after="0"/>
              <w:rPr>
                <w:sz w:val="14"/>
                <w:szCs w:val="1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Contractual</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4760" w:type="dxa"/>
            <w:vAlign w:val="bottom"/>
          </w:tcPr>
          <w:p>
            <w:pPr>
              <w:spacing w:after="0"/>
              <w:rPr>
                <w:sz w:val="14"/>
                <w:szCs w:val="14"/>
                <w:color w:val="auto"/>
              </w:rPr>
            </w:pP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Life</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476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2002...............................................</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634,228</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1.87</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126,846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1.87</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2001...............................................</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1,446,257</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424,272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2000...............................................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1,142,683</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4.09</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696,809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1999...............................................</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190,594</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190,594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1998...............................................</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95,585</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12.31</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95,585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12.31</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1997...............................................</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586,935</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20.35</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586,935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20.35</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1996...............................................</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528,422</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528,422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1995...............................................</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89,000</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w:t>
            </w:r>
          </w:p>
        </w:tc>
      </w:tr>
      <w:tr>
        <w:trPr>
          <w:trHeight w:val="170"/>
        </w:trPr>
        <w:tc>
          <w:tcPr>
            <w:tcW w:w="476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4,713,704</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w:t>
            </w:r>
          </w:p>
        </w:tc>
        <w:tc>
          <w:tcPr>
            <w:tcW w:w="12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2,738,463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w:t>
            </w:r>
          </w:p>
        </w:tc>
      </w:tr>
      <w:tr>
        <w:trPr>
          <w:trHeight w:val="170"/>
        </w:trPr>
        <w:tc>
          <w:tcPr>
            <w:tcW w:w="476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344" w:lineRule="exact"/>
        <w:rPr>
          <w:sz w:val="20"/>
          <w:szCs w:val="20"/>
          <w:color w:val="auto"/>
        </w:rPr>
      </w:pPr>
    </w:p>
    <w:p>
      <w:pPr>
        <w:ind w:left="10" w:right="4480" w:firstLine="793"/>
        <w:spacing w:after="0" w:line="265" w:lineRule="auto"/>
        <w:rPr>
          <w:sz w:val="20"/>
          <w:szCs w:val="20"/>
          <w:color w:val="auto"/>
        </w:rPr>
      </w:pPr>
      <w:r>
        <w:rPr>
          <w:rFonts w:ascii="Courier New" w:cs="Courier New" w:eastAsia="Courier New" w:hAnsi="Courier New"/>
          <w:sz w:val="14"/>
          <w:szCs w:val="14"/>
          <w:color w:val="auto"/>
        </w:rPr>
        <w:t>After the award of 634,228 options for 2002, 6,725,536 authorized shares remain and are available for future awards of stock options.</w:t>
      </w:r>
    </w:p>
    <w:p>
      <w:pPr>
        <w:spacing w:after="0" w:line="158" w:lineRule="exact"/>
        <w:rPr>
          <w:sz w:val="20"/>
          <w:szCs w:val="20"/>
          <w:color w:val="auto"/>
        </w:rPr>
      </w:pPr>
    </w:p>
    <w:p>
      <w:pPr>
        <w:ind w:left="10" w:right="4040" w:firstLine="793"/>
        <w:spacing w:after="0" w:line="257" w:lineRule="auto"/>
        <w:rPr>
          <w:sz w:val="20"/>
          <w:szCs w:val="20"/>
          <w:color w:val="auto"/>
        </w:rPr>
      </w:pPr>
      <w:r>
        <w:rPr>
          <w:rFonts w:ascii="Courier New" w:cs="Courier New" w:eastAsia="Courier New" w:hAnsi="Courier New"/>
          <w:sz w:val="14"/>
          <w:szCs w:val="14"/>
          <w:color w:val="auto"/>
        </w:rPr>
        <w:t>Stock options we awarded under the Former Plan have a one-year vesting period. Stock options we awarded under the AIP for 1998 and 1999 vest ratably over a three-year period. Stock options we awarded under the AIP for 2000 and thereafter vest ratably over a five-year period including the award year. The term of all options granted is ten years from the grant date. We treat the difference, if any, between the fair market value of our stock at the date of grant and the exercise price as compensation expense. We record compensation expense ratably over the vesting period of the grant. Included in compensation expense for the years ended December 31, 2002, 2001 and 2000 was $923, $1,038 and $572, respectively, related to options granted below fair market value.</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w:t>
      </w:r>
    </w:p>
    <w:p>
      <w:pPr>
        <w:spacing w:after="0" w:line="175" w:lineRule="exact"/>
        <w:rPr>
          <w:sz w:val="20"/>
          <w:szCs w:val="20"/>
          <w:color w:val="auto"/>
        </w:rPr>
      </w:pPr>
    </w:p>
    <w:p>
      <w:pPr>
        <w:ind w:left="10" w:right="4040" w:firstLine="793"/>
        <w:spacing w:after="0" w:line="258" w:lineRule="auto"/>
        <w:rPr>
          <w:sz w:val="20"/>
          <w:szCs w:val="20"/>
          <w:color w:val="auto"/>
        </w:rPr>
      </w:pPr>
      <w:r>
        <w:rPr>
          <w:rFonts w:ascii="Courier New" w:cs="Courier New" w:eastAsia="Courier New" w:hAnsi="Courier New"/>
          <w:sz w:val="14"/>
          <w:szCs w:val="14"/>
          <w:color w:val="auto"/>
        </w:rPr>
        <w:t>In May 1998, our shareholders approved the Ocwen Financial Corporation Long-Term Incentive Plan (the "LIP"). Participation in the LIP was limited to officers and other key employees and designated subsidiaries that were selected by the LIP Administrator. We suspended the LIP in 2000 and reversed the related accrual of $6,012 for 1999 and 1998. We recorded compensation expense of $3,645 and $2,367 in 1999 and 1998, respectively, under the LIP.</w:t>
      </w:r>
    </w:p>
    <w:p>
      <w:pPr>
        <w:spacing w:after="0" w:line="15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1010"/>
          </w:cols>
          <w:pgMar w:left="230" w:top="622" w:right="659" w:bottom="1440" w:gutter="0" w:footer="0" w:header="0"/>
        </w:sectPr>
      </w:pPr>
    </w:p>
    <w:bookmarkStart w:id="139" w:name="page140"/>
    <w:bookmarkEnd w:id="139"/>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STOCKHOLDERS' EQUITY</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On May 9, 2000, we announced that our Board of Directors authorized the repurchase of up to six million of our issued and outstanding shares of common stock. As of December 31, 2002, we had not repurchased any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REGULATORY REQUIREMENTS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Financial Institutions Reform, Recovery and Enforcement Act of 1989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2002, the minimum regulatory capital requirements were:</w:t>
      </w:r>
    </w:p>
    <w:p>
      <w:pPr>
        <w:spacing w:after="0" w:line="167" w:lineRule="exact"/>
        <w:rPr>
          <w:sz w:val="20"/>
          <w:szCs w:val="20"/>
          <w:color w:val="auto"/>
        </w:rPr>
      </w:pPr>
    </w:p>
    <w:p>
      <w:pPr>
        <w:ind w:left="780" w:right="3179" w:hanging="437"/>
        <w:spacing w:after="0" w:line="238" w:lineRule="auto"/>
        <w:tabs>
          <w:tab w:leader="none" w:pos="7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and core capital of 1.50% and 3.00% of total adjusted assets, respectively, consisting principally of stockholders' equity, but excluding most intangible assets, such as goodwill and any net unrealized gains or losses on debt securities available for sale. Effective April 1, 1999, the OTS minimum core capital ratio provides that only those institutions with a Uniform Financial Institution Rating System rating of "1" are subject to a 3.00% minimum core capital ratio. All other institutions are subject to a 4.00% minimum core capital ratio.</w:t>
      </w:r>
    </w:p>
    <w:p>
      <w:pPr>
        <w:spacing w:after="0" w:line="178" w:lineRule="exact"/>
        <w:rPr>
          <w:rFonts w:ascii="Courier New" w:cs="Courier New" w:eastAsia="Courier New" w:hAnsi="Courier New"/>
          <w:sz w:val="15"/>
          <w:szCs w:val="15"/>
          <w:color w:val="auto"/>
        </w:rPr>
      </w:pPr>
    </w:p>
    <w:p>
      <w:pPr>
        <w:jc w:val="both"/>
        <w:ind w:left="780" w:right="3179" w:hanging="437"/>
        <w:spacing w:after="0" w:line="237" w:lineRule="auto"/>
        <w:tabs>
          <w:tab w:leader="none" w:pos="7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Risk-based capital consisting of core capital plus certain subordinated debt and other capital instruments and, subject to certain limitations, general valuation allowances on loans receivable, equal to 8.00% of the value of risk-weighted assets.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December 31, 2002 and 2001, the Bank was "well capitalized" under the prompt corrective action regulations adopted by the OTS pursuant to the Federal Deposit Insurance Corporation Improvement Act of 1991. To be categorized as "well capitalized," the Bank must maintain minimum core capital, Tier 1 risk-based capital and risk-based capital ratios as set forth in the following table. The Bank's capital amounts and classification are subject to review by federal regulators regarding components, risk-weightings and other factors. There are no conditions or events since December 31, 2002 that we believe have changed the Bank's category.</w:t>
      </w:r>
    </w:p>
    <w:p>
      <w:pPr>
        <w:spacing w:after="0" w:line="179"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Following an examination by the OTS in late 1996 and early 1997, the Bank committed to the OTS to maintain a core capital (leverage) ratio and a total risk-based capital ratio of at least 9.00% and 13.00%, respectively. The Bank continues to be in compliance with this commitment as well as with the regulatory capital requirements of general applicability (as indicated in the table below).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have an active ongoing dialogue with the OTS regarding our various businesses and business plans, and we continue to be subject to a number of restrictions with respect to our future operations. Following the completion of the annual safety and soundness examination of the OTS in 2000, we submitted a written business plan and budget to the OTS regarding our plans for the business, primarily that of the Bank, over the next several years. The primary focus of that plan was the reduction in our non-core business activities and the reduction of our deposit liabilities and long-term debt obligations as we focused on the growth of our fee-based business activities.</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initial plan was approved by the OTS in February 2001. Since that time, we submitted a revised plan to the OTS in April of 2002. Based on discussions with the OTS regarding the revised plan, we have agreed to limit our investment in mortgage servicing rights to approximately 60% of core capital (before any deduction thereto for servicing rights) at the Bank and 50% of stockholders' equity on a consolidated basis. We regularly review actual results as compared to our plan with the OTS on a less formal basis. At this time, we remain substantially in compliance with the plan as modified over time.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622" w:right="1440" w:bottom="1440" w:gutter="0" w:footer="0" w:header="0"/>
        </w:sectPr>
      </w:pPr>
    </w:p>
    <w:bookmarkStart w:id="140" w:name="page141"/>
    <w:bookmarkEnd w:id="140"/>
    <w:p>
      <w:pPr>
        <w:jc w:val="center"/>
        <w:ind w:right="42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24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6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416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table summarizes the Bank's actual and required</w:t>
      </w: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regulatory capital at December 31, 2002 and 2001:</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8"/>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To Be Well</w:t>
            </w: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Capitalized For</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Committed</w:t>
            </w: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9"/>
              </w:rPr>
              <w:t>Minimum For Capital</w:t>
            </w: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Prompt Corrective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Capital</w:t>
            </w:r>
          </w:p>
        </w:tc>
      </w:tr>
      <w:tr>
        <w:trPr>
          <w:trHeight w:val="170"/>
        </w:trPr>
        <w:tc>
          <w:tcPr>
            <w:tcW w:w="4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Actual</w:t>
            </w:r>
          </w:p>
        </w:tc>
        <w:tc>
          <w:tcPr>
            <w:tcW w:w="840" w:type="dxa"/>
            <w:vAlign w:val="bottom"/>
          </w:tcPr>
          <w:p>
            <w:pPr>
              <w:spacing w:after="0"/>
              <w:rPr>
                <w:sz w:val="14"/>
                <w:szCs w:val="14"/>
                <w:color w:val="auto"/>
              </w:rPr>
            </w:pPr>
          </w:p>
        </w:tc>
        <w:tc>
          <w:tcPr>
            <w:tcW w:w="18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Adequacy Purposes</w:t>
            </w: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Action Provisions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Requirements</w:t>
            </w:r>
          </w:p>
        </w:tc>
      </w:tr>
      <w:tr>
        <w:trPr>
          <w:trHeight w:val="170"/>
        </w:trPr>
        <w:tc>
          <w:tcPr>
            <w:tcW w:w="4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40" w:type="dxa"/>
            <w:vAlign w:val="bottom"/>
          </w:tcPr>
          <w:p>
            <w:pPr>
              <w:spacing w:after="0"/>
              <w:rPr>
                <w:sz w:val="14"/>
                <w:szCs w:val="14"/>
                <w:color w:val="auto"/>
              </w:rPr>
            </w:pPr>
          </w:p>
        </w:tc>
        <w:tc>
          <w:tcPr>
            <w:tcW w:w="1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9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Ratio</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Amount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Ratio</w:t>
            </w:r>
          </w:p>
        </w:tc>
        <w:tc>
          <w:tcPr>
            <w:tcW w:w="28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Amount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Ratio</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Amount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Ratio</w:t>
            </w:r>
          </w:p>
        </w:tc>
      </w:tr>
      <w:tr>
        <w:trPr>
          <w:trHeight w:val="170"/>
        </w:trPr>
        <w:tc>
          <w:tcPr>
            <w:tcW w:w="43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Stockholders' equity and ratio to total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16.62%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161,242</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Non-includable subsidiary.......................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Disallowed deferred tax assets..................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Disallowed servicing assets.....................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(10,662)</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1 (core) capital and ratio to adjusted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15.51%</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148,652</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4.00%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38,325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47,907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Non-mortgage servicing rights...................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(2,703)</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Tangible capital and ratio to tangible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15.28%</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145,949</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1.50%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1 capital, and ratio to risk-weighted</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18.76%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148,652</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47,555</w:t>
            </w: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10,019</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Qualifying subordinated debentures..............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13,400</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2 capital..................................</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23,419</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risk-based capital and ratio to</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risk-weighted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21.71%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172,071</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8.00%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63,407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79,259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regulatory assets.........................</w:t>
            </w:r>
          </w:p>
        </w:tc>
        <w:tc>
          <w:tcPr>
            <w:tcW w:w="9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969,945</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Adjusted total assets...........................</w:t>
            </w:r>
          </w:p>
        </w:tc>
        <w:tc>
          <w:tcPr>
            <w:tcW w:w="9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958,133</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Tangible assets.................................</w:t>
            </w:r>
          </w:p>
        </w:tc>
        <w:tc>
          <w:tcPr>
            <w:tcW w:w="9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955,430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Risk-weighted assets............................</w:t>
            </w:r>
          </w:p>
        </w:tc>
        <w:tc>
          <w:tcPr>
            <w:tcW w:w="9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792,589</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Stockholders' equity and ratio to total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14.62%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204,640</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Non-includable subsidiary.......................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(1,233)</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Disallowed deferred tax assets..................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(4,515)</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Disallowed servicing assets.....................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(10,077)</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1 (core) capital and ratio to adjusted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188,815</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4.00%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55,359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69,199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Non-mortgage servicing assets...................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(3,447)</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Tangible capital and ratio to tangible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13.43%</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185,368</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1.50%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20,708</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1 capital and ratio to risk-weighted</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18.41%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188,815</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61,546</w:t>
            </w: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10,290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Qualifying subordinated debentures..............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40,200</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Tier 2 capital..................................</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50,490</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risk-based capital and ratio to</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risk-weighted assets.........................</w:t>
            </w:r>
          </w:p>
        </w:tc>
        <w:tc>
          <w:tcPr>
            <w:tcW w:w="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23.33%</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239,305</w:t>
            </w:r>
          </w:p>
        </w:tc>
        <w:tc>
          <w:tcPr>
            <w:tcW w:w="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8.00%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82,062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102,577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regulatory assets.........................</w:t>
            </w:r>
          </w:p>
        </w:tc>
        <w:tc>
          <w:tcPr>
            <w:tcW w:w="920" w:type="dxa"/>
            <w:vAlign w:val="bottom"/>
          </w:tcPr>
          <w:p>
            <w:pPr>
              <w:spacing w:after="0"/>
              <w:rPr>
                <w:sz w:val="24"/>
                <w:szCs w:val="2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$1,399,676</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Adjusted total assets...........................</w:t>
            </w:r>
          </w:p>
        </w:tc>
        <w:tc>
          <w:tcPr>
            <w:tcW w:w="920" w:type="dxa"/>
            <w:vAlign w:val="bottom"/>
          </w:tcPr>
          <w:p>
            <w:pPr>
              <w:spacing w:after="0"/>
              <w:rPr>
                <w:sz w:val="24"/>
                <w:szCs w:val="2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$1,383,980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Tangible assets.................................</w:t>
            </w:r>
          </w:p>
        </w:tc>
        <w:tc>
          <w:tcPr>
            <w:tcW w:w="920" w:type="dxa"/>
            <w:vAlign w:val="bottom"/>
          </w:tcPr>
          <w:p>
            <w:pPr>
              <w:spacing w:after="0"/>
              <w:rPr>
                <w:sz w:val="24"/>
                <w:szCs w:val="2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$1,380,533</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Risk-weighted assets............................</w:t>
            </w:r>
          </w:p>
        </w:tc>
        <w:tc>
          <w:tcPr>
            <w:tcW w:w="920" w:type="dxa"/>
            <w:vAlign w:val="bottom"/>
          </w:tcPr>
          <w:p>
            <w:pPr>
              <w:spacing w:after="0"/>
              <w:rPr>
                <w:sz w:val="24"/>
                <w:szCs w:val="2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$1,025,775</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38" w:orient="portrait"/>
          <w:cols w:equalWidth="0" w:num="1">
            <w:col w:w="11280"/>
          </w:cols>
          <w:pgMar w:left="240" w:top="622" w:right="379" w:bottom="0" w:gutter="0" w:footer="0" w:header="0"/>
        </w:sectPr>
      </w:pPr>
    </w:p>
    <w:bookmarkStart w:id="141" w:name="page142"/>
    <w:bookmarkEnd w:id="141"/>
    <w:p>
      <w:pPr>
        <w:ind w:right="3179" w:firstLine="793"/>
        <w:spacing w:after="0" w:line="238" w:lineRule="auto"/>
        <w:rPr>
          <w:sz w:val="20"/>
          <w:szCs w:val="20"/>
          <w:color w:val="auto"/>
        </w:rPr>
      </w:pPr>
      <w:r>
        <w:rPr>
          <w:rFonts w:ascii="Courier New" w:cs="Courier New" w:eastAsia="Courier New" w:hAnsi="Courier New"/>
          <w:sz w:val="15"/>
          <w:szCs w:val="15"/>
          <w:color w:val="auto"/>
        </w:rPr>
        <w:t>The OTS amended its capital distribution regulation effective April 1, 1999. Under the revised regulation, the Bank is required to file a notice with the OTS at least 30 days before making a capital distribution unless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distribution or (d) the proposed distribution would violate any applicable statute, regulation or agreement between the Bank and the OTS, or a condition imposed upon the Bank by an OTS-approved application or notice. If one of these four criteria is present, the Bank is required to file an application with the OTS at least 30 days before making the proposed</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311" w:right="1440" w:bottom="1440" w:gutter="0" w:footer="0" w:header="0"/>
        </w:sectPr>
      </w:pPr>
    </w:p>
    <w:bookmarkStart w:id="142" w:name="page143"/>
    <w:bookmarkEnd w:id="142"/>
    <w:p>
      <w:pPr>
        <w:jc w:val="center"/>
        <w:ind w:right="387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7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79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5" w:lineRule="exact"/>
        <w:rPr>
          <w:sz w:val="20"/>
          <w:szCs w:val="20"/>
          <w:color w:val="auto"/>
        </w:rPr>
      </w:pPr>
    </w:p>
    <w:p>
      <w:pPr>
        <w:ind w:left="10" w:right="3960"/>
        <w:spacing w:after="0" w:line="238" w:lineRule="auto"/>
        <w:rPr>
          <w:sz w:val="20"/>
          <w:szCs w:val="20"/>
          <w:color w:val="auto"/>
        </w:rPr>
      </w:pPr>
      <w:r>
        <w:rPr>
          <w:rFonts w:ascii="Courier New" w:cs="Courier New" w:eastAsia="Courier New" w:hAnsi="Courier New"/>
          <w:sz w:val="15"/>
          <w:szCs w:val="15"/>
          <w:color w:val="auto"/>
        </w:rPr>
        <w:t>capital distribution. The OTS may deny the Bank's application or disapprove its notice if the OTS determines that (a) the Bank will be "under capitalized," "significantly under 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 The revised rule also amended the definition of "capital distribution" to include any payment to repurchase, redeem, retire or otherwise acquire debt instruments included in total risk-based capital.</w:t>
      </w:r>
    </w:p>
    <w:p>
      <w:pPr>
        <w:spacing w:after="0" w:line="181" w:lineRule="exact"/>
        <w:rPr>
          <w:sz w:val="20"/>
          <w:szCs w:val="20"/>
          <w:color w:val="auto"/>
        </w:rPr>
      </w:pPr>
    </w:p>
    <w:p>
      <w:pPr>
        <w:ind w:left="10" w:right="4060" w:firstLine="793"/>
        <w:spacing w:after="0" w:line="258" w:lineRule="auto"/>
        <w:rPr>
          <w:sz w:val="20"/>
          <w:szCs w:val="20"/>
          <w:color w:val="auto"/>
        </w:rPr>
      </w:pPr>
      <w:r>
        <w:rPr>
          <w:rFonts w:ascii="Courier New" w:cs="Courier New" w:eastAsia="Courier New" w:hAnsi="Courier New"/>
          <w:sz w:val="14"/>
          <w:szCs w:val="14"/>
          <w:color w:val="auto"/>
        </w:rPr>
        <w:t>In addition to these OTS regulations governing capital distributions, the indenture governing the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w:t>
      </w:r>
    </w:p>
    <w:p>
      <w:pPr>
        <w:spacing w:after="0" w:line="32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24 NET INTEREST INCOME (EXPENSE) BEFORE PROVISION FOR LOAN LOSSES</w:t>
      </w:r>
    </w:p>
    <w:p>
      <w:pPr>
        <w:spacing w:after="0" w:line="175" w:lineRule="exact"/>
        <w:rPr>
          <w:sz w:val="20"/>
          <w:szCs w:val="20"/>
          <w:color w:val="auto"/>
        </w:rPr>
      </w:pPr>
    </w:p>
    <w:p>
      <w:pPr>
        <w:ind w:left="10" w:right="3960" w:firstLine="793"/>
        <w:spacing w:after="0" w:line="237" w:lineRule="auto"/>
        <w:rPr>
          <w:sz w:val="20"/>
          <w:szCs w:val="20"/>
          <w:color w:val="auto"/>
        </w:rPr>
      </w:pPr>
      <w:r>
        <w:rPr>
          <w:rFonts w:ascii="Courier New" w:cs="Courier New" w:eastAsia="Courier New" w:hAnsi="Courier New"/>
          <w:sz w:val="15"/>
          <w:szCs w:val="15"/>
          <w:color w:val="auto"/>
        </w:rPr>
        <w:t>The following table presents the components of net interest income (expense) for each category of our interest-earning assets and interest-bearing liabilities 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400" w:type="dxa"/>
            <w:vAlign w:val="bottom"/>
          </w:tcPr>
          <w:p>
            <w:pPr>
              <w:spacing w:after="0"/>
              <w:rPr>
                <w:sz w:val="14"/>
                <w:szCs w:val="14"/>
                <w:color w:val="auto"/>
              </w:rPr>
            </w:pPr>
          </w:p>
        </w:tc>
        <w:tc>
          <w:tcPr>
            <w:tcW w:w="11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Interest earning cash and other....................................</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743</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1,501</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Federal funds sold and repurchase agreements.......................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2,629</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7,328</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8,700</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Trading securities.................................................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16,580</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18,865</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8,200</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Securities available for sale......................................</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42,507</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Loans..............................................................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11,279</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46,090</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112,886</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Match funded loans and securities..................................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6,463</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10,345</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11,022</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37,235</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83,371</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184,816</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Deposits...........................................................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27,455</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59,967</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98,224</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529</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10,729</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Bonds - match funded agreements....................................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6,573</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7,315</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11,484</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3,787</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5,511</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13,881</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Notes, debentures and other interest-bearing obligations...........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17,711</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20,007</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34,772</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55,762</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93,329</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169,090</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(18,527)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(9,958)</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15,726</w:t>
            </w:r>
          </w:p>
        </w:tc>
      </w:tr>
      <w:tr>
        <w:trPr>
          <w:trHeight w:val="170"/>
        </w:trPr>
        <w:tc>
          <w:tcPr>
            <w:tcW w:w="6420" w:type="dxa"/>
            <w:vAlign w:val="bottom"/>
          </w:tcPr>
          <w:p>
            <w:pPr>
              <w:spacing w:after="0"/>
              <w:rPr>
                <w:sz w:val="14"/>
                <w:szCs w:val="14"/>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25 OTHER INCOME</w:t>
      </w:r>
    </w:p>
    <w:p>
      <w:pPr>
        <w:spacing w:after="0" w:line="175" w:lineRule="exact"/>
        <w:rPr>
          <w:sz w:val="20"/>
          <w:szCs w:val="20"/>
          <w:color w:val="auto"/>
        </w:rPr>
      </w:pPr>
    </w:p>
    <w:p>
      <w:pPr>
        <w:ind w:left="10" w:right="4060" w:firstLine="793"/>
        <w:spacing w:after="0" w:line="235" w:lineRule="auto"/>
        <w:rPr>
          <w:sz w:val="20"/>
          <w:szCs w:val="20"/>
          <w:color w:val="auto"/>
        </w:rPr>
      </w:pPr>
      <w:r>
        <w:rPr>
          <w:rFonts w:ascii="Courier New" w:cs="Courier New" w:eastAsia="Courier New" w:hAnsi="Courier New"/>
          <w:sz w:val="15"/>
          <w:szCs w:val="15"/>
          <w:color w:val="auto"/>
        </w:rPr>
        <w:t>The following table presents the principal components of other income we earned during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Collections of credit card receivables (1)............................</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4,191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Software revenue (OTX)................................................</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3,146</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2,181</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Brokerage commissions.................................................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2,112</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1,386</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Consulting fees.......................................................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1,596</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2,041</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2,070</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3,151</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3,770</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13,115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960" w:hanging="790"/>
        <w:spacing w:after="0" w:line="238" w:lineRule="auto"/>
        <w:tabs>
          <w:tab w:leader="none" w:pos="79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collections on charged-off unsecured credit card receivables that we have purchased from third parties on the cost recovery method through the end of 2001, at which time we reduced the net book value of these receivables to zero as a result of collections and reserves. In 2002, we recorded all collections on the receivables as other income.</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930"/>
          </w:cols>
          <w:pgMar w:left="230" w:top="622" w:right="739" w:bottom="735" w:gutter="0" w:footer="0" w:header="0"/>
        </w:sectPr>
      </w:pPr>
    </w:p>
    <w:bookmarkStart w:id="143" w:name="page144"/>
    <w:bookmarkEnd w:id="143"/>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72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26 OTHER OPERATING EXPENSES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table presents the principal components of other</w:t>
      </w: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operating expenses we incurred during the years ended December 31:</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24"/>
                <w:szCs w:val="2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Travel, lodging, meals and entertainment..............................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2,585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2,864</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Amortization of deferred costs........................................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1,436</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1,878</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Deposit related expenses..............................................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1,198</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897</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Conferences and seminars..............................................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475</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534</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Investment and treasury services......................................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340</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241</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757</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1,820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Acquisition expenses..................................................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1,912</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3,323</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9,619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8,935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12,107</w:t>
            </w:r>
          </w:p>
        </w:tc>
      </w:tr>
      <w:tr>
        <w:trPr>
          <w:trHeight w:val="170"/>
        </w:trPr>
        <w:tc>
          <w:tcPr>
            <w:tcW w:w="646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27 BUSINESS SEGMENT REPORTING</w:t>
      </w:r>
    </w:p>
    <w:p>
      <w:pPr>
        <w:spacing w:after="0" w:line="175" w:lineRule="exact"/>
        <w:rPr>
          <w:sz w:val="20"/>
          <w:szCs w:val="20"/>
          <w:color w:val="auto"/>
        </w:rPr>
      </w:pPr>
    </w:p>
    <w:p>
      <w:pPr>
        <w:ind w:right="3880" w:firstLine="793"/>
        <w:spacing w:after="0" w:line="238" w:lineRule="auto"/>
        <w:rPr>
          <w:sz w:val="20"/>
          <w:szCs w:val="20"/>
          <w:color w:val="auto"/>
        </w:rPr>
      </w:pPr>
      <w:r>
        <w:rPr>
          <w:rFonts w:ascii="Courier New" w:cs="Courier New" w:eastAsia="Courier New" w:hAnsi="Courier New"/>
          <w:sz w:val="15"/>
          <w:szCs w:val="15"/>
          <w:color w:val="auto"/>
        </w:rPr>
        <w:t>Public enterprises like ours are required to report financial and descriptive information about their reportable operating segments. An operating segment is defined as a component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840"/>
          </w:cols>
          <w:pgMar w:left="240" w:top="622" w:right="819" w:bottom="1440" w:gutter="0" w:footer="0" w:header="0"/>
        </w:sectPr>
      </w:pPr>
    </w:p>
    <w:bookmarkStart w:id="144" w:name="page145"/>
    <w:bookmarkEnd w:id="144"/>
    <w:p>
      <w:pPr>
        <w:jc w:val="center"/>
        <w:ind w:right="413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3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405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Provision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Pre-Tax</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Income</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Loan</w:t>
            </w:r>
          </w:p>
        </w:tc>
        <w:tc>
          <w:tcPr>
            <w:tcW w:w="23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Non-Interest Non-Interest</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Losses</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Income</w:t>
            </w:r>
          </w:p>
        </w:tc>
        <w:tc>
          <w:tcPr>
            <w:tcW w:w="2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Expense</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(Loss)</w:t>
            </w: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Assets</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(18,304)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579,114</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6,522</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30,667</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(24,144)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6,172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14,080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11,483</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2,597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10,652</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6,925</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(18,303)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151,278</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118,821</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14,433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586,114</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6,068</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(2,299)</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(2,354)</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5,250</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44,833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Finance..............................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(7,627)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12,814</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(19,869)</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11,636</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(51,947)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196,269</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3,392</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1,308</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24,989</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(31,521)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62,093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Finance................................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11,787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7,395</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4,646</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14,536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41,949</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13,907</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46,521</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(68,169)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345,144</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(6,003)</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(3,283)</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12,747</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290,984</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(18,527)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134,475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(82,057)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$1,222,242</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2001</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119,503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492,561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2,149</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38,542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(36,392)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13,231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11,913</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10,968</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1,176</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3,058</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1,176</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136,623</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124,935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507,143</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15,125</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6,060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(4,733)</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8,333</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117,051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Finance..............................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7,223</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3,369</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13,941</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(21,014)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364,013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1,207</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(29,917)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132,724</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Finance................................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13,742</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3,244</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82,325</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6,645</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14,490</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11,529</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45,463</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696,113</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25,267</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12,048</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507,894</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173,419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182,446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(41,782)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$1,711,150</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(5,756)</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84,158</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59,215</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19,188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256,675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2,424</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35,655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20,462</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 (1).......................</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12,738</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12,824</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6,867</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(14,398)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8,417</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6,867</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100,800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116,602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287,179</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Non-core businesses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24,549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7,725</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11,771</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21,140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397,446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Finance..............................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(8,203)</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9,195</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54,080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19,503</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635,601</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(9,912)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14,702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(23,664)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171,070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Financing..............................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(22,267)</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(24,519)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134,477</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8,310</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40,240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48,048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(9,865)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1,338,594</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16,051</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60,940</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5,359</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623,647</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15,726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201,980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21,139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$2,249,420</w:t>
            </w:r>
          </w:p>
        </w:tc>
      </w:tr>
      <w:tr>
        <w:trPr>
          <w:trHeight w:val="170"/>
        </w:trPr>
        <w:tc>
          <w:tcPr>
            <w:tcW w:w="43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4220" w:hanging="790"/>
        <w:spacing w:after="0" w:line="235" w:lineRule="auto"/>
        <w:tabs>
          <w:tab w:leader="none" w:pos="79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income for the year ended December 31, 2000 included $975 of intercompany revenues we have eliminated in consolidation.</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1190"/>
          </w:cols>
          <w:pgMar w:left="230" w:top="622" w:right="479" w:bottom="1440" w:gutter="0" w:footer="0" w:header="0"/>
        </w:sectPr>
      </w:pPr>
    </w:p>
    <w:bookmarkStart w:id="145" w:name="page146"/>
    <w:bookmarkEnd w:id="145"/>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 brief description of our segments follows: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Core Businesses</w:t>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20" w:right="3179" w:hanging="436"/>
        <w:spacing w:after="0" w:line="238" w:lineRule="auto"/>
        <w:tabs>
          <w:tab w:leader="none" w:pos="12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Loan Servicing. Through this business we provide loan servicing including asset management and resolution services, to third party owners of subprime residential mortgage and "high loan to value" loans for a fee. We acquire the rights to service loans and obtain such rights by purchasing them outright or by entering into sub-servicing contracts.</w:t>
      </w:r>
    </w:p>
    <w:p>
      <w:pPr>
        <w:spacing w:after="0" w:line="175" w:lineRule="exact"/>
        <w:rPr>
          <w:rFonts w:ascii="Courier New" w:cs="Courier New" w:eastAsia="Courier New" w:hAnsi="Courier New"/>
          <w:sz w:val="15"/>
          <w:szCs w:val="15"/>
          <w:color w:val="auto"/>
        </w:rPr>
      </w:pPr>
    </w:p>
    <w:p>
      <w:pPr>
        <w:ind w:left="1220" w:right="3179" w:hanging="436"/>
        <w:spacing w:after="0" w:line="258" w:lineRule="auto"/>
        <w:tabs>
          <w:tab w:leader="none" w:pos="12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OTX. Through this segment we provide technology solutions for the mortgage and real estate industries. OTX products include a residential loan servicing system (REALServicing), a commercial loan servicing system (REALSynergy) and an Internet based mortgage loan processing and vendor management system (REALTrans).</w:t>
      </w:r>
    </w:p>
    <w:p>
      <w:pPr>
        <w:spacing w:after="0" w:line="164" w:lineRule="exact"/>
        <w:rPr>
          <w:rFonts w:ascii="Courier New" w:cs="Courier New" w:eastAsia="Courier New" w:hAnsi="Courier New"/>
          <w:sz w:val="14"/>
          <w:szCs w:val="14"/>
          <w:color w:val="auto"/>
        </w:rPr>
      </w:pPr>
    </w:p>
    <w:p>
      <w:pPr>
        <w:ind w:left="1220" w:right="3439" w:hanging="436"/>
        <w:spacing w:after="0" w:line="237" w:lineRule="auto"/>
        <w:tabs>
          <w:tab w:leader="none" w:pos="12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Realty Advisors (ORA). Through ORA we provide residential property valuation services, including for those loans that we service for others.</w:t>
      </w:r>
    </w:p>
    <w:p>
      <w:pPr>
        <w:spacing w:after="0" w:line="174" w:lineRule="exact"/>
        <w:rPr>
          <w:rFonts w:ascii="Courier New" w:cs="Courier New" w:eastAsia="Courier New" w:hAnsi="Courier New"/>
          <w:sz w:val="15"/>
          <w:szCs w:val="15"/>
          <w:color w:val="auto"/>
        </w:rPr>
      </w:pPr>
    </w:p>
    <w:p>
      <w:pPr>
        <w:ind w:left="1220" w:right="3179" w:hanging="436"/>
        <w:spacing w:after="0" w:line="237" w:lineRule="auto"/>
        <w:tabs>
          <w:tab w:leader="none" w:pos="12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Collections. This core business conducts collection activities for third party owners of unsecured receivables and for a portfolio of unsecured credit card receivables that we acquired at a discount in 1999 and 2000.</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Non-Core Businesses</w:t>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20" w:right="3359" w:hanging="436"/>
        <w:spacing w:after="0" w:line="259" w:lineRule="auto"/>
        <w:tabs>
          <w:tab w:leader="none" w:pos="12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Discount Loans. This segment consisted of operations to acquire at a discount and subsequently resolve sub-performing and non-performing residential mortgage loans. We completed our last acquisition of residential loans in 2000.</w:t>
      </w:r>
    </w:p>
    <w:p>
      <w:pPr>
        <w:spacing w:after="0" w:line="162" w:lineRule="exact"/>
        <w:rPr>
          <w:rFonts w:ascii="Courier New" w:cs="Courier New" w:eastAsia="Courier New" w:hAnsi="Courier New"/>
          <w:sz w:val="14"/>
          <w:szCs w:val="14"/>
          <w:color w:val="auto"/>
        </w:rPr>
      </w:pPr>
    </w:p>
    <w:p>
      <w:pPr>
        <w:ind w:left="1220" w:right="3179" w:hanging="436"/>
        <w:spacing w:after="0" w:line="238" w:lineRule="auto"/>
        <w:tabs>
          <w:tab w:leader="none" w:pos="12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Finance. This segment comprised operations to acquire sub-performing commercial loans at a discount, as well as operations to invest in and reposition under performing real estate assets. No assets have been acquired since 2000; since that time, this business has consisted of the repositioning, management and resolution of the remaining assets.</w:t>
      </w:r>
    </w:p>
    <w:p>
      <w:pPr>
        <w:spacing w:after="0" w:line="175" w:lineRule="exact"/>
        <w:rPr>
          <w:rFonts w:ascii="Courier New" w:cs="Courier New" w:eastAsia="Courier New" w:hAnsi="Courier New"/>
          <w:sz w:val="15"/>
          <w:szCs w:val="15"/>
          <w:color w:val="auto"/>
        </w:rPr>
      </w:pPr>
    </w:p>
    <w:p>
      <w:pPr>
        <w:ind w:left="1220" w:right="3179" w:hanging="436"/>
        <w:spacing w:after="0" w:line="238" w:lineRule="auto"/>
        <w:tabs>
          <w:tab w:leader="none" w:pos="12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Affordable Housing. Includes our investments, primarily through limited partnerships, in qualified low-income rental housing for the purpose of obtaining Federal income tax credits pursuant to Section 42 of the Code. Except to complete those projects in which an investment had already been made, we ceased making investments in properties in 2000.</w:t>
      </w:r>
    </w:p>
    <w:p>
      <w:pPr>
        <w:spacing w:after="0" w:line="175" w:lineRule="exact"/>
        <w:rPr>
          <w:rFonts w:ascii="Courier New" w:cs="Courier New" w:eastAsia="Courier New" w:hAnsi="Courier New"/>
          <w:sz w:val="15"/>
          <w:szCs w:val="15"/>
          <w:color w:val="auto"/>
        </w:rPr>
      </w:pPr>
    </w:p>
    <w:p>
      <w:pPr>
        <w:ind w:left="1220" w:right="3259" w:hanging="436"/>
        <w:spacing w:after="0" w:line="238" w:lineRule="auto"/>
        <w:tabs>
          <w:tab w:leader="none" w:pos="12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Finance. In August 1999, we closed our domestic subprime origination business, which had been conducted primarily through OFS. Previously, activities of this segment included our acquisition and origination of single family residential loans to non-conforming borrowers. We have continued to manage and resolve the remaining non-core assets.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Corporate Items and Other</w:t>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80" w:right="3359"/>
        <w:spacing w:after="0" w:line="258" w:lineRule="auto"/>
        <w:rPr>
          <w:sz w:val="20"/>
          <w:szCs w:val="20"/>
          <w:color w:val="auto"/>
        </w:rPr>
      </w:pPr>
      <w:r>
        <w:rPr>
          <w:rFonts w:ascii="Courier New" w:cs="Courier New" w:eastAsia="Courier New" w:hAnsi="Courier New"/>
          <w:sz w:val="14"/>
          <w:szCs w:val="14"/>
          <w:color w:val="auto"/>
        </w:rPr>
        <w:t>This segment includes business activities that are individually insignificant, interest income on cash and cash equivalents, interest expense on corporate assets, gains and losses from debt repurchases, trading gains or losses associated with our collateralized mortgage obligation ("CMO") trading portfolio and general corporate expenses.</w:t>
      </w:r>
    </w:p>
    <w:p>
      <w:pPr>
        <w:spacing w:after="0" w:line="16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We allocate interest income and expense to each business segment for the investment of funds raised or funding of investments made taking into consideration the duration of such liabilities or assets. We also make allocations of non-interest expense generated by corporate support services to each business segment based upon our estimate of time and effort spent in the respective activity.</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622" w:right="1440" w:bottom="1440" w:gutter="0" w:footer="0" w:header="0"/>
        </w:sectPr>
      </w:pPr>
    </w:p>
    <w:bookmarkStart w:id="146" w:name="page147"/>
    <w:bookmarkEnd w:id="146"/>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09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28 COMMITMENTS AND CONTINGENCIES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lease certain premises under various non-cancelable operating leases with terms expiring at various times through 2006, exclusive of renewal option periods. Our annual aggregate minimum rental commitments under these leases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4,099</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3,276</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Minimum lease payments .......................................</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8,612</w:t>
            </w:r>
          </w:p>
        </w:tc>
      </w:tr>
      <w:tr>
        <w:trPr>
          <w:trHeight w:val="170"/>
        </w:trPr>
        <w:tc>
          <w:tcPr>
            <w:tcW w:w="57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converted rental commitments for our facilities outside the United States of America to U.S. dollars using exchange rates in effect at December 31, 2002. Rent expense for the years ended December 31, 2002, 2001 and 2000 was $3,326, $3,533 and $3,374, respectively.</w:t>
      </w:r>
    </w:p>
    <w:p>
      <w:pPr>
        <w:spacing w:after="0" w:line="176"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At December 31, 2002, we had commitments of $346 to fund construction loans (including loans accounted for as investments in real estate) secured by multi-family and commercial properties. In addition, we had commitments under outstanding letters of credit in the amount of $210. Through our investment in subordinated securities and subprime residuals, which had a fair value of $37,339 at December 31, 2002, we support senior classes of securities.</w:t>
      </w:r>
    </w:p>
    <w:p>
      <w:pPr>
        <w:spacing w:after="0" w:line="164"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On April 20, 1999, a complaint was filed on behalf of a putative class of public shareholders of the Company in the Circuit Court of the Fifteenth Judicial Circuit, Palm Beach County, Florida against OCN and OAC. On April 23, 1999, a complaint was filed on behalf of a putative class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were for damages for alleged breaches of common law fiduciary duties. In October 2001, the parties reached an agreement in principle, which provides for a payment to plaintiffs in the amount of $475 in complete settlement off all claims for damages and attorney's fees and costs. The agreement in principle also requires us to pay a share of certain additional administrative costs attendant to the settlement, in an amount not yet determined. The agreement in principle is subject to the approval of the Court. This matter is not expected to have a material impact on our financial statements.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On June 3, 1999, Walton Street Capital, L.L.C. ("Walton") filed suit against OAC and Ocwen Partnership, L.P. in the Circuit Court of Cook County, Illinois. Walton has alleged that OAC committed an anticipatory breach of contract with respect to the proposed sale by OAC of all of its interest in its commercial mortgage-backed securities portfolio to Walton. Walton has claimed damages in an amount in excess of $27,000 including prejudgment interest. As of October 20, 2000, both Walton and OAC filed motions for Summary Judgement. On December 21, 2000, the Circuit Court granted Walton's Limited Motion for Summary Judgement concerning liability. On February 20, 2001, Ocwen filed a motion for reconsideration requesting the Circuit Court vacate its order granting summary judgment to Walton. On January 29, 2002, after oral argument, the Circuit Court reversed its earlier ruling by vacating the order granting summary judgment. On October 25, 2002, the Circuit Court denied Walton's motion for summary judgement. The trial was scheduled to begin March 4, 2003. On March 3, 2003, the Parties entered into a settlement agreement under which defendants admitted no liability and the case was dismissed with prejudice. The amount of the settlement was $2,250 which is included in the financial results of 2002 based on the applicable accounting rules.</w:t>
      </w:r>
    </w:p>
    <w:p>
      <w:pPr>
        <w:spacing w:after="0" w:line="333"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former owners of Admiral Home Loan ("Claimants") filed a Demand for Arbitration against OCN and William C. Erbey claiming damages in the amount of $21,250 arising out of a 1997 acquisition agreement pursuant to which a subsidiary of OCN acquired all the assets of Admiral Home Loan. The Claimants amended their Demand to include a claim for Civil Theft under Florida statutes for which treble damages are sought. An evidentiary hearing on the matter was concluded before a three-person arbitration panel on February 24, 2003. On March 11, 2003, the Parties submitted post-hearing findings of fact and conclusions of law to the arbitration panel which has taken the matter under advisement. Although litigation is always uncertain, we believe the claims asserted in the Admiral Home Loan matter are without merit and we have defended them vigorously.</w:t>
      </w:r>
    </w:p>
    <w:p>
      <w:pPr>
        <w:spacing w:after="0" w:line="16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are subject to various other pending legal proceedings. In our opinion, the resolution of these other claims will not have a material effect on the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622" w:right="1440" w:bottom="735" w:gutter="0" w:footer="0" w:header="0"/>
        </w:sectPr>
      </w:pPr>
    </w:p>
    <w:bookmarkStart w:id="147" w:name="page148"/>
    <w:bookmarkEnd w:id="147"/>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29 PARENT COMPANY ONLY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Financial Condition of Ocwen Financial Corporation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2002</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Cash and cash equivalents..............................................................</w:t>
            </w:r>
          </w:p>
        </w:tc>
        <w:tc>
          <w:tcPr>
            <w:tcW w:w="10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1,116</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1,114</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Cash held at Bank subsidiary...........................................................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9,647</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26,872</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Investments in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9"/>
              </w:rPr>
              <w:t>Bank subsidiary.....................................................................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158,471</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198,813</w:t>
            </w:r>
          </w:p>
        </w:tc>
      </w:tr>
      <w:tr>
        <w:trPr>
          <w:trHeight w:val="170"/>
        </w:trPr>
        <w:tc>
          <w:tcPr>
            <w:tcW w:w="70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9"/>
              </w:rPr>
              <w:t>Non-Bank subsidiaries...............................................................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406,538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400,297</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Advance due from Bank subsidiary.......................................................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1,641</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3,138</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Investment in unconsolidated entity....................................................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Loan, net..............................................................................</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Investment in real estate..............................................................</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1,797</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Income taxes receivable................................................................</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20,870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16,824</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Mortgage servicing rights..............................................................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64,996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Other assets...........................................................................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2,631</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672,087</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651,599</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11.875% Note payable...................................................................</w:t>
            </w:r>
          </w:p>
        </w:tc>
        <w:tc>
          <w:tcPr>
            <w:tcW w:w="10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43,475</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87,025</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Notes and debentures payable to non-Bank subsidiaries..................................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135,486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131,251</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Accrued interest payable to non-Bank subsidiaries......................................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8,205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7,847</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Advance due to non-Bank subsidiaries...................................................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144,300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20,515</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Deferred tax liability.................................................................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20,194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16,249</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Other liabilities......................................................................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9,709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9,606</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9"/>
              </w:rPr>
              <w:t>Total liabilities...................................................................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361,369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272,493</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w w:val="89"/>
              </w:rPr>
              <w:t>Stockholders' equity...................................................................</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310,718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379,106</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672,087</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651,599</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of Ocwen Financial Corporation</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8"/>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For the Years Ended December 31,</w:t>
            </w:r>
          </w:p>
        </w:tc>
        <w:tc>
          <w:tcPr>
            <w:tcW w:w="800" w:type="dxa"/>
            <w:vAlign w:val="bottom"/>
          </w:tcPr>
          <w:p>
            <w:pPr>
              <w:spacing w:after="0"/>
              <w:rPr>
                <w:sz w:val="24"/>
                <w:szCs w:val="24"/>
                <w:color w:val="auto"/>
              </w:rPr>
            </w:pPr>
          </w:p>
        </w:tc>
      </w:tr>
      <w:tr>
        <w:trPr>
          <w:trHeight w:val="170"/>
        </w:trPr>
        <w:tc>
          <w:tcPr>
            <w:tcW w:w="6780" w:type="dxa"/>
            <w:vAlign w:val="bottom"/>
          </w:tcPr>
          <w:p>
            <w:pPr>
              <w:spacing w:after="0"/>
              <w:rPr>
                <w:sz w:val="14"/>
                <w:szCs w:val="14"/>
                <w:color w:val="auto"/>
              </w:rPr>
            </w:pPr>
          </w:p>
        </w:tc>
        <w:tc>
          <w:tcPr>
            <w:tcW w:w="41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555</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1,946</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income from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Bank subsidiary...................................................</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222</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1,438</w:t>
            </w: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Non-Bank subsidiaries.............................................</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2,394</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9,681</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11,465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12,293</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Interest expense - non-Bank subsidiaries...............................</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14,628</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14,387</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14,518</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interest expense before provision for loan losses..................</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(23,532)</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(23,130)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(22,072)</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1,144</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7,504</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interest expense after provision for loan losses...................</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(24,676)</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(24,625)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(29,576)</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3,970</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22,938</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3,731</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3,783</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Servicing fee expense - Bank subsidiary................................</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4,965</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5,907</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7,173</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Equity in earnings (losses) in unconsolidated entities.................</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(5,280)</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(29,260)</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(29,952)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(22,874)</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(1,658)</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37,195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(16,108)</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Income (loss) before equity in net income (losses) of subsidiaries</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(27,602)</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(67,147)</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(6,766)</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Bank subsidiary...................................................</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(40,341)</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(57,590)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6,094</w:t>
            </w:r>
          </w:p>
        </w:tc>
      </w:tr>
      <w:tr>
        <w:trPr>
          <w:trHeight w:val="170"/>
        </w:trPr>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Non-bank subsidiaries.............................................</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w:t>
            </w: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2,864</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(68,775)</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(124,782)</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780" w:type="dxa"/>
            <w:vAlign w:val="bottom"/>
          </w:tcPr>
          <w:p>
            <w:pPr>
              <w:spacing w:after="0"/>
              <w:rPr>
                <w:sz w:val="14"/>
                <w:szCs w:val="1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780" w:type="dxa"/>
            <w:vAlign w:val="bottom"/>
          </w:tcPr>
          <w:p>
            <w:pPr>
              <w:ind w:left="3340"/>
              <w:spacing w:after="0"/>
              <w:rPr>
                <w:sz w:val="20"/>
                <w:szCs w:val="20"/>
                <w:color w:val="auto"/>
              </w:rPr>
            </w:pPr>
            <w:r>
              <w:rPr>
                <w:rFonts w:ascii="Courier New" w:cs="Courier New" w:eastAsia="Courier New" w:hAnsi="Courier New"/>
                <w:sz w:val="15"/>
                <w:szCs w:val="15"/>
                <w:color w:val="auto"/>
              </w:rPr>
              <w:t>117</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920"/>
          </w:cols>
          <w:pgMar w:left="240" w:top="622" w:right="739" w:bottom="1440" w:gutter="0" w:footer="0" w:header="0"/>
        </w:sectPr>
      </w:pPr>
    </w:p>
    <w:bookmarkStart w:id="148" w:name="page149"/>
    <w:bookmarkEnd w:id="148"/>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0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0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Condensed Statements of Cash Flows of Ocwen Financial Corporation</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1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800" w:type="dxa"/>
            <w:vAlign w:val="bottom"/>
          </w:tcPr>
          <w:p>
            <w:pPr>
              <w:spacing w:after="0"/>
              <w:rPr>
                <w:sz w:val="24"/>
                <w:szCs w:val="24"/>
                <w:color w:val="auto"/>
              </w:rPr>
            </w:pP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(68,775)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(124,782)</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w:t>
            </w:r>
          </w:p>
        </w:tc>
      </w:tr>
      <w:tr>
        <w:trPr>
          <w:trHeight w:val="170"/>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180" w:type="dxa"/>
            <w:vAlign w:val="bottom"/>
          </w:tcPr>
          <w:p>
            <w:pPr>
              <w:ind w:left="600"/>
              <w:spacing w:after="0"/>
              <w:rPr>
                <w:sz w:val="20"/>
                <w:szCs w:val="20"/>
                <w:color w:val="auto"/>
              </w:rPr>
            </w:pPr>
            <w:r>
              <w:rPr>
                <w:rFonts w:ascii="Courier New" w:cs="Courier New" w:eastAsia="Courier New" w:hAnsi="Courier New"/>
                <w:sz w:val="15"/>
                <w:szCs w:val="15"/>
                <w:color w:val="auto"/>
              </w:rPr>
              <w:t>(used)</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provided by operating activities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(income) loss of Bank subsidiary........................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40,341</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57,590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(6,094)</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(income) loss of non-Bank subsidiaries..................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832</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(2,864)</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Equity in loss (income) of unconsolidated entity, net.............</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5,280</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Premium amortization, net.........................................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Provision for loan losses.........................................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1,144</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7,504</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Gain on repurchase of long-term debt..............................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Gain on sale of real estate held for investment...................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(1,155)</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Gain on sale of investment in Kensington Group plc................</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(20,025)</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 deferred tax assets...................................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3,945</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38,624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21,988</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 deferred tax liability................................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(increase) in other assets...............................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3,351</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(1,849)</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(increase) in income taxes receivable....................</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(4,046)</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(2,556)</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 income taxes payable..................................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Increase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(decrease) in accrued expenses and other liabilities.....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(578)</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2,417</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(5,305)</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Net cash</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used by operating activities.............................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(23,928)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(25,180)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(2,235)</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investments in and advances (to) from subsidiaries............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122,295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(33,731)</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(21,967)</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Purchase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of mortgage servicing rights.............................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(64,996)</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Proceeds</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from sale of investment in Kensington Group plc..........</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48,556</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Distributions from (investment in) unconsolidated entity..........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3,143</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Origination of loans..............................................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(9,153)</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Principal payments received on loans..............................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6,922</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10,207</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Purchase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of loans.................................................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(9,730)</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Decrease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(increase) in investment in real estate..................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1,797</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(2,145)</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Net cash</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provided (used) by investing activities..................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49,943</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(25,306)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28,064</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Repurchase of notes...............................................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(43,550)</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(13,233)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(3,361)</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Exercise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options..................................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214</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901</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Issuance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of shares of common stock................................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Repurchase of common stock........................................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(8,996)</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Net cash used</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by financing activities..................................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(43,238)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(12,254)</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(12,301)</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52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(17,223)</w:t>
            </w:r>
          </w:p>
        </w:tc>
        <w:tc>
          <w:tcPr>
            <w:tcW w:w="4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(62,740)</w:t>
            </w:r>
          </w:p>
        </w:tc>
        <w:tc>
          <w:tcPr>
            <w:tcW w:w="4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13,528</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and cash</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equivalents at beginning of year.........................</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27,986</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90,726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77,198</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Cash and cash</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equivalents at end of year...............................</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10,763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27,986</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90,726</w:t>
            </w:r>
          </w:p>
        </w:tc>
      </w:tr>
      <w:tr>
        <w:trPr>
          <w:trHeight w:val="170"/>
        </w:trPr>
        <w:tc>
          <w:tcPr>
            <w:tcW w:w="11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180" w:type="dxa"/>
            <w:vAlign w:val="bottom"/>
          </w:tcPr>
          <w:p>
            <w:pPr>
              <w:spacing w:after="0"/>
              <w:rPr>
                <w:sz w:val="24"/>
                <w:szCs w:val="24"/>
                <w:color w:val="auto"/>
              </w:rPr>
            </w:pPr>
          </w:p>
        </w:tc>
        <w:tc>
          <w:tcPr>
            <w:tcW w:w="5340" w:type="dxa"/>
            <w:vAlign w:val="bottom"/>
          </w:tcPr>
          <w:p>
            <w:pPr>
              <w:ind w:left="2160"/>
              <w:spacing w:after="0"/>
              <w:rPr>
                <w:sz w:val="20"/>
                <w:szCs w:val="20"/>
                <w:color w:val="auto"/>
              </w:rPr>
            </w:pPr>
            <w:r>
              <w:rPr>
                <w:rFonts w:ascii="Courier New" w:cs="Courier New" w:eastAsia="Courier New" w:hAnsi="Courier New"/>
                <w:sz w:val="15"/>
                <w:szCs w:val="15"/>
                <w:color w:val="auto"/>
              </w:rPr>
              <w:t>118</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920"/>
          </w:cols>
          <w:pgMar w:left="240" w:top="622" w:right="739" w:bottom="1440" w:gutter="0" w:footer="0" w:header="0"/>
        </w:sectPr>
      </w:pPr>
    </w:p>
    <w:bookmarkStart w:id="149" w:name="page150"/>
    <w:bookmarkEnd w:id="149"/>
    <w:p>
      <w:pPr>
        <w:jc w:val="center"/>
        <w:ind w:right="39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80"/>
        <w:spacing w:after="0"/>
        <w:rPr>
          <w:sz w:val="20"/>
          <w:szCs w:val="20"/>
          <w:color w:val="auto"/>
        </w:rPr>
      </w:pPr>
      <w:r>
        <w:rPr>
          <w:rFonts w:ascii="Courier New" w:cs="Courier New" w:eastAsia="Courier New" w:hAnsi="Courier New"/>
          <w:sz w:val="15"/>
          <w:szCs w:val="15"/>
          <w:color w:val="auto"/>
        </w:rPr>
        <w:t>DECEMBER 31, 2002, 2001, AND 2000</w:t>
      </w:r>
    </w:p>
    <w:p>
      <w:pPr>
        <w:jc w:val="center"/>
        <w:ind w:right="388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NOTE 30 QUARTERLY RESULTS OF OPERATIONS (UNAUDITED)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jc w:val="right"/>
              <w:ind w:right="947"/>
              <w:spacing w:after="0"/>
              <w:rPr>
                <w:sz w:val="20"/>
                <w:szCs w:val="20"/>
                <w:color w:val="auto"/>
              </w:rPr>
            </w:pPr>
            <w:r>
              <w:rPr>
                <w:rFonts w:ascii="Courier New" w:cs="Courier New" w:eastAsia="Courier New" w:hAnsi="Courier New"/>
                <w:sz w:val="15"/>
                <w:szCs w:val="15"/>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00" w:type="dxa"/>
            <w:vAlign w:val="bottom"/>
          </w:tcPr>
          <w:p>
            <w:pPr>
              <w:spacing w:after="0"/>
              <w:rPr>
                <w:sz w:val="14"/>
                <w:szCs w:val="14"/>
                <w:color w:val="auto"/>
              </w:rPr>
            </w:pPr>
          </w:p>
        </w:tc>
        <w:tc>
          <w:tcPr>
            <w:tcW w:w="58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12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June 30,</w:t>
            </w:r>
          </w:p>
        </w:tc>
        <w:tc>
          <w:tcPr>
            <w:tcW w:w="3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5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2002</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2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2002</w:t>
            </w:r>
          </w:p>
        </w:tc>
        <w:tc>
          <w:tcPr>
            <w:tcW w:w="3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7,103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12,714</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11,727</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12,925</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14,714</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16,396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3,119</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(901)</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10,732</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interest income (expense) after provision for loan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losses..............................................</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(7,743)</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(3,412)</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(16,640)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(4,361)</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income......................................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42,384</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38,026</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12,507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41,558</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expense.....................................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41,471</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37,092</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44,499</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55,027</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Distributions on Capital Securities......................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1,529</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1,529</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1,566</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income taxes and effect of change in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accounting principle..................................</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(8,359)</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(4,007)</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(50,198)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(19,493)</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Minority interest in net loss of subsidiaries............</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expense (benefit)...........................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1,818</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1,165</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(loss) before effect of change in accounting</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principle.............................................</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(10,078)</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(4,007)</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(50,198)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(20,658)</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Effect of change in accounting principle, net of taxes...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16,166</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(10,078)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(50,198)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(4,492)</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 and diluted.....................................</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jc w:val="right"/>
              <w:ind w:right="947"/>
              <w:spacing w:after="0"/>
              <w:rPr>
                <w:sz w:val="20"/>
                <w:szCs w:val="20"/>
                <w:color w:val="auto"/>
              </w:rPr>
            </w:pPr>
            <w:r>
              <w:rPr>
                <w:rFonts w:ascii="Courier New" w:cs="Courier New" w:eastAsia="Courier New" w:hAnsi="Courier New"/>
                <w:sz w:val="15"/>
                <w:szCs w:val="15"/>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00" w:type="dxa"/>
            <w:vAlign w:val="bottom"/>
          </w:tcPr>
          <w:p>
            <w:pPr>
              <w:spacing w:after="0"/>
              <w:rPr>
                <w:sz w:val="14"/>
                <w:szCs w:val="14"/>
                <w:color w:val="auto"/>
              </w:rPr>
            </w:pPr>
          </w:p>
        </w:tc>
        <w:tc>
          <w:tcPr>
            <w:tcW w:w="58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12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June 30,</w:t>
            </w:r>
          </w:p>
        </w:tc>
        <w:tc>
          <w:tcPr>
            <w:tcW w:w="3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5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20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 income..........................................</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14,742</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18,594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25,218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24,817</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 expense.........................................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19,414</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22,307</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24,728</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26,880</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Provision for loan losses................................</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(2,363)</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10,297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8,120</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interest income (expense) after provision for loan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losses..............................................</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(2,309)</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(3,325)</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(9,807)</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(10,183)</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income......................................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41,267</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41,658</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43,886</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46,609</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expense.....................................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44,133</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44,602</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42,856</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50,856</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Distributions on Capital Securities......................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1,663</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1,697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2,053</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44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(6,893)</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(7,932)</w:t>
            </w:r>
          </w:p>
        </w:tc>
        <w:tc>
          <w:tcPr>
            <w:tcW w:w="360" w:type="dxa"/>
            <w:vAlign w:val="bottom"/>
          </w:tcPr>
          <w:p>
            <w:pPr>
              <w:spacing w:after="0"/>
              <w:rPr>
                <w:sz w:val="24"/>
                <w:szCs w:val="2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(10,474)</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(16,483)</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Minority interest in net loss of subsidiaries............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expense (benefit)...........................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65,000</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10,967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7,033</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(72,932)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(21,441)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(23,516)</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 and diluted.....................................</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r>
      <w:tr>
        <w:trPr>
          <w:trHeight w:val="170"/>
        </w:trPr>
        <w:tc>
          <w:tcPr>
            <w:tcW w:w="520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20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000"/>
          </w:cols>
          <w:pgMar w:left="240" w:top="622" w:right="659"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Our common stock is traded under the symbol "OCN" on the New York Stock Exchange ("NYSE"). The following table sets forth the high and low sales prices for our common stock, as traded on the NYSE: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High</w:t>
            </w:r>
          </w:p>
        </w:tc>
        <w:tc>
          <w:tcPr>
            <w:tcW w:w="38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8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6.47</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10.44</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8.54</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11.20</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bl>
    <w:p>
      <w:pPr>
        <w:spacing w:after="0" w:line="34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 the close of business on March 14, 2003, our common stock price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$2.92.</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us.</w:t>
      </w:r>
    </w:p>
    <w:p>
      <w:pPr>
        <w:spacing w:after="0" w:line="178"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As a holding company, the payment of any dividends by us will be significantly dependent on dividends and other payments received from our subsidiaries, including the Bank. For a description of limitations on our ability to pay dividends on our common stock and on the ability of the Bank to pay dividends, see Notes 16, 17 and 23 to our Consolidated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At March 14, 2003, 67,339,773 shares of our common stock were outstanding and held by approximately 1,267 holders of record. Such number of stockholders does not reflect the number of individuals or institutional investors holding our stock in nominee name through banks, brokerage firms and others.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622" w:right="1440" w:bottom="1440" w:gutter="0" w:footer="0" w:header="0"/>
        </w:sectPr>
      </w:pPr>
    </w:p>
    <w:bookmarkStart w:id="151" w:name="page152"/>
    <w:bookmarkEnd w:id="151"/>
    <w:p>
      <w:pPr>
        <w:ind w:left="5980"/>
        <w:spacing w:after="0"/>
        <w:rPr>
          <w:sz w:val="20"/>
          <w:szCs w:val="20"/>
          <w:color w:val="auto"/>
        </w:rPr>
      </w:pPr>
      <w:r>
        <w:rPr>
          <w:rFonts w:ascii="Courier New" w:cs="Courier New" w:eastAsia="Courier New" w:hAnsi="Courier New"/>
          <w:sz w:val="14"/>
          <w:szCs w:val="14"/>
          <w:color w:val="auto"/>
        </w:rPr>
        <w:t>Exhibit 21.0</w:t>
      </w:r>
    </w:p>
    <w:p>
      <w:pPr>
        <w:spacing w:after="0" w:line="34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SIGNIFICANT DIRECT AND INDIRECT SUBSIDIARIES OF OCWEN FINANCIAL CORPORATION</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Organization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80" w:space="720"/>
            <w:col w:w="501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Ocwen Federal Bank FSB</w:t>
      </w:r>
    </w:p>
    <w:p>
      <w:pPr>
        <w:spacing w:after="0"/>
        <w:rPr>
          <w:sz w:val="20"/>
          <w:szCs w:val="20"/>
          <w:color w:val="auto"/>
        </w:rPr>
      </w:pPr>
      <w:r>
        <w:rPr>
          <w:rFonts w:ascii="Courier New" w:cs="Courier New" w:eastAsia="Courier New" w:hAnsi="Courier New"/>
          <w:sz w:val="15"/>
          <w:szCs w:val="15"/>
          <w:color w:val="auto"/>
        </w:rPr>
        <w:t>Ocwen Partnership, L.P.</w:t>
      </w:r>
    </w:p>
    <w:p>
      <w:pPr>
        <w:spacing w:after="0"/>
        <w:rPr>
          <w:sz w:val="20"/>
          <w:szCs w:val="20"/>
          <w:color w:val="auto"/>
        </w:rPr>
      </w:pPr>
      <w:r>
        <w:rPr>
          <w:rFonts w:ascii="Courier New" w:cs="Courier New" w:eastAsia="Courier New" w:hAnsi="Courier New"/>
          <w:sz w:val="15"/>
          <w:szCs w:val="15"/>
          <w:color w:val="auto"/>
        </w:rPr>
        <w:t>Ocwen Asset Investment Corp.</w:t>
      </w:r>
    </w:p>
    <w:p>
      <w:pPr>
        <w:spacing w:after="0" w:line="238" w:lineRule="auto"/>
        <w:rPr>
          <w:sz w:val="20"/>
          <w:szCs w:val="20"/>
          <w:color w:val="auto"/>
        </w:rPr>
      </w:pPr>
      <w:r>
        <w:rPr>
          <w:rFonts w:ascii="Courier New" w:cs="Courier New" w:eastAsia="Courier New" w:hAnsi="Courier New"/>
          <w:sz w:val="15"/>
          <w:szCs w:val="15"/>
          <w:color w:val="auto"/>
        </w:rPr>
        <w:t>Ocwen General,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Investors Mortgage Insurance Holding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Properties, Inc.</w:t>
      </w:r>
    </w:p>
    <w:p>
      <w:pPr>
        <w:spacing w:after="0"/>
        <w:rPr>
          <w:sz w:val="20"/>
          <w:szCs w:val="20"/>
          <w:color w:val="auto"/>
        </w:rPr>
      </w:pPr>
      <w:r>
        <w:rPr>
          <w:rFonts w:ascii="Courier New" w:cs="Courier New" w:eastAsia="Courier New" w:hAnsi="Courier New"/>
          <w:sz w:val="15"/>
          <w:szCs w:val="15"/>
          <w:color w:val="auto"/>
        </w:rPr>
        <w:t>Ocwen Capital Trust I</w:t>
      </w:r>
    </w:p>
    <w:p>
      <w:pPr>
        <w:spacing w:after="0"/>
        <w:rPr>
          <w:sz w:val="20"/>
          <w:szCs w:val="20"/>
          <w:color w:val="auto"/>
        </w:rPr>
      </w:pPr>
      <w:r>
        <w:rPr>
          <w:rFonts w:ascii="Courier New" w:cs="Courier New" w:eastAsia="Courier New" w:hAnsi="Courier New"/>
          <w:sz w:val="15"/>
          <w:szCs w:val="15"/>
          <w:color w:val="auto"/>
        </w:rPr>
        <w:t>Ocwen Asset Investment - UK, LLC</w:t>
      </w:r>
    </w:p>
    <w:p>
      <w:pPr>
        <w:spacing w:after="0" w:line="238" w:lineRule="auto"/>
        <w:rPr>
          <w:sz w:val="20"/>
          <w:szCs w:val="20"/>
          <w:color w:val="auto"/>
        </w:rPr>
      </w:pPr>
      <w:r>
        <w:rPr>
          <w:rFonts w:ascii="Courier New" w:cs="Courier New" w:eastAsia="Courier New" w:hAnsi="Courier New"/>
          <w:sz w:val="15"/>
          <w:szCs w:val="15"/>
          <w:color w:val="auto"/>
        </w:rPr>
        <w:t>Ocwen Technology Xchange, Inc.</w:t>
      </w:r>
    </w:p>
    <w:p>
      <w:pPr>
        <w:spacing w:after="0"/>
        <w:rPr>
          <w:sz w:val="20"/>
          <w:szCs w:val="20"/>
          <w:color w:val="auto"/>
        </w:rPr>
      </w:pPr>
      <w:r>
        <w:rPr>
          <w:rFonts w:ascii="Courier New" w:cs="Courier New" w:eastAsia="Courier New" w:hAnsi="Courier New"/>
          <w:sz w:val="15"/>
          <w:szCs w:val="15"/>
          <w:color w:val="auto"/>
        </w:rPr>
        <w:t>Rocaille Acquisition Subsidiary, Inc.</w:t>
      </w:r>
    </w:p>
    <w:p>
      <w:pPr>
        <w:spacing w:after="0"/>
        <w:rPr>
          <w:sz w:val="20"/>
          <w:szCs w:val="20"/>
          <w:color w:val="auto"/>
        </w:rPr>
      </w:pPr>
      <w:r>
        <w:rPr>
          <w:rFonts w:ascii="Courier New" w:cs="Courier New" w:eastAsia="Courier New" w:hAnsi="Courier New"/>
          <w:sz w:val="15"/>
          <w:szCs w:val="15"/>
          <w:color w:val="auto"/>
        </w:rPr>
        <w:t>Berkeley Realty Group, Inc</w:t>
      </w:r>
    </w:p>
    <w:p>
      <w:pPr>
        <w:spacing w:after="0" w:line="238" w:lineRule="auto"/>
        <w:rPr>
          <w:sz w:val="20"/>
          <w:szCs w:val="20"/>
          <w:color w:val="auto"/>
        </w:rPr>
      </w:pPr>
      <w:r>
        <w:rPr>
          <w:rFonts w:ascii="Courier New" w:cs="Courier New" w:eastAsia="Courier New" w:hAnsi="Courier New"/>
          <w:sz w:val="15"/>
          <w:szCs w:val="15"/>
          <w:color w:val="auto"/>
        </w:rPr>
        <w:t>OAIC Halifax, LLC</w:t>
      </w:r>
    </w:p>
    <w:p>
      <w:pPr>
        <w:spacing w:after="0"/>
        <w:rPr>
          <w:sz w:val="20"/>
          <w:szCs w:val="20"/>
          <w:color w:val="auto"/>
        </w:rPr>
      </w:pPr>
      <w:r>
        <w:rPr>
          <w:rFonts w:ascii="Courier New" w:cs="Courier New" w:eastAsia="Courier New" w:hAnsi="Courier New"/>
          <w:sz w:val="15"/>
          <w:szCs w:val="15"/>
          <w:color w:val="auto"/>
        </w:rPr>
        <w:t>OAIC Jacksonville, LLC</w:t>
      </w:r>
    </w:p>
    <w:p>
      <w:pPr>
        <w:spacing w:after="0"/>
        <w:rPr>
          <w:sz w:val="20"/>
          <w:szCs w:val="20"/>
          <w:color w:val="auto"/>
        </w:rPr>
      </w:pPr>
      <w:r>
        <w:rPr>
          <w:rFonts w:ascii="Courier New" w:cs="Courier New" w:eastAsia="Courier New" w:hAnsi="Courier New"/>
          <w:sz w:val="15"/>
          <w:szCs w:val="15"/>
          <w:color w:val="auto"/>
        </w:rPr>
        <w:t>OAIC Mortgage Residential Holdings, LLC</w:t>
      </w:r>
    </w:p>
    <w:p>
      <w:pPr>
        <w:spacing w:after="0"/>
        <w:rPr>
          <w:sz w:val="20"/>
          <w:szCs w:val="20"/>
          <w:color w:val="auto"/>
        </w:rPr>
      </w:pPr>
      <w:r>
        <w:rPr>
          <w:rFonts w:ascii="Courier New" w:cs="Courier New" w:eastAsia="Courier New" w:hAnsi="Courier New"/>
          <w:sz w:val="15"/>
          <w:szCs w:val="15"/>
          <w:color w:val="auto"/>
        </w:rPr>
        <w:t>OAIC Commercial Assets, LLC</w:t>
      </w:r>
    </w:p>
    <w:p>
      <w:pPr>
        <w:spacing w:after="0" w:line="238" w:lineRule="auto"/>
        <w:rPr>
          <w:sz w:val="20"/>
          <w:szCs w:val="20"/>
          <w:color w:val="auto"/>
        </w:rPr>
      </w:pPr>
      <w:r>
        <w:rPr>
          <w:rFonts w:ascii="Courier New" w:cs="Courier New" w:eastAsia="Courier New" w:hAnsi="Courier New"/>
          <w:sz w:val="15"/>
          <w:szCs w:val="15"/>
          <w:color w:val="auto"/>
        </w:rPr>
        <w:t>OAIC Financial Services, Inc.</w:t>
      </w:r>
    </w:p>
    <w:p>
      <w:pPr>
        <w:spacing w:after="0"/>
        <w:rPr>
          <w:sz w:val="20"/>
          <w:szCs w:val="20"/>
          <w:color w:val="auto"/>
        </w:rPr>
      </w:pPr>
      <w:r>
        <w:rPr>
          <w:rFonts w:ascii="Courier New" w:cs="Courier New" w:eastAsia="Courier New" w:hAnsi="Courier New"/>
          <w:sz w:val="15"/>
          <w:szCs w:val="15"/>
          <w:color w:val="auto"/>
        </w:rPr>
        <w:t>AMOS, Inc</w:t>
      </w:r>
    </w:p>
    <w:p>
      <w:pPr>
        <w:spacing w:after="0"/>
        <w:rPr>
          <w:sz w:val="20"/>
          <w:szCs w:val="20"/>
          <w:color w:val="auto"/>
        </w:rPr>
      </w:pPr>
      <w:r>
        <w:rPr>
          <w:rFonts w:ascii="Courier New" w:cs="Courier New" w:eastAsia="Courier New" w:hAnsi="Courier New"/>
          <w:sz w:val="15"/>
          <w:szCs w:val="15"/>
          <w:color w:val="auto"/>
        </w:rPr>
        <w:t>Residential Real Estate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ectPr>
          <w:pgSz w:w="11900" w:h="16838" w:orient="portrait"/>
          <w:cols w:equalWidth="0" w:num="2">
            <w:col w:w="4480" w:space="720"/>
            <w:col w:w="5019"/>
          </w:cols>
          <w:pgMar w:left="240" w:top="141" w:right="1440" w:bottom="1440" w:gutter="0" w:footer="0" w:header="0"/>
          <w:type w:val="continuous"/>
        </w:sectPr>
      </w:pPr>
    </w:p>
    <w:bookmarkStart w:id="152" w:name="page153"/>
    <w:bookmarkEnd w:id="152"/>
    <w:p>
      <w:pPr>
        <w:jc w:val="right"/>
        <w:ind w:right="3179"/>
        <w:spacing w:after="0"/>
        <w:rPr>
          <w:sz w:val="20"/>
          <w:szCs w:val="20"/>
          <w:color w:val="auto"/>
        </w:rPr>
      </w:pPr>
      <w:r>
        <w:rPr>
          <w:rFonts w:ascii="Courier New" w:cs="Courier New" w:eastAsia="Courier New" w:hAnsi="Courier New"/>
          <w:sz w:val="15"/>
          <w:szCs w:val="15"/>
          <w:color w:val="auto"/>
        </w:rPr>
        <w:t>Exhibit 23.0</w:t>
      </w:r>
    </w:p>
    <w:p>
      <w:pPr>
        <w:spacing w:after="0" w:line="200" w:lineRule="exact"/>
        <w:rPr>
          <w:sz w:val="20"/>
          <w:szCs w:val="20"/>
          <w:color w:val="auto"/>
        </w:rPr>
      </w:pPr>
    </w:p>
    <w:p>
      <w:pPr>
        <w:spacing w:after="0" w:line="30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44"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filed on January 27, 1998 (Registration No. 333-44999), Registration Statement on Form S-8 filed on August 25, 1998 (Registration No.</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333-62217) and Registration Statement on Form S-3 filed on November 5, 1998 (Registration No. 333-64915) of Ocwen Financial Corporation of our report dated March 11, 2003 relating to the financial statements, which appears on page 70 of the 2002 Annual Report to Shareholders, which is incorporated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West Palm Beach, Florida</w:t>
      </w:r>
    </w:p>
    <w:p>
      <w:pPr>
        <w:spacing w:after="0"/>
        <w:rPr>
          <w:sz w:val="20"/>
          <w:szCs w:val="20"/>
          <w:color w:val="auto"/>
        </w:rPr>
      </w:pPr>
      <w:r>
        <w:rPr>
          <w:rFonts w:ascii="Courier New" w:cs="Courier New" w:eastAsia="Courier New" w:hAnsi="Courier New"/>
          <w:sz w:val="15"/>
          <w:szCs w:val="15"/>
          <w:color w:val="auto"/>
        </w:rPr>
        <w:t>March 28, 2003</w:t>
      </w:r>
    </w:p>
    <w:p>
      <w:pPr>
        <w:sectPr>
          <w:pgSz w:w="11900" w:h="16838" w:orient="portrait"/>
          <w:cols w:equalWidth="0" w:num="1">
            <w:col w:w="10219"/>
          </w:cols>
          <w:pgMar w:left="240" w:top="136" w:right="1440" w:bottom="1440" w:gutter="0" w:footer="0" w:header="0"/>
        </w:sectPr>
      </w:pPr>
    </w:p>
    <w:bookmarkStart w:id="153" w:name="page154"/>
    <w:bookmarkEnd w:id="153"/>
    <w:p>
      <w:pPr>
        <w:jc w:val="right"/>
        <w:ind w:right="3179"/>
        <w:spacing w:after="0"/>
        <w:rPr>
          <w:sz w:val="20"/>
          <w:szCs w:val="20"/>
          <w:color w:val="auto"/>
        </w:rPr>
      </w:pPr>
      <w:r>
        <w:rPr>
          <w:rFonts w:ascii="Courier New" w:cs="Courier New" w:eastAsia="Courier New" w:hAnsi="Courier New"/>
          <w:sz w:val="15"/>
          <w:szCs w:val="15"/>
          <w:color w:val="auto"/>
        </w:rPr>
        <w:t>Exhibit 24.0</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POWER OF ATTORNEY</w:t>
      </w:r>
    </w:p>
    <w:p>
      <w:pPr>
        <w:ind w:left="28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KNOW ALL MEN BY THESE PRESENT, that each of the undersigned Directors of Ocwen Financial Corporation, a Florida corporation ("Corporation"), which is about to file with the Securities and Exchange Commission, Washington, D.C. 20549, under the provisions of the Securities Exchange Act of 1934, as amended, an Annual Report on Form 10-K ("Report") for the fiscal year ended December 31, 2002, hereby constitutes and appoints William C. Erbey as his true and lawful attorneys-in-fact and agents, and each of them with full power to act without the other in his stead, in any and all capacities, to sign the 2002 Annual Report of Ocwen Financial Corporation on Form 10-K and to file on behalf of the Corporation such Report and amendments with all exhibits thereto, and any and all other information and documents in connection therewith, with the Securities and Exchange Commission, hereby granting unto said attorneys-in-fact and agents, and each of them, full power and authority to do and perform any and all acts and things requisite and ratifying and confirming all that each said attorneys-in-fact and agents or any one of them, may lawfully do or cause to be done by virtue hereof.</w:t>
      </w:r>
    </w:p>
    <w:p>
      <w:pPr>
        <w:spacing w:after="0" w:line="18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 WITNESS WHEREOF, the undersigned have hereunto set their hands on the date indicated below:</w:t>
      </w:r>
    </w:p>
    <w:p>
      <w:pPr>
        <w:sectPr>
          <w:pgSz w:w="11900" w:h="16838" w:orient="portrait"/>
          <w:cols w:equalWidth="0" w:num="1">
            <w:col w:w="10219"/>
          </w:cols>
          <w:pgMar w:left="240" w:top="136"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H. LACY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William H. Lacy</w:t>
      </w:r>
    </w:p>
    <w:p>
      <w:pPr>
        <w:spacing w:after="0"/>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THOMAS F. LEWIS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Thomas F. Lewis</w:t>
      </w:r>
    </w:p>
    <w:p>
      <w:pPr>
        <w:spacing w:after="0"/>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W. MICHAEL LINN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W. Michael Linn</w:t>
      </w:r>
    </w:p>
    <w:p>
      <w:pPr>
        <w:spacing w:after="0"/>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W. C. MARTIN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W. C. Martin</w:t>
      </w:r>
    </w:p>
    <w:p>
      <w:pPr>
        <w:spacing w:after="0"/>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HERBERT A. TASKER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Herbert A. Tasker</w:t>
      </w:r>
    </w:p>
    <w:p>
      <w:pPr>
        <w:spacing w:after="0"/>
        <w:rPr>
          <w:sz w:val="20"/>
          <w:szCs w:val="20"/>
          <w:color w:val="auto"/>
        </w:rPr>
      </w:pPr>
      <w:r>
        <w:rPr>
          <w:rFonts w:ascii="Courier New" w:cs="Courier New" w:eastAsia="Courier New" w:hAnsi="Courier New"/>
          <w:sz w:val="15"/>
          <w:szCs w:val="15"/>
          <w:color w:val="auto"/>
        </w:rPr>
        <w:t>Title: Director</w:t>
      </w:r>
    </w:p>
    <w:p>
      <w:pPr>
        <w:spacing w:after="0" w:line="169"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BARRY N. WISH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Barry N. Wish</w:t>
      </w:r>
    </w:p>
    <w:p>
      <w:pPr>
        <w:spacing w:after="0"/>
        <w:rPr>
          <w:sz w:val="20"/>
          <w:szCs w:val="20"/>
          <w:color w:val="auto"/>
        </w:rPr>
      </w:pPr>
      <w:r>
        <w:rPr>
          <w:rFonts w:ascii="Courier New" w:cs="Courier New" w:eastAsia="Courier New" w:hAnsi="Courier New"/>
          <w:sz w:val="15"/>
          <w:szCs w:val="15"/>
          <w:color w:val="auto"/>
        </w:rPr>
        <w:t>Title: Director</w:t>
      </w:r>
    </w:p>
    <w:p>
      <w:pPr>
        <w:sectPr>
          <w:pgSz w:w="11900" w:h="16838" w:orient="portrait"/>
          <w:cols w:equalWidth="0" w:num="2">
            <w:col w:w="3320" w:space="720"/>
            <w:col w:w="6179"/>
          </w:cols>
          <w:pgMar w:left="240" w:top="136" w:right="1440" w:bottom="1440" w:gutter="0" w:footer="0" w:header="0"/>
          <w:type w:val="continuous"/>
        </w:sectPr>
      </w:pPr>
    </w:p>
    <w:bookmarkStart w:id="154" w:name="page155"/>
    <w:bookmarkEnd w:id="154"/>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CERTIFICATION PURSUANT TO 18 U.S.C. SECTION 1350,</w:t>
      </w:r>
    </w:p>
    <w:p>
      <w:pPr>
        <w:ind w:left="2030"/>
        <w:spacing w:after="0"/>
        <w:rPr>
          <w:sz w:val="20"/>
          <w:szCs w:val="20"/>
          <w:color w:val="auto"/>
        </w:rPr>
      </w:pPr>
      <w:r>
        <w:rPr>
          <w:rFonts w:ascii="Courier New" w:cs="Courier New" w:eastAsia="Courier New" w:hAnsi="Courier New"/>
          <w:sz w:val="15"/>
          <w:szCs w:val="15"/>
          <w:color w:val="auto"/>
        </w:rPr>
        <w:t>AS ADOPTED PURSUANT TO SECTION 906</w:t>
      </w:r>
    </w:p>
    <w:p>
      <w:pPr>
        <w:ind w:left="2110"/>
        <w:spacing w:after="0"/>
        <w:rPr>
          <w:sz w:val="20"/>
          <w:szCs w:val="20"/>
          <w:color w:val="auto"/>
        </w:rPr>
      </w:pPr>
      <w:r>
        <w:rPr>
          <w:rFonts w:ascii="Courier New" w:cs="Courier New" w:eastAsia="Courier New" w:hAnsi="Courier New"/>
          <w:sz w:val="15"/>
          <w:szCs w:val="15"/>
          <w:color w:val="auto"/>
        </w:rPr>
        <w:t>OF THE SARBANES-OXLEY ACT OF 2002</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William C. Erbey, state and attest that:</w:t>
      </w:r>
    </w:p>
    <w:p>
      <w:pPr>
        <w:spacing w:after="0" w:line="175" w:lineRule="exact"/>
        <w:rPr>
          <w:sz w:val="20"/>
          <w:szCs w:val="20"/>
          <w:color w:val="auto"/>
        </w:rPr>
      </w:pPr>
    </w:p>
    <w:p>
      <w:pPr>
        <w:ind w:left="790" w:right="3439" w:hanging="790"/>
        <w:spacing w:after="0" w:line="235" w:lineRule="auto"/>
        <w:tabs>
          <w:tab w:leader="none" w:pos="79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Executive Officer of Ocwen Financial Corporation (the "Registrant").</w:t>
      </w:r>
    </w:p>
    <w:p>
      <w:pPr>
        <w:spacing w:after="0" w:line="175" w:lineRule="exact"/>
        <w:rPr>
          <w:rFonts w:ascii="Courier New" w:cs="Courier New" w:eastAsia="Courier New" w:hAnsi="Courier New"/>
          <w:sz w:val="15"/>
          <w:szCs w:val="15"/>
          <w:color w:val="auto"/>
        </w:rPr>
      </w:pPr>
    </w:p>
    <w:p>
      <w:pPr>
        <w:ind w:left="790" w:right="3799" w:hanging="790"/>
        <w:spacing w:after="0" w:line="265" w:lineRule="auto"/>
        <w:tabs>
          <w:tab w:leader="none" w:pos="79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pacing w:after="0" w:line="158" w:lineRule="exact"/>
        <w:rPr>
          <w:rFonts w:ascii="Courier New" w:cs="Courier New" w:eastAsia="Courier New" w:hAnsi="Courier New"/>
          <w:sz w:val="14"/>
          <w:szCs w:val="14"/>
          <w:color w:val="auto"/>
        </w:rPr>
      </w:pPr>
    </w:p>
    <w:p>
      <w:pPr>
        <w:ind w:left="1590" w:right="3259" w:hanging="79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Annual Report on Form 10-K of the Registrant for the year ended December 31, 2002 (the "periodic report") containing financial statements fully complies with the requirements of Section 13(a) or 15(d) of the Securities Exchange Act of 1934 (15 U.S.C. 78m or 78o(d); and</w:t>
      </w:r>
    </w:p>
    <w:p>
      <w:pPr>
        <w:spacing w:after="0" w:line="178" w:lineRule="exact"/>
        <w:rPr>
          <w:rFonts w:ascii="Courier New" w:cs="Courier New" w:eastAsia="Courier New" w:hAnsi="Courier New"/>
          <w:sz w:val="14"/>
          <w:szCs w:val="14"/>
          <w:color w:val="auto"/>
        </w:rPr>
      </w:pPr>
    </w:p>
    <w:p>
      <w:pPr>
        <w:ind w:left="1590" w:right="3259" w:hanging="79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information contained in the periodic report fairly represents, in all material respects, the financial condition and results of operations of the Registrant for the periods presented.</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 WILLIAM C. ERBEY</w:t>
            </w:r>
          </w:p>
        </w:tc>
      </w:tr>
      <w:tr>
        <w:trPr>
          <w:trHeight w:val="170"/>
        </w:trPr>
        <w:tc>
          <w:tcPr>
            <w:tcW w:w="660" w:type="dxa"/>
            <w:vAlign w:val="bottom"/>
          </w:tcPr>
          <w:p>
            <w:pPr>
              <w:spacing w:after="0"/>
              <w:rPr>
                <w:sz w:val="14"/>
                <w:szCs w:val="14"/>
                <w:color w:val="auto"/>
              </w:rPr>
            </w:pP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Chief</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Executive Officer</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March</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28, 2003</w:t>
            </w:r>
          </w:p>
        </w:tc>
      </w:tr>
    </w:tbl>
    <w:p>
      <w:pPr>
        <w:spacing w:after="0" w:line="344"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Ocwen Financial Corporation and will be retained by Ocwen Financial Corporation and furnished to the Securities and Exchange Commission or its staff upon request.</w:t>
      </w:r>
    </w:p>
    <w:p>
      <w:pPr>
        <w:sectPr>
          <w:pgSz w:w="11900" w:h="16838" w:orient="portrait"/>
          <w:cols w:equalWidth="0" w:num="1">
            <w:col w:w="10229"/>
          </w:cols>
          <w:pgMar w:left="230" w:top="136" w:right="1440" w:bottom="1440" w:gutter="0" w:footer="0" w:header="0"/>
        </w:sectPr>
      </w:pPr>
    </w:p>
    <w:bookmarkStart w:id="155" w:name="page156"/>
    <w:bookmarkEnd w:id="155"/>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CERTIFICATION PURSUANT TO 18 U.S.C. SECTION 1350,</w:t>
      </w:r>
    </w:p>
    <w:p>
      <w:pPr>
        <w:ind w:left="2030"/>
        <w:spacing w:after="0"/>
        <w:rPr>
          <w:sz w:val="20"/>
          <w:szCs w:val="20"/>
          <w:color w:val="auto"/>
        </w:rPr>
      </w:pPr>
      <w:r>
        <w:rPr>
          <w:rFonts w:ascii="Courier New" w:cs="Courier New" w:eastAsia="Courier New" w:hAnsi="Courier New"/>
          <w:sz w:val="15"/>
          <w:szCs w:val="15"/>
          <w:color w:val="auto"/>
        </w:rPr>
        <w:t>AS ADOPTED PURSUANT TO SECTION 906</w:t>
      </w:r>
    </w:p>
    <w:p>
      <w:pPr>
        <w:ind w:left="2110"/>
        <w:spacing w:after="0"/>
        <w:rPr>
          <w:sz w:val="20"/>
          <w:szCs w:val="20"/>
          <w:color w:val="auto"/>
        </w:rPr>
      </w:pPr>
      <w:r>
        <w:rPr>
          <w:rFonts w:ascii="Courier New" w:cs="Courier New" w:eastAsia="Courier New" w:hAnsi="Courier New"/>
          <w:sz w:val="15"/>
          <w:szCs w:val="15"/>
          <w:color w:val="auto"/>
        </w:rPr>
        <w:t>OF THE SARBANES-OXLEY ACT OF 2002</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Mark S. Zeidman, state and attest that:</w:t>
      </w:r>
    </w:p>
    <w:p>
      <w:pPr>
        <w:spacing w:after="0" w:line="175" w:lineRule="exact"/>
        <w:rPr>
          <w:sz w:val="20"/>
          <w:szCs w:val="20"/>
          <w:color w:val="auto"/>
        </w:rPr>
      </w:pPr>
    </w:p>
    <w:p>
      <w:pPr>
        <w:ind w:left="790" w:right="3439" w:hanging="790"/>
        <w:spacing w:after="0" w:line="235" w:lineRule="auto"/>
        <w:tabs>
          <w:tab w:leader="none" w:pos="79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Financial Officer of Ocwen Financial Corporation (the "Registrant").</w:t>
      </w:r>
    </w:p>
    <w:p>
      <w:pPr>
        <w:spacing w:after="0" w:line="175" w:lineRule="exact"/>
        <w:rPr>
          <w:rFonts w:ascii="Courier New" w:cs="Courier New" w:eastAsia="Courier New" w:hAnsi="Courier New"/>
          <w:sz w:val="15"/>
          <w:szCs w:val="15"/>
          <w:color w:val="auto"/>
        </w:rPr>
      </w:pPr>
    </w:p>
    <w:p>
      <w:pPr>
        <w:ind w:left="790" w:right="3799" w:hanging="790"/>
        <w:spacing w:after="0" w:line="265" w:lineRule="auto"/>
        <w:tabs>
          <w:tab w:leader="none" w:pos="79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pacing w:after="0" w:line="158" w:lineRule="exact"/>
        <w:rPr>
          <w:rFonts w:ascii="Courier New" w:cs="Courier New" w:eastAsia="Courier New" w:hAnsi="Courier New"/>
          <w:sz w:val="14"/>
          <w:szCs w:val="14"/>
          <w:color w:val="auto"/>
        </w:rPr>
      </w:pPr>
    </w:p>
    <w:p>
      <w:pPr>
        <w:ind w:left="1590" w:right="3259" w:hanging="79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Annual Report on Form 10-K of the Registrant for the year ended December 31, 2002 (the "periodic report") containing financial statements fully complies with the requirements of Section 13(a) or 15(d) of the Securities Exchange Act of 1934 (15 U.S.C. 78m or 78o(d); and</w:t>
      </w:r>
    </w:p>
    <w:p>
      <w:pPr>
        <w:spacing w:after="0" w:line="178" w:lineRule="exact"/>
        <w:rPr>
          <w:rFonts w:ascii="Courier New" w:cs="Courier New" w:eastAsia="Courier New" w:hAnsi="Courier New"/>
          <w:sz w:val="14"/>
          <w:szCs w:val="14"/>
          <w:color w:val="auto"/>
        </w:rPr>
      </w:pPr>
    </w:p>
    <w:p>
      <w:pPr>
        <w:ind w:left="1590" w:right="3259" w:hanging="79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information contained in the periodic report fairly represents, in all material respects, the financial condition and results of operations of the Registrant for the periods presented.</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 MARK S. ZEIDMAN</w:t>
            </w:r>
          </w:p>
        </w:tc>
      </w:tr>
      <w:tr>
        <w:trPr>
          <w:trHeight w:val="170"/>
        </w:trPr>
        <w:tc>
          <w:tcPr>
            <w:tcW w:w="660" w:type="dxa"/>
            <w:vAlign w:val="bottom"/>
          </w:tcPr>
          <w:p>
            <w:pPr>
              <w:spacing w:after="0"/>
              <w:rPr>
                <w:sz w:val="14"/>
                <w:szCs w:val="14"/>
                <w:color w:val="auto"/>
              </w:rPr>
            </w:pP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Chief</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Financial Officer</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March</w:t>
            </w:r>
          </w:p>
        </w:tc>
        <w:tc>
          <w:tcPr>
            <w:tcW w:w="2160" w:type="dxa"/>
            <w:vAlign w:val="bottom"/>
          </w:tcPr>
          <w:p>
            <w:pPr>
              <w:ind w:left="60"/>
              <w:spacing w:after="0"/>
              <w:rPr>
                <w:sz w:val="20"/>
                <w:szCs w:val="20"/>
                <w:color w:val="auto"/>
              </w:rPr>
            </w:pPr>
            <w:r>
              <w:rPr>
                <w:rFonts w:ascii="Courier New" w:cs="Courier New" w:eastAsia="Courier New" w:hAnsi="Courier New"/>
                <w:sz w:val="15"/>
                <w:szCs w:val="15"/>
                <w:color w:val="auto"/>
              </w:rPr>
              <w:t>28, 2003</w:t>
            </w:r>
          </w:p>
        </w:tc>
      </w:tr>
    </w:tbl>
    <w:p>
      <w:pPr>
        <w:spacing w:after="0" w:line="344"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Ocwen Financial Corporation and will be retained by Ocwen Financial Corporation and furnished to the Securities and Exchange Commission or its staff upon request.</w:t>
      </w:r>
    </w:p>
    <w:sectPr>
      <w:pgSz w:w="11900" w:h="16838" w:orient="portrait"/>
      <w:cols w:equalWidth="0" w:num="1">
        <w:col w:w="10229"/>
      </w:cols>
      <w:pgMar w:left="23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o"/>
      <w:numFmt w:val="bullet"/>
      <w:start w:val="1"/>
    </w:lvl>
  </w:abstractNum>
  <w:abstractNum w:abstractNumId="3">
    <w:nsid w:val="70C6A529"/>
    <w:multiLevelType w:val="hybridMultilevel"/>
    <w:lvl w:ilvl="0">
      <w:lvlJc w:val="left"/>
      <w:lvlText w:val="o"/>
      <w:numFmt w:val="bullet"/>
      <w:start w:val="1"/>
    </w:lvl>
  </w:abstractNum>
  <w:abstractNum w:abstractNumId="4">
    <w:nsid w:val="520EEDD1"/>
    <w:multiLevelType w:val="hybridMultilevel"/>
    <w:lvl w:ilvl="0">
      <w:lvlJc w:val="left"/>
      <w:lvlText w:val="o"/>
      <w:numFmt w:val="bullet"/>
      <w:start w:val="1"/>
    </w:lvl>
  </w:abstractNum>
  <w:abstractNum w:abstractNumId="5">
    <w:nsid w:val="374A3FE6"/>
    <w:multiLevelType w:val="hybridMultilevel"/>
    <w:lvl w:ilvl="0">
      <w:lvlJc w:val="left"/>
      <w:lvlText w:val="o"/>
      <w:numFmt w:val="bullet"/>
      <w:start w:val="1"/>
    </w:lvl>
  </w:abstractNum>
  <w:abstractNum w:abstractNumId="6">
    <w:nsid w:val="4F4EF005"/>
    <w:multiLevelType w:val="hybridMultilevel"/>
    <w:lvl w:ilvl="0">
      <w:lvlJc w:val="left"/>
      <w:lvlText w:val="o"/>
      <w:numFmt w:val="bullet"/>
      <w:start w:val="1"/>
    </w:lvl>
  </w:abstractNum>
  <w:abstractNum w:abstractNumId="7">
    <w:nsid w:val="23F9C13C"/>
    <w:multiLevelType w:val="hybridMultilevel"/>
    <w:lvl w:ilvl="0">
      <w:lvlJc w:val="left"/>
      <w:lvlText w:val="o"/>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lowerLetter"/>
      <w:start w:val="1"/>
    </w:lvl>
    <w:lvl w:ilvl="1">
      <w:lvlJc w:val="left"/>
      <w:lvlText w:val="(%2)"/>
      <w:numFmt w:val="decimal"/>
      <w:start w:val="6"/>
    </w:lvl>
  </w:abstractNum>
  <w:abstractNum w:abstractNumId="16">
    <w:nsid w:val="15B5AF5C"/>
    <w:multiLevelType w:val="hybridMultilevel"/>
    <w:lvl w:ilvl="0">
      <w:lvlJc w:val="left"/>
      <w:lvlText w:val="(%1)"/>
      <w:numFmt w:val="lowerLetter"/>
      <w:start w:val="2"/>
    </w:lvl>
    <w:lvl w:ilvl="1">
      <w:lvlJc w:val="left"/>
      <w:lvlText w:val="(%2)"/>
      <w:numFmt w:val="decimal"/>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lvl w:ilvl="1">
      <w:lvlJc w:val="left"/>
      <w:lvlText w:val="%2)"/>
      <w:numFmt w:val="lowerLetter"/>
      <w:start w:val="1"/>
    </w:lvl>
  </w:abstractNum>
  <w:abstractNum w:abstractNumId="27">
    <w:nsid w:val="2F305DEF"/>
    <w:multiLevelType w:val="hybridMultilevel"/>
    <w:lvl w:ilvl="0">
      <w:lvlJc w:val="left"/>
      <w:lvlText w:val="%1."/>
      <w:numFmt w:val="decimal"/>
      <w:start w:val="1"/>
    </w:lvl>
    <w:lvl w:ilvl="1">
      <w:lvlJc w:val="left"/>
      <w:lvlText w:val="%2)"/>
      <w:numFmt w:val="lowerLetter"/>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3"/>
    </w:lvl>
  </w:abstractNum>
  <w:abstractNum w:abstractNumId="32">
    <w:nsid w:val="1381823A"/>
    <w:multiLevelType w:val="hybridMultilevel"/>
    <w:lvl w:ilvl="0">
      <w:lvlJc w:val="left"/>
      <w:lvlText w:val="(%1)"/>
      <w:numFmt w:val="decimal"/>
      <w:start w:val="14"/>
    </w:lvl>
  </w:abstractNum>
  <w:abstractNum w:abstractNumId="33">
    <w:nsid w:val="5DB70AE5"/>
    <w:multiLevelType w:val="hybridMultilevel"/>
    <w:lvl w:ilvl="0">
      <w:lvlJc w:val="left"/>
      <w:lvlText w:val="o"/>
      <w:numFmt w:val="bullet"/>
      <w:start w:val="1"/>
    </w:lvl>
  </w:abstractNum>
  <w:abstractNum w:abstractNumId="34">
    <w:nsid w:val="100F8FCA"/>
    <w:multiLevelType w:val="hybridMultilevel"/>
    <w:lvl w:ilvl="0">
      <w:lvlJc w:val="left"/>
      <w:lvlText w:val="o"/>
      <w:numFmt w:val="bullet"/>
      <w:start w:val="1"/>
    </w:lvl>
  </w:abstractNum>
  <w:abstractNum w:abstractNumId="35">
    <w:nsid w:val="6590700B"/>
    <w:multiLevelType w:val="hybridMultilevel"/>
    <w:lvl w:ilvl="0">
      <w:lvlJc w:val="left"/>
      <w:lvlText w:val="o"/>
      <w:numFmt w:val="bullet"/>
      <w:start w:val="1"/>
    </w:lvl>
  </w:abstractNum>
  <w:abstractNum w:abstractNumId="36">
    <w:nsid w:val="15014ACB"/>
    <w:multiLevelType w:val="hybridMultilevel"/>
    <w:lvl w:ilvl="0">
      <w:lvlJc w:val="left"/>
      <w:lvlText w:val="o"/>
      <w:numFmt w:val="bullet"/>
      <w:start w:val="1"/>
    </w:lvl>
  </w:abstractNum>
  <w:abstractNum w:abstractNumId="37">
    <w:nsid w:val="5F5E7FD0"/>
    <w:multiLevelType w:val="hybridMultilevel"/>
    <w:lvl w:ilvl="0">
      <w:lvlJc w:val="left"/>
      <w:lvlText w:val="o"/>
      <w:numFmt w:val="bullet"/>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o"/>
      <w:numFmt w:val="bullet"/>
      <w:start w:val="1"/>
    </w:lvl>
  </w:abstractNum>
  <w:abstractNum w:abstractNumId="40">
    <w:nsid w:val="6B94764"/>
    <w:multiLevelType w:val="hybridMultilevel"/>
    <w:lvl w:ilvl="0">
      <w:lvlJc w:val="left"/>
      <w:lvlText w:val="o"/>
      <w:numFmt w:val="bullet"/>
      <w:start w:val="1"/>
    </w:lvl>
  </w:abstractNum>
  <w:abstractNum w:abstractNumId="41">
    <w:nsid w:val="42C296BD"/>
    <w:multiLevelType w:val="hybridMultilevel"/>
    <w:lvl w:ilvl="0">
      <w:lvlJc w:val="left"/>
      <w:lvlText w:val="o"/>
      <w:numFmt w:val="bullet"/>
      <w:start w:val="1"/>
    </w:lvl>
  </w:abstractNum>
  <w:abstractNum w:abstractNumId="42">
    <w:nsid w:val="168E121F"/>
    <w:multiLevelType w:val="hybridMultilevel"/>
    <w:lvl w:ilvl="0">
      <w:lvlJc w:val="left"/>
      <w:lvlText w:val="o"/>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lvl>
    <w:lvl w:ilvl="1">
      <w:lvlJc w:val="left"/>
      <w:lvlText w:val="$"/>
      <w:numFmt w:val="bullet"/>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3"/>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1"/>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o"/>
      <w:numFmt w:val="bullet"/>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o"/>
      <w:numFmt w:val="bullet"/>
      <w:start w:val="1"/>
    </w:lvl>
  </w:abstractNum>
  <w:abstractNum w:abstractNumId="76">
    <w:nsid w:val="74DE0EE3"/>
    <w:multiLevelType w:val="hybridMultilevel"/>
    <w:lvl w:ilvl="0">
      <w:lvlJc w:val="left"/>
      <w:lvlText w:val="o"/>
      <w:numFmt w:val="bullet"/>
      <w:start w:val="1"/>
    </w:lvl>
  </w:abstractNum>
  <w:abstractNum w:abstractNumId="77">
    <w:nsid w:val="68EBC550"/>
    <w:multiLevelType w:val="hybridMultilevel"/>
    <w:lvl w:ilvl="0">
      <w:lvlJc w:val="left"/>
      <w:lvlText w:val="o"/>
      <w:numFmt w:val="bullet"/>
      <w:start w:val="1"/>
    </w:lvl>
  </w:abstractNum>
  <w:abstractNum w:abstractNumId="78">
    <w:nsid w:val="2DF6D648"/>
    <w:multiLevelType w:val="hybridMultilevel"/>
    <w:lvl w:ilvl="0">
      <w:lvlJc w:val="left"/>
      <w:lvlText w:val="o"/>
      <w:numFmt w:val="bullet"/>
      <w:start w:val="1"/>
    </w:lvl>
  </w:abstractNum>
  <w:abstractNum w:abstractNumId="79">
    <w:nsid w:val="46B7D447"/>
    <w:multiLevelType w:val="hybridMultilevel"/>
    <w:lvl w:ilvl="0">
      <w:lvlJc w:val="left"/>
      <w:lvlText w:val="o"/>
      <w:numFmt w:val="bullet"/>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o"/>
      <w:numFmt w:val="bullet"/>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1)"/>
      <w:numFmt w:val="decimal"/>
      <w:start w:val="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637"/>
    </w:lvl>
  </w:abstractNum>
  <w:abstractNum w:abstractNumId="91">
    <w:nsid w:val="50801EE1"/>
    <w:multiLevelType w:val="hybridMultilevel"/>
    <w:lvl w:ilvl="0">
      <w:lvlJc w:val="left"/>
      <w:lvlText w:val="(%1)"/>
      <w:numFmt w:val="decimal"/>
    </w:lvl>
    <w:lvl w:ilvl="1">
      <w:lvlJc w:val="left"/>
      <w:lvlText w:val="$"/>
      <w:numFmt w:val="bullet"/>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o"/>
      <w:numFmt w:val="bullet"/>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1"/>
    </w:lvl>
  </w:abstractNum>
  <w:abstractNum w:abstractNumId="98">
    <w:nsid w:val="7D5E18F8"/>
    <w:multiLevelType w:val="hybridMultilevel"/>
    <w:lvl w:ilvl="0">
      <w:lvlJc w:val="left"/>
      <w:lvlText w:val="o"/>
      <w:numFmt w:val="bullet"/>
      <w:start w:val="1"/>
    </w:lvl>
  </w:abstractNum>
  <w:abstractNum w:abstractNumId="99">
    <w:nsid w:val="5F3534A4"/>
    <w:multiLevelType w:val="hybridMultilevel"/>
    <w:lvl w:ilvl="0">
      <w:lvlJc w:val="left"/>
      <w:lvlText w:val="o"/>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2019-12-20T08:07:41Z</dcterms:created>
  <dcterms:modified xsi:type="dcterms:W3CDTF">2019-12-20T08:07:41Z</dcterms:modified>
</cp:coreProperties>
</file>