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8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August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36"/>
        </w:rPr>
      </w:pPr>
      <w:bookmarkStart w:id="4" w:name="xdx_901_edei--EntityRegistrantName_c2026"/>
      <w:bookmarkEnd w:id="4"/>
      <w:r>
        <w:rPr>
          <w:rFonts w:ascii="Times New Roman;Times;Serif" w:hAnsi="Times New Roman;Times;Serif"/>
          <w:b/>
          <w:i w:val="false"/>
          <w:caps/>
          <w:sz w:val="36"/>
        </w:rPr>
        <w:t>onity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Florida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60806"/>
            <w:bookmarkEnd w:id="6"/>
            <w:r>
              <w:rPr>
                <w:rFonts w:ascii="Times New Roman;Times;Serif" w:hAnsi="Times New Roman;Times;Serif"/>
                <w:b/>
                <w:i w:val="false"/>
                <w:caps w:val="false"/>
                <w:smallCaps w:val="false"/>
                <w:sz w:val="20"/>
              </w:rPr>
              <w:t>1-13219</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A_edei--EntityTaxIdentificationNum"/>
            <w:bookmarkEnd w:id="7"/>
            <w:r>
              <w:rPr>
                <w:rFonts w:ascii="Times New Roman;Times;Serif" w:hAnsi="Times New Roman;Times;Serif"/>
                <w:b/>
                <w:i w:val="false"/>
                <w:caps w:val="false"/>
                <w:smallCaps w:val="false"/>
                <w:sz w:val="20"/>
              </w:rPr>
              <w:t>65-0039856</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1661 Worthington Road, </w:t>
      </w:r>
      <w:bookmarkStart w:id="9" w:name="xdx_90C_edei--EntityAddressAddressLine2_"/>
      <w:bookmarkEnd w:id="9"/>
      <w:r>
        <w:rPr>
          <w:rFonts w:ascii="Times New Roman;Times;Serif" w:hAnsi="Times New Roman;Times;Serif"/>
          <w:b/>
          <w:i w:val="false"/>
          <w:caps w:val="false"/>
          <w:smallCaps w:val="false"/>
          <w:sz w:val="20"/>
        </w:rPr>
        <w:t>Suite 100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West Palm Beach, </w:t>
      </w:r>
      <w:bookmarkStart w:id="11" w:name="xdx_905_edei--EntityAddressStateOrProvin"/>
      <w:bookmarkEnd w:id="11"/>
      <w:r>
        <w:rPr>
          <w:rFonts w:ascii="Times New Roman;Times;Serif" w:hAnsi="Times New Roman;Times;Serif"/>
          <w:b/>
          <w:i w:val="false"/>
          <w:caps w:val="false"/>
          <w:smallCaps w:val="false"/>
          <w:sz w:val="20"/>
        </w:rPr>
        <w:t xml:space="preserve">Florida </w:t>
      </w:r>
      <w:bookmarkStart w:id="12" w:name="xdx_904_edei--EntityAddressPostalZipCode"/>
      <w:bookmarkEnd w:id="12"/>
      <w:r>
        <w:rPr>
          <w:rFonts w:ascii="Times New Roman;Times;Serif" w:hAnsi="Times New Roman;Times;Serif"/>
          <w:b/>
          <w:i w:val="false"/>
          <w:caps w:val="false"/>
          <w:smallCaps w:val="false"/>
          <w:sz w:val="20"/>
        </w:rPr>
        <w:t>33409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0_edei--CityAreaCode_c20260806__20"/>
      <w:bookmarkEnd w:id="13"/>
      <w:r>
        <w:rPr>
          <w:rFonts w:ascii="Times New Roman;Times;Serif" w:hAnsi="Times New Roman;Times;Serif"/>
          <w:b/>
          <w:i w:val="false"/>
          <w:caps w:val="false"/>
          <w:smallCaps w:val="false"/>
          <w:sz w:val="20"/>
        </w:rPr>
        <w:t xml:space="preserve">(561) </w:t>
      </w:r>
      <w:bookmarkStart w:id="14" w:name="xdx_900_edei--LocalPhoneNumber_c20260806"/>
      <w:bookmarkEnd w:id="14"/>
      <w:r>
        <w:rPr>
          <w:rFonts w:ascii="Times New Roman;Times;Serif" w:hAnsi="Times New Roman;Times;Serif"/>
          <w:b/>
          <w:i w:val="false"/>
          <w:caps w:val="false"/>
          <w:smallCaps w:val="false"/>
          <w:sz w:val="20"/>
        </w:rPr>
        <w:t>682-8000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A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F_edei--SolicitingMaterial_c202608"/>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6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B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7920" w:type="dxa"/>
        <w:jc w:val="left"/>
        <w:tblInd w:w="0" w:type="dxa"/>
        <w:tblLayout w:type="fixed"/>
        <w:tblCellMar>
          <w:top w:w="0" w:type="dxa"/>
          <w:left w:w="0" w:type="dxa"/>
          <w:bottom w:w="28" w:type="dxa"/>
          <w:right w:w="0" w:type="dxa"/>
        </w:tblCellMar>
      </w:tblPr>
      <w:tblGrid>
        <w:gridCol w:w="2675"/>
        <w:gridCol w:w="60"/>
        <w:gridCol w:w="1535"/>
        <w:gridCol w:w="60"/>
        <w:gridCol w:w="3590"/>
      </w:tblGrid>
      <w:tr>
        <w:trPr/>
        <w:tc>
          <w:tcPr>
            <w:tcW w:w="26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2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Security12bTitle_c20260806"/>
            <w:bookmarkEnd w:id="19"/>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TradingSymbol_c20260806__2"/>
            <w:bookmarkEnd w:id="20"/>
            <w:r>
              <w:rPr>
                <w:rFonts w:ascii="Times New Roman;Times;Serif" w:hAnsi="Times New Roman;Times;Serif"/>
                <w:b w:val="false"/>
                <w:i w:val="false"/>
                <w:caps w:val="false"/>
                <w:smallCaps w:val="false"/>
                <w:sz w:val="20"/>
              </w:rPr>
              <w:t>ONIT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D_edei--SecurityExchangeName_c2026"/>
            <w:bookmarkEnd w:id="21"/>
            <w:r>
              <w:rPr>
                <w:rFonts w:ascii="Times New Roman;Times;Serif" w:hAnsi="Times New Roman;Times;Serif"/>
                <w:b w:val="false"/>
                <w:i w:val="false"/>
                <w:caps w:val="false"/>
                <w:smallCaps w:val="false"/>
                <w:sz w:val="20"/>
              </w:rPr>
              <w:t>New York Stock Exchange (NYSE)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860"/>
        <w:gridCol w:w="3965"/>
      </w:tblGrid>
      <w:tr>
        <w:trPr/>
        <w:tc>
          <w:tcPr>
            <w:tcW w:w="8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Item 2.02 </w:t>
            </w:r>
          </w:p>
        </w:tc>
        <w:tc>
          <w:tcPr>
            <w:tcW w:w="39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Onity Group Inc. issued a press release announcing results for the second quarter ended June 30, 2026 and providing a business update. A copy of the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and the information in the related exhibit attached hereto shall not be deemed to be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815"/>
        <w:gridCol w:w="2945"/>
      </w:tblGrid>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9.01</w:t>
            </w:r>
          </w:p>
        </w:tc>
        <w:tc>
          <w:tcPr>
            <w:tcW w:w="29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of Onity Group Inc. dated August 6, 2026 announcing financial results for the second quarter ended June 30, 2026</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in online XBRL (included as Exhibit 101)</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3975" w:type="dxa"/>
        <w:jc w:val="left"/>
        <w:tblInd w:w="0" w:type="dxa"/>
        <w:tblLayout w:type="fixed"/>
        <w:tblCellMar>
          <w:top w:w="0" w:type="dxa"/>
          <w:left w:w="0" w:type="dxa"/>
          <w:bottom w:w="0" w:type="dxa"/>
          <w:right w:w="0" w:type="dxa"/>
        </w:tblCellMar>
      </w:tblPr>
      <w:tblGrid>
        <w:gridCol w:w="1760"/>
        <w:gridCol w:w="320"/>
        <w:gridCol w:w="1895"/>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ONITY GROUP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Sean B. O’Neil</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B. O’Neil</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tbl>
      <w:tblPr>
        <w:tblW w:w="4385" w:type="dxa"/>
        <w:jc w:val="left"/>
        <w:tblInd w:w="0" w:type="dxa"/>
        <w:tblLayout w:type="fixed"/>
        <w:tblCellMar>
          <w:top w:w="0" w:type="dxa"/>
          <w:left w:w="0" w:type="dxa"/>
          <w:bottom w:w="0" w:type="dxa"/>
          <w:right w:w="0" w:type="dxa"/>
        </w:tblCellMar>
      </w:tblPr>
      <w:tblGrid>
        <w:gridCol w:w="2595"/>
        <w:gridCol w:w="1790"/>
      </w:tblGrid>
      <w:tr>
        <w:trPr/>
        <w:tc>
          <w:tcPr>
            <w:tcW w:w="2595" w:type="dxa"/>
            <w:tcBorders/>
            <w:vAlign w:val="center"/>
          </w:tcPr>
          <w:p>
            <w:pPr>
              <w:pStyle w:val="TableContents"/>
              <w:bidi w:val="0"/>
              <w:spacing w:before="0" w:after="283"/>
              <w:jc w:val="left"/>
              <w:rPr/>
            </w:pPr>
            <w:r>
              <w:rPr/>
              <w:drawing>
                <wp:inline distT="0" distB="0" distL="0" distR="0">
                  <wp:extent cx="16383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400050"/>
                          </a:xfrm>
                          <a:prstGeom prst="rect">
                            <a:avLst/>
                          </a:prstGeom>
                        </pic:spPr>
                      </pic:pic>
                    </a:graphicData>
                  </a:graphic>
                </wp:inline>
              </w:drawing>
            </w:r>
          </w:p>
        </w:tc>
        <w:tc>
          <w:tcPr>
            <w:tcW w:w="1790" w:type="dxa"/>
            <w:tcBorders/>
            <w:vAlign w:val="center"/>
          </w:tcPr>
          <w:p>
            <w:pPr>
              <w:pStyle w:val="TableContents"/>
              <w:bidi w:val="0"/>
              <w:spacing w:before="0" w:after="283"/>
              <w:jc w:val="right"/>
              <w:rPr>
                <w:b/>
              </w:rPr>
            </w:pPr>
            <w:r>
              <w:rPr>
                <w:b/>
              </w:rPr>
              <w:t>Onity Group Inc.</w:t>
            </w:r>
          </w:p>
        </w:tc>
      </w:tr>
    </w:tbl>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ONITY GROUP ANNOUNCES SECOND QUARTER 2026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origination volume and significant subservicing additions driving double-digit revenue and servicing growth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Strategically repositioned the business through reverse asset sale and transfer of legacy subservicing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West Palm Beach, FL – (August 6, 2026) – </w:t>
      </w:r>
      <w:r>
        <w:rPr>
          <w:rFonts w:ascii="Times New Roman;Times;Serif" w:hAnsi="Times New Roman;Times;Serif"/>
          <w:b w:val="false"/>
          <w:i w:val="false"/>
          <w:caps w:val="false"/>
          <w:smallCaps w:val="false"/>
          <w:sz w:val="20"/>
          <w:u w:val="single"/>
        </w:rPr>
        <w:t>Onity Group Inc.</w:t>
      </w:r>
      <w:r>
        <w:rPr>
          <w:rFonts w:ascii="Times New Roman;Times;Serif" w:hAnsi="Times New Roman;Times;Serif"/>
          <w:b w:val="false"/>
          <w:i w:val="false"/>
          <w:caps w:val="false"/>
          <w:smallCaps w:val="false"/>
          <w:sz w:val="20"/>
        </w:rPr>
        <w:t xml:space="preserve"> (NYSE: ONIT) (“Onity” or the “Company”) today announced its second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loss attributable to common stockholders of $13 million; diluted EPS of ($1.53); ROE of (8%)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pre-tax income* of $14 million, resulting in annualized adjusted ROE* of 9%</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includes $9 million pre-tax cost related to reverse asset sale and legacy subservicing transfer and $24 million pre-tax unfavorable asset fair value changes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 million in total revenue, up 15% vs Q2 2025; $281 million in adjusted revenue,* up 24% vs Q2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billion in total servicing additions, including quarterly record of over $15 billion in Originations, up 64% vs Q2 2025; $341 billion in ending servicing UPB, up 10% vs Q2 2025</w:t>
            </w:r>
          </w:p>
        </w:tc>
      </w:tr>
    </w:tbl>
    <w:p>
      <w:pPr>
        <w:pStyle w:val="TextBody"/>
        <w:bidi w:val="0"/>
        <w:spacing w:before="0" w:after="0"/>
        <w:ind w:left="547"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Outlook: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Maintained adjusted ROE* guidance range at 10% - 15%, expected to be at the lower end of the range, in light of persistent geopolitical instability, inflation, and market volatility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Reaffirming previous guidance on servicing UPB growth, MSR hedge effectiveness, and operating efficiency</w:t>
            </w:r>
          </w:p>
        </w:tc>
      </w:tr>
    </w:tbl>
    <w:p>
      <w:pPr>
        <w:pStyle w:val="TextBody"/>
        <w:bidi w:val="0"/>
        <w:spacing w:before="0" w:after="0"/>
        <w:ind w:left="547" w:right="0" w:hanging="36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Beginning with Q2 2026, we changed the methodology used to calculate Adjusted Pre-Tax Income and Adjusted ROE. See “Note Regarding Non-GAAP Financial Measures” below.</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Glen A. Messina, Chair, President and CEO of Onity Group, said, “Our second quarter results demonstrate that our growth strategy is sound and our operating fundamentals are strong. We delivered double-digit revenue and servicing UPB growth with record origination volume and significant subservicing additions. We also completed servicing portfolio repositioning actions to simplify the business, improve profitability and focus, and increase strategic flexibility. At the same time, net loss was impacted by portfolio restructuring costs as well as market-driven unfavorable asset fair value changes; however, these items do not diminish the progress we are making or the strength and direction of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Messina continued, “Onity is a top 10 non-bank servicer and originator with increasing scale, a balanced business model that is working as intended, and a modernized technology platform. With a strong foundation, simplified business and greater flexibility, we believe we are well positioned to navigate the current environment, capitalize on attractive opportunities, and continue delivering prudent growth.”</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Additional Second Quarter 2026 Operating and Business Highlights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Completed transaction with Finance of America Reverse LLC for sale of reverse assets; sold approximately 80% of reverse MSRs, based on fair value as of June 30, 2026; net proceeds of approximately $77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half 2026 subservicing additions of $35 billion exceeds prior first half guidance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Funded recapture volume up 3.1x, compared to Q2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Transferred approximately $22 billion of Rithm servicing UPB in first half 2026; $8 billion UPB remaining of which $4 billion is expected to transfer, subject to receipt of consents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Servicing advances decreased 33% vs Q2 2024 to $369 million, while owned forward servicing UPB increased 44% vs Q2 2024 to $176 billion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Repurchased 141,343 shares of Onity common stock during Q2, utilizing $5.8 million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 value per share of $73, up $13 compared to Q2 2025</w:t>
            </w:r>
          </w:p>
        </w:tc>
      </w:tr>
    </w:tbl>
    <w:p>
      <w:pPr>
        <w:pStyle w:val="TextBody"/>
        <w:bidi w:val="0"/>
        <w:spacing w:before="0" w:after="0"/>
        <w:ind w:left="547"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and 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Onity will hold a conference call on Thursday, August 6, 2026, at 8:30 a.m. (ET) to review the Company’s second quarter 2026 operating results. All interested parties are welcome to participate. You can access the conference call by dialing (800) 245-3047 or (203) 518-9765 approximately 10 minutes prior to the call; please reference the conference ID “Onity.” Participants can also access the conference call through a live audio webcast available from the Shareholder Relations page at </w:t>
      </w:r>
      <w:r>
        <w:rPr>
          <w:rFonts w:ascii="Times New Roman;Times;Serif" w:hAnsi="Times New Roman;Times;Serif"/>
          <w:b w:val="false"/>
          <w:i w:val="false"/>
          <w:caps w:val="false"/>
          <w:smallCaps w:val="false"/>
          <w:sz w:val="20"/>
          <w:u w:val="single"/>
        </w:rPr>
        <w:t>onitygroup.com</w:t>
      </w:r>
      <w:r>
        <w:rPr>
          <w:rFonts w:ascii="Times New Roman;Times;Serif" w:hAnsi="Times New Roman;Times;Serif"/>
          <w:b w:val="false"/>
          <w:i w:val="false"/>
          <w:caps w:val="false"/>
          <w:smallCaps w:val="false"/>
          <w:sz w:val="20"/>
        </w:rPr>
        <w:t xml:space="preserve"> under Events and Presentations. </w:t>
      </w:r>
      <w:r>
        <w:rPr>
          <w:rFonts w:ascii="Times New Roman;Times;Serif" w:hAnsi="Times New Roman;Times;Serif"/>
          <w:b w:val="false"/>
          <w:i w:val="false"/>
          <w:caps w:val="false"/>
          <w:smallCaps w:val="false"/>
          <w:sz w:val="20"/>
          <w:shd w:fill="FFFFFF" w:val="clear"/>
        </w:rPr>
        <w:t xml:space="preserve">An investor presentation will accompany the conference call and be available by visiting the Shareholder Relations page at </w:t>
      </w:r>
      <w:r>
        <w:rPr>
          <w:rFonts w:ascii="Times New Roman;Times;Serif" w:hAnsi="Times New Roman;Times;Serif"/>
          <w:b w:val="false"/>
          <w:i w:val="false"/>
          <w:caps w:val="false"/>
          <w:smallCaps w:val="false"/>
          <w:sz w:val="20"/>
          <w:u w:val="single"/>
        </w:rPr>
        <w:t>onitygroup.com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prior to the call. A replay of the conference call will be available via the website approximately two hours after the conclusion of the call. A telephonic replay will also be available approximately three hours following the call’s completion through </w:t>
      </w:r>
      <w:r>
        <w:rPr>
          <w:rFonts w:ascii="Times New Roman;Times;Serif" w:hAnsi="Times New Roman;Times;Serif"/>
          <w:b w:val="false"/>
          <w:i w:val="false"/>
          <w:caps w:val="false"/>
          <w:smallCaps w:val="false"/>
          <w:sz w:val="20"/>
        </w:rPr>
        <w:t>August 20, 2026, by dialing (844) 512-2921 or (412) 317-6671; please reference access code 11162006</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Onity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Onity Group Inc. (NYSE: ONIT) is a leading non-bank financial services company delivering mortgage servicing and originations solutions through Onity Mortgage Corporation. As one of the largest mortgage servicers in the country, we help consumers and business clients achieve their homeownership and financial goals with a wide range of servicing and lending programs powered by a technology-enabled, customer-centric platform. Headquartered in West Palm Beach, Florida, with offices and operations in the United States, the U.S. Virgin Islands, India and the Philippines, we have been serving our customers since 1988. For additional information, please visit </w:t>
      </w:r>
      <w:r>
        <w:rPr>
          <w:rFonts w:ascii="Times New Roman;Times;Serif" w:hAnsi="Times New Roman;Times;Serif"/>
          <w:b w:val="false"/>
          <w:i w:val="false"/>
          <w:caps w:val="false"/>
          <w:smallCaps w:val="false"/>
          <w:sz w:val="20"/>
          <w:u w:val="single"/>
        </w:rPr>
        <w:t>onitygroup.com</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onitymortgage.com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These 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and includes statements in this press release regarding our guidance on adjusted ROE, UPB growth, MSR hedge rate effectiveness and operating efficiency, our ability to sustain growth, capitalize on opportunities and create value, and the impact of the servicing portfolio repositioning on our business, profitability and growth opportunities. Forward-looking statements by their nature address matters that are, to different degrees, uncertain. Readers should bear these factors in mind when considering such statements and should not place undue reliance on such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Forward-looking statements involve a number of assumptions, risks and uncertainties that could cause actual results to differ materially. In the past, actual results have differed from those suggested by forward looking statements and this may happen again. Important factors that could cause actual results to differ materially from those suggested by the forward-looking statements include, but are not limited to, the potential for ongoing disruption in the financial markets and in commercial activity generally as a result of U.S. and global political events, changes in monetary and fiscal policy, and other sources of instability; the impacts of inflation, employment disruption, and other financial difficulties facing our borrowers; </w:t>
      </w:r>
      <w:r>
        <w:rPr>
          <w:rFonts w:ascii="Times New Roman;Times;Serif" w:hAnsi="Times New Roman;Times;Serif"/>
          <w:b w:val="false"/>
          <w:i w:val="false"/>
          <w:caps w:val="false"/>
          <w:smallCaps w:val="false"/>
          <w:sz w:val="20"/>
          <w:shd w:fill="FFFFFF" w:val="clear"/>
        </w:rPr>
        <w:t xml:space="preserve">the timing for receipt of required consents to transfer certain Rithm Capital Corp. assets, the size of the portfolio following transfer, and our ability identify and execute on alternative sources of revenue for our servicing business; </w:t>
      </w:r>
      <w:r>
        <w:rPr>
          <w:rFonts w:ascii="Times New Roman;Times;Serif" w:hAnsi="Times New Roman;Times;Serif"/>
          <w:b w:val="false"/>
          <w:i w:val="false"/>
          <w:caps w:val="false"/>
          <w:smallCaps w:val="false"/>
          <w:sz w:val="20"/>
        </w:rPr>
        <w:t>the adequacy of our financial resources, including our ability to sell, fund and recover servicing advances, whole loans, future draws on existing reverse loans, and HECM and forward loan buyouts and put backs, as well as repay, renew and extend borrowings, borrow additional amounts when required, meet our asset investment objectives and comply with our debt agreements, including the financial and other covenants contained in them; our ability to interpret correctly and comply with current or future liquidity, net worth and other financial and other requirements of regulators, the Federal National Mortgage Association (Fannie Mae), and Federal Home Loan Mortgage Corporation (Freddie Mac) (together, the GSEs), and the Government National Mortgage Association (Ginnie Mae); the timing for implementation of our technology and AI-based initiatives and the extent to which they contribute to our future success; breach or failure of Onity’s, our contractual counterparties’, or our vendors’ information technology or other security systems or privacy protections, including any failure to protect customers’ data, resulting in disruption to our operations, loss of income, reputational damage, costly litigation and regulatory penalties; 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 our ability to close MSR and other transactions; our ability to grow our reverse servicing business; the extent to which acquisitions and other strategic initiatives will contribute to achieving our growth objectives; increased servicing costs based on increased borrower delinquency levels or other factors; uncertainty related to past, present or future claims, litigation, cease and desist orders and investigations regarding our servicing, foreclosure, modification, origination and other practices brought by government agencies and private parties, including state regulators, the Consumer Financial Protection Bureau (CFPB), State Attorneys General, the Securities and Exchange Commission (SEC), the Department of Justice or the Department of Housing and Urban Development (HUD); the reactions of key counterparties, including lenders, the GSEs and Ginnie Mae, to our regulatory engagements and litigation matters; increased regulatory scrutiny and media attention; any adverse developments in existing legal proceedings or the initiation of new legal proceedings; our ability to effectively manage our regulatory and contractual compliance obligations; our ability to comply with our servicing agreements, including our ability to maintain our seller/servicer and other statuses with the GSEs and Ginnie Mae; our servicer and credit ratings as well as other actions from various rating agencies, including any future downgrades; as well as other risks and uncertainties detailed in our reports and filings with the SEC, including our annual report on Form 10-K for the year ended December 31, 2025. Anyone wishing to understand Onity’s business should review our SEC filings. Our forward-looking statements speak only as of the date they are made and, we disclaim any obligation to update or revise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Regarding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references to adjusted pre-tax income (loss), adjusted ROE and adjusted revenue, all non-GAAP financial measures.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non-GAAP financial measures provide a useful supplement to discussions and analysis of our financial condition, because they are measures that management uses to assess the financial performance of our operations and allocate resources. In addition, management believes that this presentation may assist investors with understanding and evaluating our initiatives to drive improved financial performance. Management believes, specifically, that the removal of fair value changes of our net MSR exposure due to changes in market interest rates and assumptions provides a useful, supplemental financial measure as it enables an assessment of our ability to generate earnings regardless of market conditions and the trends in our underlying businesses by removing the impact of fair value changes due to market interest rates and assumptions, which can vary significantly between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with the three months ended June 30, 2026, for purposes of calculating Income Statement Notables and Adjusted Pre-Tax Income, we changed the methodology used to calculate MSR Valuation Adjustments due to rates and assumption changes by including as Income Statement Notables (and therefore excluding from Adjusted Pre-Tax Income) the impact of non-UPB collateral changes such as delinquency status, borrower escrow payments and balances and loan aging. We made this change because management believes that this runoff calculation more closely reflects the actual runoff of the UPB measured in fair value in isolation. In addition, this change is responsive to investor requests to simplify our presentation of operating results, and we believe this presentation is consistent with the approach utilized by certain of our peer companies within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our non-GAAP measures should not be analyzed in isolation or as a substitute to analysis of our GAAP pre-tax income (loss), GAAP pre-tax ROE or GAAP revenue nor a substitute for cash flows from operations. There are certain limitations to the analytical usefulness of the adjustments we make to GAAP pre-tax income (loss), GAAP pre-tax ROE and GAAP revenue and, accordingly, we use these adjustments only for purposes of supplemental analysis. Non-GAAP financial measures should be viewed in addition to, and not as an alternative for, Onity’s reported results under accounting principles generally accepted in the United States. Other companies may use non-GAAP financial measures with the same or similar titles that are calculated differently to our non-GAAP financial measures. As a result, comparability may be limited. Readers are cautioned not to place undue reliance on analysis of the adjustments we make to GAAP pre-tax income (loss), GAAP pre-tax ROE and GAAP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provided reconciliations of guidance for adjusted ROE, in reliance on the unreasonable efforts exception provided under Item 10(e)(1)(i)(B) of Regulation S-K. The Company is unable, without unreasonable efforts, to forecast certain items required to develop meaningful comparable GAAP financial measures. These items include the change in fair value of our net MSR exposure due to changes in market interest rates and assumptions which can vary significantly between periods and are difficult to predict in advance in order to include in a GAAP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table below, we adjust GAAP pre-tax income for the following factors: MSR valuation adjustments, expense notables, and other income statement notables. MSR valuation adjustments are comprised of changes to Forward MSR and Reverse mortgage valuations due to rates and assumption changes. Expense notables include significant legal and regulatory settlement expenses, severance and retention costs, LTIP stock price changes, consolidation of office facilities and other expenses (such as costs associated with strategic transactions). Other income statement notables include non-routine transactions that are not categorized in the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with the three months ended December 31, 2025, for purposes of calculating Adjusted ROE, we changed the methodology used to calculate adjusted average equity to a monthly average. We made this change to improve the accuracy of net income impact on equity. See calculations preceding “Average Adjusted Equity” in the “Adjusted ROE Calculation” table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noted above, beginning with the three months ended June 30, 2026, for the purposes of calculating MSR Valuation Adjustments, we now include the impact of non-UPB collateral changes such as delinquency status, borrower escrow payments and balances and loan aging. See calculations preceding “Total MSR Valuation Adjustments due to rates and assumption changes, net” in the “Notables” table below.</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Presentation of past periods has been conformed to the current presentation. Utilizing methodology in effect as of March 31, 2026 would result in Q1’26 Adjusted Pre-Tax Income (Loss) of ($6 million) and Q2’26 Adjusted Pre-Tax Income (Loss) of ($5 million).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5"/>
        <w:gridCol w:w="60"/>
        <w:gridCol w:w="7365"/>
        <w:gridCol w:w="60"/>
        <w:gridCol w:w="96"/>
        <w:gridCol w:w="539"/>
        <w:gridCol w:w="95"/>
        <w:gridCol w:w="60"/>
        <w:gridCol w:w="119"/>
        <w:gridCol w:w="516"/>
        <w:gridCol w:w="95"/>
        <w:gridCol w:w="60"/>
        <w:gridCol w:w="119"/>
        <w:gridCol w:w="516"/>
        <w:gridCol w:w="110"/>
      </w:tblGrid>
      <w:tr>
        <w:trPr/>
        <w:tc>
          <w:tcPr>
            <w:tcW w:w="7820" w:type="dxa"/>
            <w:gridSpan w:val="3"/>
            <w:tcBorders>
              <w:bottom w:val="single" w:sz="8" w:space="0" w:color="000000"/>
            </w:tcBorders>
            <w:vAlign w:val="center"/>
          </w:tcPr>
          <w:p>
            <w:pPr>
              <w:pStyle w:val="TableContents"/>
              <w:bidi w:val="0"/>
              <w:spacing w:before="0" w:after="283"/>
              <w:jc w:val="left"/>
              <w:rPr>
                <w:b/>
                <w:i/>
              </w:rPr>
            </w:pPr>
            <w:r>
              <w:rPr>
                <w:b/>
                <w:i/>
              </w:rPr>
              <w:t>(Dollars in millions)</w:t>
            </w:r>
          </w:p>
        </w:tc>
        <w:tc>
          <w:tcPr>
            <w:tcW w:w="60" w:type="dxa"/>
            <w:tcBorders/>
            <w:tcMar>
              <w:bottom w:w="0" w:type="dxa"/>
            </w:tcMar>
            <w:vAlign w:val="center"/>
          </w:tcPr>
          <w:p>
            <w:pPr>
              <w:pStyle w:val="TableContents"/>
              <w:bidi w:val="0"/>
              <w:spacing w:before="0" w:after="283"/>
              <w:jc w:val="left"/>
              <w:rPr/>
            </w:pPr>
            <w:r>
              <w:rPr/>
              <w:t> </w:t>
            </w:r>
          </w:p>
        </w:tc>
        <w:tc>
          <w:tcPr>
            <w:tcW w:w="635" w:type="dxa"/>
            <w:gridSpan w:val="2"/>
            <w:tcBorders>
              <w:bottom w:val="single" w:sz="8" w:space="0" w:color="000000"/>
            </w:tcBorders>
            <w:vAlign w:val="center"/>
          </w:tcPr>
          <w:p>
            <w:pPr>
              <w:pStyle w:val="TableContents"/>
              <w:bidi w:val="0"/>
              <w:spacing w:before="0" w:after="283"/>
              <w:jc w:val="center"/>
              <w:rPr>
                <w:b/>
              </w:rPr>
            </w:pPr>
            <w:r>
              <w:rPr>
                <w:b/>
              </w:rPr>
              <w:t>Q2’26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5" w:type="dxa"/>
            <w:gridSpan w:val="2"/>
            <w:tcBorders>
              <w:bottom w:val="single" w:sz="8" w:space="0" w:color="000000"/>
            </w:tcBorders>
            <w:vAlign w:val="center"/>
          </w:tcPr>
          <w:p>
            <w:pPr>
              <w:pStyle w:val="TableContents"/>
              <w:bidi w:val="0"/>
              <w:spacing w:before="0" w:after="283"/>
              <w:jc w:val="center"/>
              <w:rPr>
                <w:b/>
              </w:rPr>
            </w:pPr>
            <w:r>
              <w:rPr>
                <w:b/>
              </w:rPr>
              <w:t>Q1’26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5" w:type="dxa"/>
            <w:gridSpan w:val="2"/>
            <w:tcBorders>
              <w:bottom w:val="single" w:sz="8" w:space="0" w:color="000000"/>
            </w:tcBorders>
            <w:vAlign w:val="center"/>
          </w:tcPr>
          <w:p>
            <w:pPr>
              <w:pStyle w:val="TableContents"/>
              <w:bidi w:val="0"/>
              <w:spacing w:before="0" w:after="283"/>
              <w:jc w:val="center"/>
              <w:rPr>
                <w:b/>
              </w:rPr>
            </w:pPr>
            <w:r>
              <w:rPr>
                <w:b/>
              </w:rPr>
              <w:t>Q2’25</w:t>
            </w:r>
          </w:p>
        </w:tc>
        <w:tc>
          <w:tcPr>
            <w:tcW w:w="110" w:type="dxa"/>
            <w:tcBorders/>
            <w:tcMar>
              <w:bottom w:w="0" w:type="dxa"/>
            </w:tcMar>
            <w:vAlign w:val="center"/>
          </w:tcPr>
          <w:p>
            <w:pPr>
              <w:pStyle w:val="TableContents"/>
              <w:bidi w:val="0"/>
              <w:spacing w:before="0" w:after="283"/>
              <w:jc w:val="left"/>
              <w:rPr/>
            </w:pPr>
            <w:r>
              <w:rPr/>
              <w:t> </w:t>
            </w:r>
          </w:p>
        </w:tc>
      </w:tr>
      <w:tr>
        <w:trPr/>
        <w:tc>
          <w:tcPr>
            <w:tcW w:w="395" w:type="dxa"/>
            <w:tcBorders/>
            <w:shd w:fill="CCEEFF" w:val="clear"/>
            <w:tcMar>
              <w:bottom w:w="0" w:type="dxa"/>
            </w:tcMar>
            <w:vAlign w:val="center"/>
          </w:tcPr>
          <w:p>
            <w:pPr>
              <w:pStyle w:val="TableContents"/>
              <w:bidi w:val="0"/>
              <w:spacing w:before="0" w:after="283"/>
              <w:jc w:val="left"/>
              <w:rPr>
                <w:b/>
              </w:rPr>
            </w:pPr>
            <w:r>
              <w:rPr>
                <w:b/>
              </w:rPr>
              <w: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5" w:type="dxa"/>
            <w:tcBorders/>
            <w:shd w:fill="CCEEFF" w:val="clear"/>
            <w:tcMar>
              <w:bottom w:w="0" w:type="dxa"/>
            </w:tcMar>
            <w:vAlign w:val="center"/>
          </w:tcPr>
          <w:p>
            <w:pPr>
              <w:pStyle w:val="TableContents"/>
              <w:bidi w:val="0"/>
              <w:spacing w:before="0" w:after="283"/>
              <w:jc w:val="left"/>
              <w:rPr>
                <w:b/>
              </w:rPr>
            </w:pPr>
            <w:r>
              <w:rPr>
                <w:b/>
              </w:rPr>
              <w:t>Net Income (Loss) Attributable to Common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539" w:type="dxa"/>
            <w:tcBorders/>
            <w:shd w:fill="CCEEFF" w:val="clear"/>
            <w:tcMar>
              <w:bottom w:w="0" w:type="dxa"/>
            </w:tcMar>
            <w:vAlign w:val="center"/>
          </w:tcPr>
          <w:p>
            <w:pPr>
              <w:pStyle w:val="TableContents"/>
              <w:bidi w:val="0"/>
              <w:spacing w:before="0" w:after="283"/>
              <w:jc w:val="right"/>
              <w:rPr>
                <w:b/>
              </w:rPr>
            </w:pPr>
            <w:r>
              <w:rPr>
                <w:b/>
              </w:rPr>
              <w:t>(13</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516" w:type="dxa"/>
            <w:tcBorders/>
            <w:shd w:fill="CCEEFF" w:val="clear"/>
            <w:tcMar>
              <w:bottom w:w="0" w:type="dxa"/>
            </w:tcMar>
            <w:vAlign w:val="center"/>
          </w:tcPr>
          <w:p>
            <w:pPr>
              <w:pStyle w:val="TableContents"/>
              <w:bidi w:val="0"/>
              <w:spacing w:before="0" w:after="283"/>
              <w:jc w:val="right"/>
              <w:rPr>
                <w:b/>
              </w:rPr>
            </w:pPr>
            <w:r>
              <w:rPr>
                <w:b/>
              </w:rPr>
              <w:t>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516" w:type="dxa"/>
            <w:tcBorders/>
            <w:shd w:fill="CCEEFF" w:val="clear"/>
            <w:tcMar>
              <w:bottom w:w="0" w:type="dxa"/>
            </w:tcMar>
            <w:vAlign w:val="center"/>
          </w:tcPr>
          <w:p>
            <w:pPr>
              <w:pStyle w:val="TableContents"/>
              <w:bidi w:val="0"/>
              <w:spacing w:before="0" w:after="283"/>
              <w:jc w:val="right"/>
              <w:rPr>
                <w:b/>
              </w:rPr>
            </w:pPr>
            <w:r>
              <w:rPr>
                <w:b/>
              </w:rPr>
              <w:t>20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5" w:type="dxa"/>
            <w:tcBorders/>
            <w:shd w:fill="FFFFFF" w:val="clear"/>
            <w:tcMar>
              <w:bottom w:w="0" w:type="dxa"/>
            </w:tcMar>
            <w:vAlign w:val="center"/>
          </w:tcPr>
          <w:p>
            <w:pPr>
              <w:pStyle w:val="TableContents"/>
              <w:bidi w:val="0"/>
              <w:spacing w:before="0" w:after="283"/>
              <w:jc w:val="left"/>
              <w:rPr/>
            </w:pPr>
            <w:r>
              <w:rPr/>
              <w:t>A. Preferred Stock Dividend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8" w:space="0" w:color="000000"/>
            </w:tcBorders>
            <w:shd w:fill="FFFFFF" w:val="clear"/>
            <w:vAlign w:val="center"/>
          </w:tcPr>
          <w:p>
            <w:pPr>
              <w:pStyle w:val="TableContents"/>
              <w:bidi w:val="0"/>
              <w:spacing w:before="0" w:after="283"/>
              <w:jc w:val="left"/>
              <w:rPr/>
            </w:pPr>
            <w:r>
              <w:rPr/>
              <w:t> </w:t>
            </w:r>
          </w:p>
        </w:tc>
        <w:tc>
          <w:tcPr>
            <w:tcW w:w="539" w:type="dxa"/>
            <w:tcBorders>
              <w:bottom w:val="single" w:sz="8" w:space="0" w:color="000000"/>
            </w:tcBorders>
            <w:shd w:fill="FFFFFF" w:val="cle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FFFFFF" w:val="clear"/>
            <w:vAlign w:val="center"/>
          </w:tcPr>
          <w:p>
            <w:pPr>
              <w:pStyle w:val="TableContents"/>
              <w:bidi w:val="0"/>
              <w:spacing w:before="0" w:after="283"/>
              <w:jc w:val="left"/>
              <w:rPr/>
            </w:pPr>
            <w:r>
              <w:rPr/>
              <w:t> </w:t>
            </w:r>
          </w:p>
        </w:tc>
        <w:tc>
          <w:tcPr>
            <w:tcW w:w="516" w:type="dxa"/>
            <w:tcBorders>
              <w:bottom w:val="single" w:sz="8" w:space="0" w:color="000000"/>
            </w:tcBorders>
            <w:shd w:fill="FFFFFF" w:val="cle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FFFFFF" w:val="clear"/>
            <w:vAlign w:val="center"/>
          </w:tcPr>
          <w:p>
            <w:pPr>
              <w:pStyle w:val="TableContents"/>
              <w:bidi w:val="0"/>
              <w:spacing w:before="0" w:after="283"/>
              <w:jc w:val="left"/>
              <w:rPr/>
            </w:pPr>
            <w:r>
              <w:rPr/>
              <w:t> </w:t>
            </w:r>
          </w:p>
        </w:tc>
        <w:tc>
          <w:tcPr>
            <w:tcW w:w="516" w:type="dxa"/>
            <w:tcBorders>
              <w:bottom w:val="single" w:sz="8" w:space="0" w:color="000000"/>
            </w:tcBorders>
            <w:shd w:fill="FFFFFF" w:val="clear"/>
            <w:vAlign w:val="center"/>
          </w:tcPr>
          <w:p>
            <w:pPr>
              <w:pStyle w:val="TableContents"/>
              <w:bidi w:val="0"/>
              <w:spacing w:before="0" w:after="283"/>
              <w:jc w:val="right"/>
              <w:rPr/>
            </w:pPr>
            <w:r>
              <w:rPr/>
              <w:t>(1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395" w:type="dxa"/>
            <w:tcBorders/>
            <w:shd w:fill="CCEEFF" w:val="clear"/>
            <w:tcMar>
              <w:bottom w:w="0" w:type="dxa"/>
            </w:tcMar>
            <w:vAlign w:val="center"/>
          </w:tcPr>
          <w:p>
            <w:pPr>
              <w:pStyle w:val="TableContents"/>
              <w:bidi w:val="0"/>
              <w:spacing w:before="0" w:after="283"/>
              <w:jc w:val="left"/>
              <w:rPr>
                <w:b/>
              </w:rPr>
            </w:pPr>
            <w:r>
              <w:rPr>
                <w:b/>
              </w:rPr>
              <w:t>II</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5" w:type="dxa"/>
            <w:tcBorders/>
            <w:shd w:fill="CCEEFF" w:val="clear"/>
            <w:tcMar>
              <w:bottom w:w="0" w:type="dxa"/>
            </w:tcMar>
            <w:vAlign w:val="center"/>
          </w:tcPr>
          <w:p>
            <w:pPr>
              <w:pStyle w:val="TableContents"/>
              <w:bidi w:val="0"/>
              <w:spacing w:before="0" w:after="283"/>
              <w:jc w:val="left"/>
              <w:rPr>
                <w:b/>
              </w:rPr>
            </w:pPr>
            <w:r>
              <w:rPr>
                <w:b/>
              </w:rPr>
              <w:t>Reported Net Income (Loss) [I – 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539" w:type="dxa"/>
            <w:tcBorders/>
            <w:shd w:fill="CCEEFF" w:val="clear"/>
            <w:tcMar>
              <w:bottom w:w="0" w:type="dxa"/>
            </w:tcMar>
            <w:vAlign w:val="center"/>
          </w:tcPr>
          <w:p>
            <w:pPr>
              <w:pStyle w:val="TableContents"/>
              <w:bidi w:val="0"/>
              <w:spacing w:before="0" w:after="283"/>
              <w:jc w:val="right"/>
              <w:rPr>
                <w:b/>
              </w:rPr>
            </w:pPr>
            <w:r>
              <w:rPr>
                <w:b/>
              </w:rPr>
              <w:t>(12</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516" w:type="dxa"/>
            <w:tcBorders/>
            <w:shd w:fill="CCEEFF" w:val="clear"/>
            <w:tcMar>
              <w:bottom w:w="0" w:type="dxa"/>
            </w:tcMar>
            <w:vAlign w:val="center"/>
          </w:tcPr>
          <w:p>
            <w:pPr>
              <w:pStyle w:val="TableContents"/>
              <w:bidi w:val="0"/>
              <w:spacing w:before="0" w:after="283"/>
              <w:jc w:val="right"/>
              <w:rPr>
                <w:b/>
              </w:rPr>
            </w:pPr>
            <w:r>
              <w:rPr>
                <w:b/>
              </w:rPr>
              <w:t>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516" w:type="dxa"/>
            <w:tcBorders/>
            <w:shd w:fill="CCEEFF" w:val="clear"/>
            <w:tcMar>
              <w:bottom w:w="0" w:type="dxa"/>
            </w:tcMar>
            <w:vAlign w:val="center"/>
          </w:tcPr>
          <w:p>
            <w:pPr>
              <w:pStyle w:val="TableContents"/>
              <w:bidi w:val="0"/>
              <w:spacing w:before="0" w:after="283"/>
              <w:jc w:val="right"/>
              <w:rPr>
                <w:b/>
              </w:rPr>
            </w:pPr>
            <w:r>
              <w:rPr>
                <w:b/>
              </w:rPr>
              <w:t>22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5" w:type="dxa"/>
            <w:tcBorders/>
            <w:shd w:fill="FFFFFF" w:val="clear"/>
            <w:tcMar>
              <w:bottom w:w="0" w:type="dxa"/>
            </w:tcMar>
            <w:vAlign w:val="center"/>
          </w:tcPr>
          <w:p>
            <w:pPr>
              <w:pStyle w:val="TableContents"/>
              <w:bidi w:val="0"/>
              <w:spacing w:before="0" w:after="283"/>
              <w:jc w:val="left"/>
              <w:rPr/>
            </w:pPr>
            <w:r>
              <w:rPr/>
              <w:t>B. Income Tax Benefit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8" w:space="0" w:color="000000"/>
            </w:tcBorders>
            <w:shd w:fill="FFFFFF" w:val="clear"/>
            <w:vAlign w:val="center"/>
          </w:tcPr>
          <w:p>
            <w:pPr>
              <w:pStyle w:val="TableContents"/>
              <w:bidi w:val="0"/>
              <w:spacing w:before="0" w:after="283"/>
              <w:jc w:val="left"/>
              <w:rPr/>
            </w:pPr>
            <w:r>
              <w:rPr/>
              <w:t> </w:t>
            </w:r>
          </w:p>
        </w:tc>
        <w:tc>
          <w:tcPr>
            <w:tcW w:w="539" w:type="dxa"/>
            <w:tcBorders>
              <w:bottom w:val="single" w:sz="8" w:space="0" w:color="000000"/>
            </w:tcBorders>
            <w:shd w:fill="FFFFFF" w:val="clear"/>
            <w:vAlign w:val="center"/>
          </w:tcPr>
          <w:p>
            <w:pPr>
              <w:pStyle w:val="TableContents"/>
              <w:bidi w:val="0"/>
              <w:spacing w:before="0" w:after="283"/>
              <w:jc w:val="right"/>
              <w:rPr/>
            </w:pPr>
            <w:r>
              <w:rPr/>
              <w:t>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FFFFFF" w:val="clear"/>
            <w:vAlign w:val="center"/>
          </w:tcPr>
          <w:p>
            <w:pPr>
              <w:pStyle w:val="TableContents"/>
              <w:bidi w:val="0"/>
              <w:spacing w:before="0" w:after="283"/>
              <w:jc w:val="left"/>
              <w:rPr/>
            </w:pPr>
            <w:r>
              <w:rPr/>
              <w:t> </w:t>
            </w:r>
          </w:p>
        </w:tc>
        <w:tc>
          <w:tcPr>
            <w:tcW w:w="516" w:type="dxa"/>
            <w:tcBorders>
              <w:bottom w:val="single" w:sz="8" w:space="0" w:color="000000"/>
            </w:tcBorders>
            <w:shd w:fill="FFFFFF" w:val="clear"/>
            <w:vAlign w:val="center"/>
          </w:tcPr>
          <w:p>
            <w:pPr>
              <w:pStyle w:val="TableContents"/>
              <w:bidi w:val="0"/>
              <w:spacing w:before="0" w:after="283"/>
              <w:jc w:val="right"/>
              <w:rPr/>
            </w:pPr>
            <w:r>
              <w:rPr/>
              <w:t>(0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FFFFFF" w:val="clear"/>
            <w:vAlign w:val="center"/>
          </w:tcPr>
          <w:p>
            <w:pPr>
              <w:pStyle w:val="TableContents"/>
              <w:bidi w:val="0"/>
              <w:spacing w:before="0" w:after="283"/>
              <w:jc w:val="left"/>
              <w:rPr/>
            </w:pPr>
            <w:r>
              <w:rPr/>
              <w:t> </w:t>
            </w:r>
          </w:p>
        </w:tc>
        <w:tc>
          <w:tcPr>
            <w:tcW w:w="516" w:type="dxa"/>
            <w:tcBorders>
              <w:bottom w:val="single" w:sz="8" w:space="0" w:color="000000"/>
            </w:tcBorders>
            <w:shd w:fill="FFFFFF" w:val="clear"/>
            <w:vAlign w:val="center"/>
          </w:tcPr>
          <w:p>
            <w:pPr>
              <w:pStyle w:val="TableContents"/>
              <w:bidi w:val="0"/>
              <w:spacing w:before="0" w:after="283"/>
              <w:jc w:val="right"/>
              <w:rPr/>
            </w:pPr>
            <w:r>
              <w:rPr/>
              <w:t>(1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395" w:type="dxa"/>
            <w:tcBorders/>
            <w:shd w:fill="CCEEFF" w:val="clear"/>
            <w:tcMar>
              <w:bottom w:w="0" w:type="dxa"/>
            </w:tcMar>
            <w:vAlign w:val="center"/>
          </w:tcPr>
          <w:p>
            <w:pPr>
              <w:pStyle w:val="TableContents"/>
              <w:bidi w:val="0"/>
              <w:spacing w:before="0" w:after="283"/>
              <w:jc w:val="left"/>
              <w:rPr>
                <w:b/>
              </w:rPr>
            </w:pPr>
            <w:r>
              <w:rPr>
                <w:b/>
              </w:rPr>
              <w:t>III</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5" w:type="dxa"/>
            <w:tcBorders/>
            <w:shd w:fill="CCEEFF" w:val="clear"/>
            <w:tcMar>
              <w:bottom w:w="0" w:type="dxa"/>
            </w:tcMar>
            <w:vAlign w:val="center"/>
          </w:tcPr>
          <w:p>
            <w:pPr>
              <w:pStyle w:val="TableContents"/>
              <w:bidi w:val="0"/>
              <w:spacing w:before="0" w:after="283"/>
              <w:jc w:val="left"/>
              <w:rPr>
                <w:b/>
              </w:rPr>
            </w:pPr>
            <w:r>
              <w:rPr>
                <w:b/>
              </w:rPr>
              <w:t>Reported Pre-Tax Income (Loss) [II – 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8" w:space="0" w:color="000000"/>
            </w:tcBorders>
            <w:shd w:fill="CCEEFF" w:val="clear"/>
            <w:vAlign w:val="center"/>
          </w:tcPr>
          <w:p>
            <w:pPr>
              <w:pStyle w:val="TableContents"/>
              <w:bidi w:val="0"/>
              <w:spacing w:before="0" w:after="283"/>
              <w:jc w:val="left"/>
              <w:rPr/>
            </w:pPr>
            <w:r>
              <w:rPr/>
              <w:t> </w:t>
            </w:r>
          </w:p>
        </w:tc>
        <w:tc>
          <w:tcPr>
            <w:tcW w:w="539" w:type="dxa"/>
            <w:tcBorders>
              <w:bottom w:val="single" w:sz="8" w:space="0" w:color="000000"/>
            </w:tcBorders>
            <w:shd w:fill="CCEEFF" w:val="clear"/>
            <w:vAlign w:val="center"/>
          </w:tcPr>
          <w:p>
            <w:pPr>
              <w:pStyle w:val="TableContents"/>
              <w:bidi w:val="0"/>
              <w:spacing w:before="0" w:after="283"/>
              <w:jc w:val="right"/>
              <w:rPr>
                <w:b/>
              </w:rPr>
            </w:pPr>
            <w:r>
              <w:rPr>
                <w:b/>
              </w:rPr>
              <w:t>(15</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CCEEFF" w:val="clear"/>
            <w:vAlign w:val="center"/>
          </w:tcPr>
          <w:p>
            <w:pPr>
              <w:pStyle w:val="TableContents"/>
              <w:bidi w:val="0"/>
              <w:spacing w:before="0" w:after="283"/>
              <w:jc w:val="left"/>
              <w:rPr/>
            </w:pPr>
            <w:r>
              <w:rPr/>
              <w:t> </w:t>
            </w:r>
          </w:p>
        </w:tc>
        <w:tc>
          <w:tcPr>
            <w:tcW w:w="516" w:type="dxa"/>
            <w:tcBorders>
              <w:bottom w:val="single" w:sz="8" w:space="0" w:color="000000"/>
            </w:tcBorders>
            <w:shd w:fill="CCEEFF" w:val="clear"/>
            <w:vAlign w:val="center"/>
          </w:tcPr>
          <w:p>
            <w:pPr>
              <w:pStyle w:val="TableContents"/>
              <w:bidi w:val="0"/>
              <w:spacing w:before="0" w:after="283"/>
              <w:jc w:val="right"/>
              <w:rPr>
                <w:b/>
              </w:rPr>
            </w:pPr>
            <w:r>
              <w:rPr>
                <w:b/>
              </w:rPr>
              <w:t>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CCEEFF" w:val="clear"/>
            <w:vAlign w:val="center"/>
          </w:tcPr>
          <w:p>
            <w:pPr>
              <w:pStyle w:val="TableContents"/>
              <w:bidi w:val="0"/>
              <w:spacing w:before="0" w:after="283"/>
              <w:jc w:val="left"/>
              <w:rPr/>
            </w:pPr>
            <w:r>
              <w:rPr/>
              <w:t> </w:t>
            </w:r>
          </w:p>
        </w:tc>
        <w:tc>
          <w:tcPr>
            <w:tcW w:w="516" w:type="dxa"/>
            <w:tcBorders>
              <w:bottom w:val="single" w:sz="8" w:space="0" w:color="000000"/>
            </w:tcBorders>
            <w:shd w:fill="CCEEFF" w:val="clear"/>
            <w:vAlign w:val="center"/>
          </w:tcPr>
          <w:p>
            <w:pPr>
              <w:pStyle w:val="TableContents"/>
              <w:bidi w:val="0"/>
              <w:spacing w:before="0" w:after="283"/>
              <w:jc w:val="right"/>
              <w:rPr>
                <w:b/>
              </w:rPr>
            </w:pPr>
            <w:r>
              <w:rPr>
                <w:b/>
              </w:rPr>
              <w:t>23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Forward MSR Valuation Adjustments due to rates and assumption changes, net </w:t>
            </w:r>
            <w:r>
              <w:rPr>
                <w:rFonts w:ascii="Times New Roman;Times;Serif" w:hAnsi="Times New Roman;Times;Serif"/>
                <w:position w:val="7"/>
                <w:sz w:val="16"/>
                <w:sz w:val="20"/>
              </w:rPr>
              <w:t>(a)(b)</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539" w:type="dxa"/>
            <w:tcBorders/>
            <w:shd w:fill="FFFFFF" w:val="clear"/>
            <w:tcMar>
              <w:bottom w:w="0" w:type="dxa"/>
            </w:tcMar>
            <w:vAlign w:val="center"/>
          </w:tcPr>
          <w:p>
            <w:pPr>
              <w:pStyle w:val="TableContents"/>
              <w:bidi w:val="0"/>
              <w:spacing w:before="0" w:after="283"/>
              <w:jc w:val="right"/>
              <w:rPr/>
            </w:pPr>
            <w:r>
              <w:rPr/>
              <w:t>(14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516" w:type="dxa"/>
            <w:tcBorders/>
            <w:shd w:fill="FFFFFF" w:val="clear"/>
            <w:tcMar>
              <w:bottom w:w="0" w:type="dxa"/>
            </w:tcMar>
            <w:vAlign w:val="center"/>
          </w:tcPr>
          <w:p>
            <w:pPr>
              <w:pStyle w:val="TableContents"/>
              <w:bidi w:val="0"/>
              <w:spacing w:before="0" w:after="283"/>
              <w:jc w:val="right"/>
              <w:rPr/>
            </w:pPr>
            <w:r>
              <w:rPr/>
              <w:t>(9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516" w:type="dxa"/>
            <w:tcBorders/>
            <w:shd w:fill="FFFFFF" w:val="clear"/>
            <w:tcMar>
              <w:bottom w:w="0" w:type="dxa"/>
            </w:tcMar>
            <w:vAlign w:val="center"/>
          </w:tcPr>
          <w:p>
            <w:pPr>
              <w:pStyle w:val="TableContents"/>
              <w:bidi w:val="0"/>
              <w:spacing w:before="0" w:after="283"/>
              <w:jc w:val="right"/>
              <w:rPr/>
            </w:pPr>
            <w:r>
              <w:rPr/>
              <w:t>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Reverse Mortgage Fair Value Change due to rates and assumption changes </w:t>
            </w:r>
            <w:r>
              <w:rPr>
                <w:rFonts w:ascii="Times New Roman;Times;Serif" w:hAnsi="Times New Roman;Times;Serif"/>
                <w:position w:val="7"/>
                <w:sz w:val="16"/>
                <w:sz w:val="20"/>
              </w:rPr>
              <w:t>(b)(c)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8" w:space="0" w:color="000000"/>
            </w:tcBorders>
            <w:shd w:fill="CCEEFF" w:val="clear"/>
            <w:vAlign w:val="center"/>
          </w:tcPr>
          <w:p>
            <w:pPr>
              <w:pStyle w:val="TableContents"/>
              <w:bidi w:val="0"/>
              <w:spacing w:before="0" w:after="283"/>
              <w:jc w:val="left"/>
              <w:rPr/>
            </w:pPr>
            <w:r>
              <w:rPr/>
              <w:t> </w:t>
            </w:r>
          </w:p>
        </w:tc>
        <w:tc>
          <w:tcPr>
            <w:tcW w:w="539" w:type="dxa"/>
            <w:tcBorders>
              <w:bottom w:val="single" w:sz="8" w:space="0" w:color="000000"/>
            </w:tcBorders>
            <w:shd w:fill="CCEEFF" w:val="clear"/>
            <w:vAlign w:val="center"/>
          </w:tcPr>
          <w:p>
            <w:pPr>
              <w:pStyle w:val="TableContents"/>
              <w:bidi w:val="0"/>
              <w:spacing w:before="0" w:after="283"/>
              <w:jc w:val="right"/>
              <w:rPr/>
            </w:pPr>
            <w:r>
              <w:rPr/>
              <w:t>(4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CCEEFF" w:val="clear"/>
            <w:vAlign w:val="center"/>
          </w:tcPr>
          <w:p>
            <w:pPr>
              <w:pStyle w:val="TableContents"/>
              <w:bidi w:val="0"/>
              <w:spacing w:before="0" w:after="283"/>
              <w:jc w:val="left"/>
              <w:rPr/>
            </w:pPr>
            <w:r>
              <w:rPr/>
              <w:t> </w:t>
            </w:r>
          </w:p>
        </w:tc>
        <w:tc>
          <w:tcPr>
            <w:tcW w:w="516" w:type="dxa"/>
            <w:tcBorders>
              <w:bottom w:val="single" w:sz="8" w:space="0" w:color="000000"/>
            </w:tcBorders>
            <w:shd w:fill="CCEEFF" w:val="clear"/>
            <w:vAlign w:val="center"/>
          </w:tcPr>
          <w:p>
            <w:pPr>
              <w:pStyle w:val="TableContents"/>
              <w:bidi w:val="0"/>
              <w:spacing w:before="0" w:after="283"/>
              <w:jc w:val="right"/>
              <w:rPr/>
            </w:pPr>
            <w:r>
              <w:rPr/>
              <w:t>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CCEEFF" w:val="clear"/>
            <w:vAlign w:val="center"/>
          </w:tcPr>
          <w:p>
            <w:pPr>
              <w:pStyle w:val="TableContents"/>
              <w:bidi w:val="0"/>
              <w:spacing w:before="0" w:after="283"/>
              <w:jc w:val="left"/>
              <w:rPr/>
            </w:pPr>
            <w:r>
              <w:rPr/>
              <w:t> </w:t>
            </w:r>
          </w:p>
        </w:tc>
        <w:tc>
          <w:tcPr>
            <w:tcW w:w="516" w:type="dxa"/>
            <w:tcBorders>
              <w:bottom w:val="single" w:sz="8" w:space="0" w:color="000000"/>
            </w:tcBorders>
            <w:shd w:fill="CCEEFF" w:val="clear"/>
            <w:vAlign w:val="center"/>
          </w:tcPr>
          <w:p>
            <w:pPr>
              <w:pStyle w:val="TableContents"/>
              <w:bidi w:val="0"/>
              <w:spacing w:before="0" w:after="283"/>
              <w:jc w:val="right"/>
              <w:rPr/>
            </w:pPr>
            <w:r>
              <w:rPr/>
              <w:t>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95" w:type="dxa"/>
            <w:tcBorders/>
            <w:shd w:fill="FFFFFF" w:val="clear"/>
            <w:tcMar>
              <w:bottom w:w="0" w:type="dxa"/>
            </w:tcMar>
            <w:vAlign w:val="center"/>
          </w:tcPr>
          <w:p>
            <w:pPr>
              <w:pStyle w:val="TableContents"/>
              <w:bidi w:val="0"/>
              <w:spacing w:before="0" w:after="283"/>
              <w:jc w:val="left"/>
              <w:rPr>
                <w:b/>
              </w:rPr>
            </w:pPr>
            <w:r>
              <w:rPr>
                <w:b/>
              </w:rPr>
              <w:t>IV</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5" w:type="dxa"/>
            <w:tcBorders/>
            <w:shd w:fill="FFFFFF" w:val="clear"/>
            <w:tcMar>
              <w:bottom w:w="0" w:type="dxa"/>
            </w:tcMar>
            <w:vAlign w:val="center"/>
          </w:tcPr>
          <w:p>
            <w:pPr>
              <w:pStyle w:val="TableContents"/>
              <w:bidi w:val="0"/>
              <w:spacing w:before="0" w:after="283"/>
              <w:jc w:val="left"/>
              <w:rPr>
                <w:b/>
              </w:rPr>
            </w:pPr>
            <w:r>
              <w:rPr>
                <w:b/>
              </w:rPr>
              <w:t>Total MSR Valuation Adjustments due to rates and assumption changes,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8" w:space="0" w:color="000000"/>
            </w:tcBorders>
            <w:shd w:fill="FFFFFF" w:val="clear"/>
            <w:vAlign w:val="center"/>
          </w:tcPr>
          <w:p>
            <w:pPr>
              <w:pStyle w:val="TableContents"/>
              <w:bidi w:val="0"/>
              <w:spacing w:before="0" w:after="283"/>
              <w:jc w:val="left"/>
              <w:rPr/>
            </w:pPr>
            <w:r>
              <w:rPr/>
              <w:t> </w:t>
            </w:r>
          </w:p>
        </w:tc>
        <w:tc>
          <w:tcPr>
            <w:tcW w:w="539" w:type="dxa"/>
            <w:tcBorders>
              <w:bottom w:val="single" w:sz="8" w:space="0" w:color="000000"/>
            </w:tcBorders>
            <w:shd w:fill="FFFFFF" w:val="clear"/>
            <w:vAlign w:val="center"/>
          </w:tcPr>
          <w:p>
            <w:pPr>
              <w:pStyle w:val="TableContents"/>
              <w:bidi w:val="0"/>
              <w:spacing w:before="0" w:after="283"/>
              <w:jc w:val="right"/>
              <w:rPr>
                <w:b/>
              </w:rPr>
            </w:pPr>
            <w:r>
              <w:rPr>
                <w:b/>
              </w:rPr>
              <w:t>(19</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FFFFFF" w:val="clear"/>
            <w:vAlign w:val="center"/>
          </w:tcPr>
          <w:p>
            <w:pPr>
              <w:pStyle w:val="TableContents"/>
              <w:bidi w:val="0"/>
              <w:spacing w:before="0" w:after="283"/>
              <w:jc w:val="left"/>
              <w:rPr/>
            </w:pPr>
            <w:r>
              <w:rPr/>
              <w:t> </w:t>
            </w:r>
          </w:p>
        </w:tc>
        <w:tc>
          <w:tcPr>
            <w:tcW w:w="516" w:type="dxa"/>
            <w:tcBorders>
              <w:bottom w:val="single" w:sz="8" w:space="0" w:color="000000"/>
            </w:tcBorders>
            <w:shd w:fill="FFFFFF" w:val="clear"/>
            <w:vAlign w:val="center"/>
          </w:tcPr>
          <w:p>
            <w:pPr>
              <w:pStyle w:val="TableContents"/>
              <w:bidi w:val="0"/>
              <w:spacing w:before="0" w:after="283"/>
              <w:jc w:val="right"/>
              <w:rPr>
                <w:b/>
              </w:rPr>
            </w:pPr>
            <w:r>
              <w:rPr>
                <w:b/>
              </w:rPr>
              <w:t>(0</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FFFFFF" w:val="clear"/>
            <w:vAlign w:val="center"/>
          </w:tcPr>
          <w:p>
            <w:pPr>
              <w:pStyle w:val="TableContents"/>
              <w:bidi w:val="0"/>
              <w:spacing w:before="0" w:after="283"/>
              <w:jc w:val="left"/>
              <w:rPr/>
            </w:pPr>
            <w:r>
              <w:rPr/>
              <w:t> </w:t>
            </w:r>
          </w:p>
        </w:tc>
        <w:tc>
          <w:tcPr>
            <w:tcW w:w="516" w:type="dxa"/>
            <w:tcBorders>
              <w:bottom w:val="single" w:sz="8" w:space="0" w:color="000000"/>
            </w:tcBorders>
            <w:shd w:fill="FFFFFF" w:val="clear"/>
            <w:vAlign w:val="center"/>
          </w:tcPr>
          <w:p>
            <w:pPr>
              <w:pStyle w:val="TableContents"/>
              <w:bidi w:val="0"/>
              <w:spacing w:before="0" w:after="283"/>
              <w:jc w:val="right"/>
              <w:rPr>
                <w:b/>
              </w:rPr>
            </w:pPr>
            <w:r>
              <w:rPr>
                <w:b/>
              </w:rPr>
              <w:t>7</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5" w:type="dxa"/>
            <w:tcBorders/>
            <w:shd w:fill="CCEEFF" w:val="clear"/>
            <w:tcMar>
              <w:bottom w:w="0" w:type="dxa"/>
            </w:tcMar>
            <w:vAlign w:val="center"/>
          </w:tcPr>
          <w:p>
            <w:pPr>
              <w:pStyle w:val="TableContents"/>
              <w:bidi w:val="0"/>
              <w:spacing w:before="0" w:after="283"/>
              <w:jc w:val="left"/>
              <w:rPr/>
            </w:pPr>
            <w:r>
              <w:rPr/>
              <w:t>Significant legal and regulatory settlement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539" w:type="dxa"/>
            <w:tcBorders/>
            <w:shd w:fill="CCEEFF" w:val="clear"/>
            <w:tcMar>
              <w:bottom w:w="0" w:type="dxa"/>
            </w:tcMar>
            <w:vAlign w:val="center"/>
          </w:tcPr>
          <w:p>
            <w:pPr>
              <w:pStyle w:val="TableContents"/>
              <w:bidi w:val="0"/>
              <w:spacing w:before="0" w:after="283"/>
              <w:jc w:val="right"/>
              <w:rPr/>
            </w:pPr>
            <w:r>
              <w:rPr/>
              <w:t>(4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516" w:type="dxa"/>
            <w:tcBorders/>
            <w:shd w:fill="CCEEFF" w:val="clear"/>
            <w:tcMar>
              <w:bottom w:w="0" w:type="dxa"/>
            </w:tcMar>
            <w:vAlign w:val="center"/>
          </w:tcPr>
          <w:p>
            <w:pPr>
              <w:pStyle w:val="TableContents"/>
              <w:bidi w:val="0"/>
              <w:spacing w:before="0" w:after="283"/>
              <w:jc w:val="right"/>
              <w:rPr/>
            </w:pPr>
            <w:r>
              <w:rPr/>
              <w:t>(3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516" w:type="dxa"/>
            <w:tcBorders/>
            <w:shd w:fill="CCEEFF" w:val="clear"/>
            <w:tcMar>
              <w:bottom w:w="0" w:type="dxa"/>
            </w:tcMar>
            <w:vAlign w:val="center"/>
          </w:tcPr>
          <w:p>
            <w:pPr>
              <w:pStyle w:val="TableContents"/>
              <w:bidi w:val="0"/>
              <w:spacing w:before="0" w:after="283"/>
              <w:jc w:val="right"/>
              <w:rPr/>
            </w:pPr>
            <w:r>
              <w:rPr/>
              <w:t>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Severance and retention </w:t>
            </w:r>
            <w:r>
              <w:rPr>
                <w:rFonts w:ascii="Times New Roman;Times;Serif" w:hAnsi="Times New Roman;Times;Serif"/>
                <w:position w:val="7"/>
                <w:sz w:val="16"/>
                <w:sz w:val="20"/>
              </w:rPr>
              <w: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539"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516" w:type="dxa"/>
            <w:tcBorders/>
            <w:shd w:fill="FFFFFF" w:val="clear"/>
            <w:tcMar>
              <w:bottom w:w="0" w:type="dxa"/>
            </w:tcMar>
            <w:vAlign w:val="center"/>
          </w:tcPr>
          <w:p>
            <w:pPr>
              <w:pStyle w:val="TableContents"/>
              <w:bidi w:val="0"/>
              <w:spacing w:before="0" w:after="283"/>
              <w:jc w:val="right"/>
              <w:rPr/>
            </w:pPr>
            <w:r>
              <w:rPr/>
              <w:t>(3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516" w:type="dxa"/>
            <w:tcBorders/>
            <w:shd w:fill="FFFFFF" w:val="clear"/>
            <w:tcMar>
              <w:bottom w:w="0" w:type="dxa"/>
            </w:tcMar>
            <w:vAlign w:val="center"/>
          </w:tcPr>
          <w:p>
            <w:pPr>
              <w:pStyle w:val="TableContents"/>
              <w:bidi w:val="0"/>
              <w:spacing w:before="0" w:after="283"/>
              <w:jc w:val="right"/>
              <w:rPr/>
            </w:pPr>
            <w:r>
              <w:rPr/>
              <w:t>(0</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3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LTIP stock price changes </w:t>
            </w:r>
            <w:r>
              <w:rPr>
                <w:rFonts w:ascii="Times New Roman;Times;Serif" w:hAnsi="Times New Roman;Times;Serif"/>
                <w:position w:val="7"/>
                <w:sz w:val="16"/>
                <w:sz w:val="20"/>
              </w:rPr>
              <w: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539" w:type="dxa"/>
            <w:tcBorders/>
            <w:shd w:fill="CCEEFF" w:val="clear"/>
            <w:tcMar>
              <w:bottom w:w="0" w:type="dxa"/>
            </w:tcMar>
            <w:vAlign w:val="center"/>
          </w:tcPr>
          <w:p>
            <w:pPr>
              <w:pStyle w:val="TableContents"/>
              <w:bidi w:val="0"/>
              <w:spacing w:before="0" w:after="283"/>
              <w:jc w:val="right"/>
              <w:rPr/>
            </w:pPr>
            <w:r>
              <w:rPr/>
              <w:t>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516" w:type="dxa"/>
            <w:tcBorders/>
            <w:shd w:fill="CCEEFF" w:val="clear"/>
            <w:tcMar>
              <w:bottom w:w="0" w:type="dxa"/>
            </w:tcMar>
            <w:vAlign w:val="center"/>
          </w:tcPr>
          <w:p>
            <w:pPr>
              <w:pStyle w:val="TableContents"/>
              <w:bidi w:val="0"/>
              <w:spacing w:before="0" w:after="283"/>
              <w:jc w:val="right"/>
              <w:rPr/>
            </w:pPr>
            <w:r>
              <w:rPr/>
              <w:t>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516" w:type="dxa"/>
            <w:tcBorders/>
            <w:shd w:fill="CCEEFF" w:val="clear"/>
            <w:tcMar>
              <w:bottom w:w="0" w:type="dxa"/>
            </w:tcMar>
            <w:vAlign w:val="center"/>
          </w:tcPr>
          <w:p>
            <w:pPr>
              <w:pStyle w:val="TableContents"/>
              <w:bidi w:val="0"/>
              <w:spacing w:before="0" w:after="283"/>
              <w:jc w:val="right"/>
              <w:rPr/>
            </w:pPr>
            <w:r>
              <w:rPr/>
              <w:t>(2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5" w:type="dxa"/>
            <w:tcBorders/>
            <w:shd w:fill="FFFFFF" w:val="clear"/>
            <w:tcMar>
              <w:bottom w:w="0" w:type="dxa"/>
            </w:tcMar>
            <w:vAlign w:val="center"/>
          </w:tcPr>
          <w:p>
            <w:pPr>
              <w:pStyle w:val="TableContents"/>
              <w:bidi w:val="0"/>
              <w:spacing w:before="0" w:after="283"/>
              <w:jc w:val="left"/>
              <w:rPr/>
            </w:pPr>
            <w:r>
              <w:rPr/>
              <w:t>Office facilities consolidation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539" w:type="dxa"/>
            <w:tcBorders/>
            <w:shd w:fill="FFFFFF" w:val="clear"/>
            <w:tcMar>
              <w:bottom w:w="0" w:type="dxa"/>
            </w:tcMar>
            <w:vAlign w:val="center"/>
          </w:tcPr>
          <w:p>
            <w:pPr>
              <w:pStyle w:val="TableContents"/>
              <w:bidi w:val="0"/>
              <w:spacing w:before="0" w:after="283"/>
              <w:jc w:val="right"/>
              <w:rPr/>
            </w:pPr>
            <w:r>
              <w:rPr/>
              <w:t>(0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516" w:type="dxa"/>
            <w:tcBorders/>
            <w:shd w:fill="FFFFFF" w:val="clear"/>
            <w:tcMar>
              <w:bottom w:w="0" w:type="dxa"/>
            </w:tcMar>
            <w:vAlign w:val="center"/>
          </w:tcPr>
          <w:p>
            <w:pPr>
              <w:pStyle w:val="TableContents"/>
              <w:bidi w:val="0"/>
              <w:spacing w:before="0" w:after="283"/>
              <w:jc w:val="right"/>
              <w:rPr/>
            </w:pPr>
            <w:r>
              <w:rPr/>
              <w:t>(0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516" w:type="dxa"/>
            <w:tcBorders/>
            <w:shd w:fill="FFFFFF" w:val="clear"/>
            <w:tcMar>
              <w:bottom w:w="0" w:type="dxa"/>
            </w:tcMar>
            <w:vAlign w:val="center"/>
          </w:tcPr>
          <w:p>
            <w:pPr>
              <w:pStyle w:val="TableContents"/>
              <w:bidi w:val="0"/>
              <w:spacing w:before="0" w:after="283"/>
              <w:jc w:val="right"/>
              <w:rPr/>
            </w:pPr>
            <w:r>
              <w:rPr/>
              <w:t>(0</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3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expense notables </w:t>
            </w:r>
            <w:r>
              <w:rPr>
                <w:rFonts w:ascii="Times New Roman;Times;Serif" w:hAnsi="Times New Roman;Times;Serif"/>
                <w:position w:val="7"/>
                <w:sz w:val="16"/>
                <w:sz w:val="20"/>
              </w:rPr>
              <w:t>(f)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8" w:space="0" w:color="000000"/>
            </w:tcBorders>
            <w:shd w:fill="CCEEFF" w:val="clear"/>
            <w:vAlign w:val="center"/>
          </w:tcPr>
          <w:p>
            <w:pPr>
              <w:pStyle w:val="TableContents"/>
              <w:bidi w:val="0"/>
              <w:spacing w:before="0" w:after="283"/>
              <w:jc w:val="left"/>
              <w:rPr/>
            </w:pPr>
            <w:r>
              <w:rPr/>
              <w:t> </w:t>
            </w:r>
          </w:p>
        </w:tc>
        <w:tc>
          <w:tcPr>
            <w:tcW w:w="539" w:type="dxa"/>
            <w:tcBorders>
              <w:bottom w:val="single" w:sz="8" w:space="0" w:color="000000"/>
            </w:tcBorders>
            <w:shd w:fill="CCEEFF" w:val="clear"/>
            <w:vAlign w:val="center"/>
          </w:tcPr>
          <w:p>
            <w:pPr>
              <w:pStyle w:val="TableContents"/>
              <w:bidi w:val="0"/>
              <w:spacing w:before="0" w:after="283"/>
              <w:jc w:val="right"/>
              <w:rPr/>
            </w:pPr>
            <w:r>
              <w:rPr/>
              <w:t>(3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CCEEFF" w:val="clear"/>
            <w:vAlign w:val="center"/>
          </w:tcPr>
          <w:p>
            <w:pPr>
              <w:pStyle w:val="TableContents"/>
              <w:bidi w:val="0"/>
              <w:spacing w:before="0" w:after="283"/>
              <w:jc w:val="left"/>
              <w:rPr/>
            </w:pPr>
            <w:r>
              <w:rPr/>
              <w:t> </w:t>
            </w:r>
          </w:p>
        </w:tc>
        <w:tc>
          <w:tcPr>
            <w:tcW w:w="516" w:type="dxa"/>
            <w:tcBorders>
              <w:bottom w:val="single" w:sz="8" w:space="0" w:color="000000"/>
            </w:tcBorders>
            <w:shd w:fill="CCEEFF" w:val="clear"/>
            <w:vAlign w:val="center"/>
          </w:tcPr>
          <w:p>
            <w:pPr>
              <w:pStyle w:val="TableContents"/>
              <w:bidi w:val="0"/>
              <w:spacing w:before="0" w:after="283"/>
              <w:jc w:val="right"/>
              <w:rPr/>
            </w:pPr>
            <w:r>
              <w:rPr/>
              <w:t>(0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CCEEFF" w:val="clear"/>
            <w:vAlign w:val="center"/>
          </w:tcPr>
          <w:p>
            <w:pPr>
              <w:pStyle w:val="TableContents"/>
              <w:bidi w:val="0"/>
              <w:spacing w:before="0" w:after="283"/>
              <w:jc w:val="left"/>
              <w:rPr/>
            </w:pPr>
            <w:r>
              <w:rPr/>
              <w:t> </w:t>
            </w:r>
          </w:p>
        </w:tc>
        <w:tc>
          <w:tcPr>
            <w:tcW w:w="516" w:type="dxa"/>
            <w:tcBorders>
              <w:bottom w:val="single" w:sz="8" w:space="0" w:color="000000"/>
            </w:tcBorders>
            <w:shd w:fill="CCEEFF" w:val="clear"/>
            <w:vAlign w:val="center"/>
          </w:tcPr>
          <w:p>
            <w:pPr>
              <w:pStyle w:val="TableContents"/>
              <w:bidi w:val="0"/>
              <w:spacing w:before="0" w:after="283"/>
              <w:jc w:val="right"/>
              <w:rPr/>
            </w:pPr>
            <w:r>
              <w:rPr/>
              <w:t>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5" w:type="dxa"/>
            <w:tcBorders/>
            <w:shd w:fill="FFFFFF" w:val="clear"/>
            <w:tcMar>
              <w:bottom w:w="0" w:type="dxa"/>
            </w:tcMar>
            <w:vAlign w:val="center"/>
          </w:tcPr>
          <w:p>
            <w:pPr>
              <w:pStyle w:val="TableContents"/>
              <w:bidi w:val="0"/>
              <w:spacing w:before="0" w:after="283"/>
              <w:jc w:val="left"/>
              <w:rPr>
                <w:b/>
              </w:rPr>
            </w:pPr>
            <w:r>
              <w:rPr>
                <w:b/>
              </w:rPr>
              <w:t>C. Total Expense Notables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8" w:space="0" w:color="000000"/>
            </w:tcBorders>
            <w:shd w:fill="FFFFFF" w:val="clear"/>
            <w:vAlign w:val="center"/>
          </w:tcPr>
          <w:p>
            <w:pPr>
              <w:pStyle w:val="TableContents"/>
              <w:bidi w:val="0"/>
              <w:spacing w:before="0" w:after="283"/>
              <w:jc w:val="left"/>
              <w:rPr/>
            </w:pPr>
            <w:r>
              <w:rPr/>
              <w:t> </w:t>
            </w:r>
          </w:p>
        </w:tc>
        <w:tc>
          <w:tcPr>
            <w:tcW w:w="539" w:type="dxa"/>
            <w:tcBorders>
              <w:bottom w:val="single" w:sz="8" w:space="0" w:color="000000"/>
            </w:tcBorders>
            <w:shd w:fill="FFFFFF" w:val="clear"/>
            <w:vAlign w:val="center"/>
          </w:tcPr>
          <w:p>
            <w:pPr>
              <w:pStyle w:val="TableContents"/>
              <w:bidi w:val="0"/>
              <w:spacing w:before="0" w:after="283"/>
              <w:jc w:val="right"/>
              <w:rPr>
                <w:b/>
              </w:rPr>
            </w:pPr>
            <w:r>
              <w:rPr>
                <w:b/>
              </w:rPr>
              <w:t>(9</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FFFFFF" w:val="clear"/>
            <w:vAlign w:val="center"/>
          </w:tcPr>
          <w:p>
            <w:pPr>
              <w:pStyle w:val="TableContents"/>
              <w:bidi w:val="0"/>
              <w:spacing w:before="0" w:after="283"/>
              <w:jc w:val="left"/>
              <w:rPr/>
            </w:pPr>
            <w:r>
              <w:rPr/>
              <w:t> </w:t>
            </w:r>
          </w:p>
        </w:tc>
        <w:tc>
          <w:tcPr>
            <w:tcW w:w="516" w:type="dxa"/>
            <w:tcBorders>
              <w:bottom w:val="single" w:sz="8" w:space="0" w:color="000000"/>
            </w:tcBorders>
            <w:shd w:fill="FFFFFF" w:val="clear"/>
            <w:vAlign w:val="center"/>
          </w:tcPr>
          <w:p>
            <w:pPr>
              <w:pStyle w:val="TableContents"/>
              <w:bidi w:val="0"/>
              <w:spacing w:before="0" w:after="283"/>
              <w:jc w:val="right"/>
              <w:rPr>
                <w:b/>
              </w:rPr>
            </w:pPr>
            <w:r>
              <w:rPr>
                <w:b/>
              </w:rPr>
              <w:t>(4</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FFFFFF" w:val="clear"/>
            <w:vAlign w:val="center"/>
          </w:tcPr>
          <w:p>
            <w:pPr>
              <w:pStyle w:val="TableContents"/>
              <w:bidi w:val="0"/>
              <w:spacing w:before="0" w:after="283"/>
              <w:jc w:val="left"/>
              <w:rPr/>
            </w:pPr>
            <w:r>
              <w:rPr/>
              <w:t> </w:t>
            </w:r>
          </w:p>
        </w:tc>
        <w:tc>
          <w:tcPr>
            <w:tcW w:w="516" w:type="dxa"/>
            <w:tcBorders>
              <w:bottom w:val="single" w:sz="8" w:space="0" w:color="000000"/>
            </w:tcBorders>
            <w:shd w:fill="FFFFFF" w:val="clear"/>
            <w:vAlign w:val="center"/>
          </w:tcPr>
          <w:p>
            <w:pPr>
              <w:pStyle w:val="TableContents"/>
              <w:bidi w:val="0"/>
              <w:spacing w:before="0" w:after="283"/>
              <w:jc w:val="right"/>
              <w:rPr>
                <w:b/>
              </w:rPr>
            </w:pPr>
            <w:r>
              <w:rPr>
                <w:b/>
              </w:rPr>
              <w:t>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 Other Income Statement Notables </w:t>
            </w:r>
            <w:r>
              <w:rPr>
                <w:rFonts w:ascii="Times New Roman;Times;Serif" w:hAnsi="Times New Roman;Times;Serif"/>
                <w:position w:val="7"/>
                <w:sz w:val="16"/>
                <w:sz w:val="20"/>
              </w:rPr>
              <w:t>(g)</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8" w:space="0" w:color="000000"/>
            </w:tcBorders>
            <w:shd w:fill="CCEEFF" w:val="clear"/>
            <w:vAlign w:val="center"/>
          </w:tcPr>
          <w:p>
            <w:pPr>
              <w:pStyle w:val="TableContents"/>
              <w:bidi w:val="0"/>
              <w:spacing w:before="0" w:after="283"/>
              <w:jc w:val="left"/>
              <w:rPr/>
            </w:pPr>
            <w:r>
              <w:rPr/>
              <w:t> </w:t>
            </w:r>
          </w:p>
        </w:tc>
        <w:tc>
          <w:tcPr>
            <w:tcW w:w="539" w:type="dxa"/>
            <w:tcBorders>
              <w:bottom w:val="single" w:sz="8" w:space="0" w:color="000000"/>
            </w:tcBorders>
            <w:shd w:fill="CCEEFF" w:val="clear"/>
            <w:vAlign w:val="center"/>
          </w:tcPr>
          <w:p>
            <w:pPr>
              <w:pStyle w:val="TableContents"/>
              <w:bidi w:val="0"/>
              <w:spacing w:before="0" w:after="283"/>
              <w:jc w:val="right"/>
              <w:rPr/>
            </w:pPr>
            <w:r>
              <w:rPr/>
              <w:t>(2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CCEEFF" w:val="clear"/>
            <w:vAlign w:val="center"/>
          </w:tcPr>
          <w:p>
            <w:pPr>
              <w:pStyle w:val="TableContents"/>
              <w:bidi w:val="0"/>
              <w:spacing w:before="0" w:after="283"/>
              <w:jc w:val="left"/>
              <w:rPr/>
            </w:pPr>
            <w:r>
              <w:rPr/>
              <w:t> </w:t>
            </w:r>
          </w:p>
        </w:tc>
        <w:tc>
          <w:tcPr>
            <w:tcW w:w="516" w:type="dxa"/>
            <w:tcBorders>
              <w:bottom w:val="single" w:sz="8" w:space="0" w:color="000000"/>
            </w:tcBorders>
            <w:shd w:fill="CCEEFF" w:val="clear"/>
            <w:vAlign w:val="center"/>
          </w:tcPr>
          <w:p>
            <w:pPr>
              <w:pStyle w:val="TableContents"/>
              <w:bidi w:val="0"/>
              <w:spacing w:before="0" w:after="283"/>
              <w:jc w:val="right"/>
              <w:rPr/>
            </w:pPr>
            <w:r>
              <w:rPr/>
              <w:t>(2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CCEEFF" w:val="clear"/>
            <w:vAlign w:val="center"/>
          </w:tcPr>
          <w:p>
            <w:pPr>
              <w:pStyle w:val="TableContents"/>
              <w:bidi w:val="0"/>
              <w:spacing w:before="0" w:after="283"/>
              <w:jc w:val="left"/>
              <w:rPr/>
            </w:pPr>
            <w:r>
              <w:rPr/>
              <w:t> </w:t>
            </w:r>
          </w:p>
        </w:tc>
        <w:tc>
          <w:tcPr>
            <w:tcW w:w="516" w:type="dxa"/>
            <w:tcBorders>
              <w:bottom w:val="single" w:sz="8" w:space="0" w:color="000000"/>
            </w:tcBorders>
            <w:shd w:fill="CCEEFF" w:val="clear"/>
            <w:vAlign w:val="center"/>
          </w:tcPr>
          <w:p>
            <w:pPr>
              <w:pStyle w:val="TableContents"/>
              <w:bidi w:val="0"/>
              <w:spacing w:before="0" w:after="283"/>
              <w:jc w:val="right"/>
              <w:rPr/>
            </w:pPr>
            <w:r>
              <w:rPr/>
              <w:t>(1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95" w:type="dxa"/>
            <w:tcBorders/>
            <w:shd w:fill="FFFFFF" w:val="clear"/>
            <w:tcMar>
              <w:bottom w:w="0" w:type="dxa"/>
            </w:tcMar>
            <w:vAlign w:val="center"/>
          </w:tcPr>
          <w:p>
            <w:pPr>
              <w:pStyle w:val="TableContents"/>
              <w:bidi w:val="0"/>
              <w:spacing w:before="0" w:after="283"/>
              <w:jc w:val="left"/>
              <w:rPr>
                <w:b/>
              </w:rPr>
            </w:pPr>
            <w:r>
              <w:rPr>
                <w:b/>
              </w:rPr>
              <w:t>V</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5" w:type="dxa"/>
            <w:tcBorders/>
            <w:shd w:fill="FFFFFF" w:val="clear"/>
            <w:tcMar>
              <w:bottom w:w="0" w:type="dxa"/>
            </w:tcMar>
            <w:vAlign w:val="center"/>
          </w:tcPr>
          <w:p>
            <w:pPr>
              <w:pStyle w:val="TableContents"/>
              <w:bidi w:val="0"/>
              <w:spacing w:before="0" w:after="283"/>
              <w:jc w:val="left"/>
              <w:rPr>
                <w:b/>
              </w:rPr>
            </w:pPr>
            <w:r>
              <w:rPr>
                <w:b/>
              </w:rPr>
              <w:t>Total Other Notables [C + 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8" w:space="0" w:color="000000"/>
            </w:tcBorders>
            <w:shd w:fill="FFFFFF" w:val="clear"/>
            <w:vAlign w:val="center"/>
          </w:tcPr>
          <w:p>
            <w:pPr>
              <w:pStyle w:val="TableContents"/>
              <w:bidi w:val="0"/>
              <w:spacing w:before="0" w:after="283"/>
              <w:jc w:val="left"/>
              <w:rPr/>
            </w:pPr>
            <w:r>
              <w:rPr/>
              <w:t> </w:t>
            </w:r>
          </w:p>
        </w:tc>
        <w:tc>
          <w:tcPr>
            <w:tcW w:w="539" w:type="dxa"/>
            <w:tcBorders>
              <w:bottom w:val="single" w:sz="8" w:space="0" w:color="000000"/>
            </w:tcBorders>
            <w:shd w:fill="FFFFFF" w:val="clear"/>
            <w:vAlign w:val="center"/>
          </w:tcPr>
          <w:p>
            <w:pPr>
              <w:pStyle w:val="TableContents"/>
              <w:bidi w:val="0"/>
              <w:spacing w:before="0" w:after="283"/>
              <w:jc w:val="right"/>
              <w:rPr>
                <w:b/>
              </w:rPr>
            </w:pPr>
            <w:r>
              <w:rPr>
                <w:b/>
              </w:rPr>
              <w:t>(10</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FFFFFF" w:val="clear"/>
            <w:vAlign w:val="center"/>
          </w:tcPr>
          <w:p>
            <w:pPr>
              <w:pStyle w:val="TableContents"/>
              <w:bidi w:val="0"/>
              <w:spacing w:before="0" w:after="283"/>
              <w:jc w:val="left"/>
              <w:rPr/>
            </w:pPr>
            <w:r>
              <w:rPr/>
              <w:t> </w:t>
            </w:r>
          </w:p>
        </w:tc>
        <w:tc>
          <w:tcPr>
            <w:tcW w:w="516" w:type="dxa"/>
            <w:tcBorders>
              <w:bottom w:val="single" w:sz="8" w:space="0" w:color="000000"/>
            </w:tcBorders>
            <w:shd w:fill="FFFFFF" w:val="clear"/>
            <w:vAlign w:val="center"/>
          </w:tcPr>
          <w:p>
            <w:pPr>
              <w:pStyle w:val="TableContents"/>
              <w:bidi w:val="0"/>
              <w:spacing w:before="0" w:after="283"/>
              <w:jc w:val="right"/>
              <w:rPr>
                <w:b/>
              </w:rPr>
            </w:pPr>
            <w:r>
              <w:rPr>
                <w:b/>
              </w:rPr>
              <w:t>(6</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FFFFFF" w:val="clear"/>
            <w:vAlign w:val="center"/>
          </w:tcPr>
          <w:p>
            <w:pPr>
              <w:pStyle w:val="TableContents"/>
              <w:bidi w:val="0"/>
              <w:spacing w:before="0" w:after="283"/>
              <w:jc w:val="left"/>
              <w:rPr/>
            </w:pPr>
            <w:r>
              <w:rPr/>
              <w:t> </w:t>
            </w:r>
          </w:p>
        </w:tc>
        <w:tc>
          <w:tcPr>
            <w:tcW w:w="516" w:type="dxa"/>
            <w:tcBorders>
              <w:bottom w:val="single" w:sz="8" w:space="0" w:color="000000"/>
            </w:tcBorders>
            <w:shd w:fill="FFFFFF" w:val="clear"/>
            <w:vAlign w:val="center"/>
          </w:tcPr>
          <w:p>
            <w:pPr>
              <w:pStyle w:val="TableContents"/>
              <w:bidi w:val="0"/>
              <w:spacing w:before="0" w:after="283"/>
              <w:jc w:val="right"/>
              <w:rPr>
                <w:b/>
              </w:rPr>
            </w:pPr>
            <w:r>
              <w:rPr>
                <w:b/>
              </w:rPr>
              <w:t>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95" w:type="dxa"/>
            <w:tcBorders/>
            <w:shd w:fill="CCEEFF" w:val="clear"/>
            <w:tcMar>
              <w:bottom w:w="0" w:type="dxa"/>
            </w:tcMar>
            <w:vAlign w:val="center"/>
          </w:tcPr>
          <w:p>
            <w:pPr>
              <w:pStyle w:val="TableContents"/>
              <w:bidi w:val="0"/>
              <w:spacing w:before="0" w:after="283"/>
              <w:jc w:val="left"/>
              <w:rPr>
                <w:b/>
              </w:rPr>
            </w:pPr>
            <w:r>
              <w:rPr>
                <w:b/>
              </w:rPr>
              <w:t>VI</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Total Notables </w:t>
            </w:r>
            <w:r>
              <w:rPr>
                <w:rFonts w:ascii="Times New Roman;Times;Serif" w:hAnsi="Times New Roman;Times;Serif"/>
                <w:b/>
                <w:position w:val="7"/>
                <w:sz w:val="16"/>
                <w:sz w:val="20"/>
              </w:rPr>
              <w:t>(h)</w:t>
            </w:r>
            <w:r>
              <w:rPr>
                <w:rFonts w:ascii="Times New Roman;Times;Serif" w:hAnsi="Times New Roman;Times;Serif"/>
                <w:b/>
                <w:sz w:val="20"/>
              </w:rPr>
              <w:t xml:space="preserve"> [IV + V]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8" w:space="0" w:color="000000"/>
            </w:tcBorders>
            <w:shd w:fill="CCEEFF" w:val="clear"/>
            <w:vAlign w:val="center"/>
          </w:tcPr>
          <w:p>
            <w:pPr>
              <w:pStyle w:val="TableContents"/>
              <w:bidi w:val="0"/>
              <w:spacing w:before="0" w:after="283"/>
              <w:jc w:val="left"/>
              <w:rPr/>
            </w:pPr>
            <w:r>
              <w:rPr/>
              <w:t> </w:t>
            </w:r>
          </w:p>
        </w:tc>
        <w:tc>
          <w:tcPr>
            <w:tcW w:w="539" w:type="dxa"/>
            <w:tcBorders>
              <w:bottom w:val="single" w:sz="8" w:space="0" w:color="000000"/>
            </w:tcBorders>
            <w:shd w:fill="CCEEFF" w:val="clear"/>
            <w:vAlign w:val="center"/>
          </w:tcPr>
          <w:p>
            <w:pPr>
              <w:pStyle w:val="TableContents"/>
              <w:bidi w:val="0"/>
              <w:spacing w:before="0" w:after="283"/>
              <w:jc w:val="right"/>
              <w:rPr>
                <w:b/>
              </w:rPr>
            </w:pPr>
            <w:r>
              <w:rPr>
                <w:b/>
              </w:rPr>
              <w:t>(29</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CCEEFF" w:val="clear"/>
            <w:vAlign w:val="center"/>
          </w:tcPr>
          <w:p>
            <w:pPr>
              <w:pStyle w:val="TableContents"/>
              <w:bidi w:val="0"/>
              <w:spacing w:before="0" w:after="283"/>
              <w:jc w:val="left"/>
              <w:rPr/>
            </w:pPr>
            <w:r>
              <w:rPr/>
              <w:t> </w:t>
            </w:r>
          </w:p>
        </w:tc>
        <w:tc>
          <w:tcPr>
            <w:tcW w:w="516" w:type="dxa"/>
            <w:tcBorders>
              <w:bottom w:val="single" w:sz="8" w:space="0" w:color="000000"/>
            </w:tcBorders>
            <w:shd w:fill="CCEEFF" w:val="clear"/>
            <w:vAlign w:val="center"/>
          </w:tcPr>
          <w:p>
            <w:pPr>
              <w:pStyle w:val="TableContents"/>
              <w:bidi w:val="0"/>
              <w:spacing w:before="0" w:after="283"/>
              <w:jc w:val="right"/>
              <w:rPr>
                <w:b/>
              </w:rPr>
            </w:pPr>
            <w:r>
              <w:rPr>
                <w:b/>
              </w:rPr>
              <w:t>(6</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CCEEFF" w:val="clear"/>
            <w:vAlign w:val="center"/>
          </w:tcPr>
          <w:p>
            <w:pPr>
              <w:pStyle w:val="TableContents"/>
              <w:bidi w:val="0"/>
              <w:spacing w:before="0" w:after="283"/>
              <w:jc w:val="left"/>
              <w:rPr/>
            </w:pPr>
            <w:r>
              <w:rPr/>
              <w:t> </w:t>
            </w:r>
          </w:p>
        </w:tc>
        <w:tc>
          <w:tcPr>
            <w:tcW w:w="516" w:type="dxa"/>
            <w:tcBorders>
              <w:bottom w:val="single" w:sz="8" w:space="0" w:color="000000"/>
            </w:tcBorders>
            <w:shd w:fill="CCEEFF" w:val="clear"/>
            <w:vAlign w:val="center"/>
          </w:tcPr>
          <w:p>
            <w:pPr>
              <w:pStyle w:val="TableContents"/>
              <w:bidi w:val="0"/>
              <w:spacing w:before="0" w:after="283"/>
              <w:jc w:val="right"/>
              <w:rPr>
                <w:b/>
              </w:rPr>
            </w:pPr>
            <w:r>
              <w:rPr>
                <w:b/>
              </w:rPr>
              <w:t>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95" w:type="dxa"/>
            <w:tcBorders/>
            <w:shd w:fill="FFFFFF" w:val="clear"/>
            <w:tcMar>
              <w:bottom w:w="0" w:type="dxa"/>
            </w:tcMar>
            <w:vAlign w:val="center"/>
          </w:tcPr>
          <w:p>
            <w:pPr>
              <w:pStyle w:val="TableContents"/>
              <w:bidi w:val="0"/>
              <w:spacing w:before="0" w:after="283"/>
              <w:jc w:val="left"/>
              <w:rPr>
                <w:b/>
              </w:rPr>
            </w:pPr>
            <w:r>
              <w:rPr>
                <w:b/>
              </w:rPr>
              <w:t>VII</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5" w:type="dxa"/>
            <w:tcBorders/>
            <w:shd w:fill="FFFFFF" w:val="clear"/>
            <w:tcMar>
              <w:bottom w:w="0" w:type="dxa"/>
            </w:tcMar>
            <w:vAlign w:val="center"/>
          </w:tcPr>
          <w:p>
            <w:pPr>
              <w:pStyle w:val="TableContents"/>
              <w:bidi w:val="0"/>
              <w:spacing w:before="0" w:after="283"/>
              <w:jc w:val="left"/>
              <w:rPr>
                <w:b/>
              </w:rPr>
            </w:pPr>
            <w:r>
              <w:rPr>
                <w:b/>
              </w:rPr>
              <w:t>Adjusted Pre-Tax Income [III – VI]</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8" w:space="0" w:color="000000"/>
            </w:tcBorders>
            <w:shd w:fill="FFFFFF" w:val="clear"/>
            <w:vAlign w:val="center"/>
          </w:tcPr>
          <w:p>
            <w:pPr>
              <w:pStyle w:val="TableContents"/>
              <w:bidi w:val="0"/>
              <w:spacing w:before="0" w:after="283"/>
              <w:jc w:val="left"/>
              <w:rPr/>
            </w:pPr>
            <w:r>
              <w:rPr/>
              <w:t> </w:t>
            </w:r>
          </w:p>
        </w:tc>
        <w:tc>
          <w:tcPr>
            <w:tcW w:w="539" w:type="dxa"/>
            <w:tcBorders>
              <w:bottom w:val="single" w:sz="8" w:space="0" w:color="000000"/>
            </w:tcBorders>
            <w:shd w:fill="FFFFFF" w:val="clear"/>
            <w:vAlign w:val="center"/>
          </w:tcPr>
          <w:p>
            <w:pPr>
              <w:pStyle w:val="TableContents"/>
              <w:bidi w:val="0"/>
              <w:spacing w:before="0" w:after="283"/>
              <w:jc w:val="right"/>
              <w:rPr>
                <w:b/>
              </w:rPr>
            </w:pPr>
            <w:r>
              <w:rPr>
                <w:b/>
              </w:rPr>
              <w:t>14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FFFFFF" w:val="clear"/>
            <w:vAlign w:val="center"/>
          </w:tcPr>
          <w:p>
            <w:pPr>
              <w:pStyle w:val="TableContents"/>
              <w:bidi w:val="0"/>
              <w:spacing w:before="0" w:after="283"/>
              <w:jc w:val="left"/>
              <w:rPr/>
            </w:pPr>
            <w:r>
              <w:rPr/>
              <w:t> </w:t>
            </w:r>
          </w:p>
        </w:tc>
        <w:tc>
          <w:tcPr>
            <w:tcW w:w="516" w:type="dxa"/>
            <w:tcBorders>
              <w:bottom w:val="single" w:sz="8" w:space="0" w:color="000000"/>
            </w:tcBorders>
            <w:shd w:fill="FFFFFF" w:val="clear"/>
            <w:vAlign w:val="center"/>
          </w:tcPr>
          <w:p>
            <w:pPr>
              <w:pStyle w:val="TableContents"/>
              <w:bidi w:val="0"/>
              <w:spacing w:before="0" w:after="283"/>
              <w:jc w:val="right"/>
              <w:rPr>
                <w:b/>
              </w:rPr>
            </w:pPr>
            <w:r>
              <w:rPr>
                <w:b/>
              </w:rPr>
              <w:t>14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bottom w:val="single" w:sz="8" w:space="0" w:color="000000"/>
            </w:tcBorders>
            <w:shd w:fill="FFFFFF" w:val="clear"/>
            <w:vAlign w:val="center"/>
          </w:tcPr>
          <w:p>
            <w:pPr>
              <w:pStyle w:val="TableContents"/>
              <w:bidi w:val="0"/>
              <w:spacing w:before="0" w:after="283"/>
              <w:jc w:val="left"/>
              <w:rPr/>
            </w:pPr>
            <w:r>
              <w:rPr/>
              <w:t> </w:t>
            </w:r>
          </w:p>
        </w:tc>
        <w:tc>
          <w:tcPr>
            <w:tcW w:w="516" w:type="dxa"/>
            <w:tcBorders>
              <w:bottom w:val="single" w:sz="8" w:space="0" w:color="000000"/>
            </w:tcBorders>
            <w:shd w:fill="FFFFFF" w:val="clear"/>
            <w:vAlign w:val="center"/>
          </w:tcPr>
          <w:p>
            <w:pPr>
              <w:pStyle w:val="TableContents"/>
              <w:bidi w:val="0"/>
              <w:spacing w:before="0" w:after="283"/>
              <w:jc w:val="right"/>
              <w:rPr>
                <w:b/>
              </w:rPr>
            </w:pPr>
            <w:r>
              <w:rPr>
                <w:b/>
              </w:rPr>
              <w:t>16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MSR valuation adjustments that are due to changes in market interest rates and assumptions, net of overall fair value gains / (losses) on MSR hedge, including FV changes of Pledged MSR liabilities associated with MSR transferred to MSR capital partners and ESS financing liabilities at fair value that are due to changes in market interest rates and assumptions, a component of MSR valuation adjustments, net; effective in Q2’26, we changed the methodology used to calculate MSR Valuation Adjustments due to rates and assumption changes; presentation of past periods has been conformed to the current presentation; without this change, Forward MSR valuation adjustments due to rates and assumption changes, net would be $6M in Q2’25, $11M in Q1’26, and $4M in Q2’26, and Total MSR valuation adjustments due to rates and assumption changes, net would be $6M in Q2’25, $20M in Q1’26, and $0M in Q2’26; see “Note Regarding Non-GAAP Financial Measures” above for additional information</w:t>
            </w:r>
          </w:p>
        </w:tc>
      </w:tr>
      <w:tr>
        <w:trPr/>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fair value due to market interest rates were measured by isolating the impact of market interest rate changes on the valuation model output per our MSR valuation process</w:t>
            </w:r>
          </w:p>
        </w:tc>
      </w:tr>
      <w:tr>
        <w:trPr/>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FV changes of reverse loans and HMBS-related borrowings due to market interest rates and assumptions, a component of gain on reverse loans and HMBS-related borrowings, net</w:t>
            </w:r>
          </w:p>
        </w:tc>
      </w:tr>
      <w:tr>
        <w:trPr/>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 and retention due to organizational rightsizing or reorganization</w:t>
            </w:r>
          </w:p>
        </w:tc>
      </w:tr>
      <w:tr>
        <w:trPr/>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incentive program (LTIP) compensation expense changes attributable to stock price changes during the period</w:t>
            </w:r>
          </w:p>
        </w:tc>
      </w:tr>
      <w:tr>
        <w:trPr/>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Contains costs associated with but not limited to rebranding and other strategic initiatives and transactions</w:t>
            </w:r>
          </w:p>
        </w:tc>
      </w:tr>
      <w:tr>
        <w:trPr/>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Contains non-routine transactions including but not limited to early payoff expense and fair value assumption changes on other investments recorded in other income/expense</w:t>
            </w:r>
          </w:p>
        </w:tc>
      </w:tr>
      <w:tr>
        <w:trPr/>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previously presented notable categories with nil numbers for each period shown have been omitted</w:t>
            </w:r>
          </w:p>
        </w:tc>
      </w:tr>
    </w:tbl>
    <w:p>
      <w:pPr>
        <w:pStyle w:val="TextBody"/>
        <w:bidi w:val="0"/>
        <w:spacing w:before="0" w:after="0"/>
        <w:ind w:left="360" w:right="0" w:hanging="36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ROE Calculation</w:t>
      </w:r>
    </w:p>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28" w:type="dxa"/>
          <w:right w:w="0" w:type="dxa"/>
        </w:tblCellMar>
      </w:tblPr>
      <w:tblGrid>
        <w:gridCol w:w="395"/>
        <w:gridCol w:w="60"/>
        <w:gridCol w:w="4280"/>
        <w:gridCol w:w="60"/>
        <w:gridCol w:w="86"/>
        <w:gridCol w:w="549"/>
        <w:gridCol w:w="290"/>
        <w:gridCol w:w="60"/>
        <w:gridCol w:w="86"/>
        <w:gridCol w:w="549"/>
        <w:gridCol w:w="260"/>
        <w:gridCol w:w="60"/>
        <w:gridCol w:w="86"/>
        <w:gridCol w:w="549"/>
        <w:gridCol w:w="275"/>
      </w:tblGrid>
      <w:tr>
        <w:trPr/>
        <w:tc>
          <w:tcPr>
            <w:tcW w:w="4735" w:type="dxa"/>
            <w:gridSpan w:val="3"/>
            <w:tcBorders>
              <w:bottom w:val="single" w:sz="8" w:space="0" w:color="000000"/>
            </w:tcBorders>
            <w:vAlign w:val="center"/>
          </w:tcPr>
          <w:p>
            <w:pPr>
              <w:pStyle w:val="TableContents"/>
              <w:bidi w:val="0"/>
              <w:spacing w:before="0" w:after="283"/>
              <w:jc w:val="left"/>
              <w:rPr>
                <w:b/>
                <w:i/>
              </w:rPr>
            </w:pPr>
            <w:r>
              <w:rPr>
                <w:b/>
                <w:i/>
              </w:rPr>
              <w:t>(Dollars in millions)</w:t>
            </w:r>
          </w:p>
        </w:tc>
        <w:tc>
          <w:tcPr>
            <w:tcW w:w="60" w:type="dxa"/>
            <w:tcBorders/>
            <w:tcMar>
              <w:bottom w:w="0" w:type="dxa"/>
            </w:tcMar>
            <w:vAlign w:val="center"/>
          </w:tcPr>
          <w:p>
            <w:pPr>
              <w:pStyle w:val="TableContents"/>
              <w:bidi w:val="0"/>
              <w:spacing w:before="0" w:after="283"/>
              <w:jc w:val="left"/>
              <w:rPr/>
            </w:pPr>
            <w:r>
              <w:rPr/>
              <w:t> </w:t>
            </w:r>
          </w:p>
        </w:tc>
        <w:tc>
          <w:tcPr>
            <w:tcW w:w="635" w:type="dxa"/>
            <w:gridSpan w:val="2"/>
            <w:tcBorders>
              <w:bottom w:val="single" w:sz="8" w:space="0" w:color="000000"/>
            </w:tcBorders>
            <w:vAlign w:val="center"/>
          </w:tcPr>
          <w:p>
            <w:pPr>
              <w:pStyle w:val="TableContents"/>
              <w:bidi w:val="0"/>
              <w:spacing w:before="0" w:after="283"/>
              <w:jc w:val="center"/>
              <w:rPr>
                <w:b/>
              </w:rPr>
            </w:pPr>
            <w:r>
              <w:rPr>
                <w:b/>
              </w:rPr>
              <w:t>Q2’26</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5" w:type="dxa"/>
            <w:gridSpan w:val="2"/>
            <w:tcBorders>
              <w:bottom w:val="single" w:sz="8" w:space="0" w:color="000000"/>
            </w:tcBorders>
            <w:vAlign w:val="center"/>
          </w:tcPr>
          <w:p>
            <w:pPr>
              <w:pStyle w:val="TableContents"/>
              <w:bidi w:val="0"/>
              <w:spacing w:before="0" w:after="283"/>
              <w:jc w:val="center"/>
              <w:rPr>
                <w:b/>
              </w:rPr>
            </w:pPr>
            <w:r>
              <w:rPr>
                <w:b/>
              </w:rPr>
              <w:t>Q1’26</w:t>
            </w:r>
          </w:p>
        </w:tc>
        <w:tc>
          <w:tcPr>
            <w:tcW w:w="2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5" w:type="dxa"/>
            <w:gridSpan w:val="2"/>
            <w:tcBorders>
              <w:bottom w:val="single" w:sz="8" w:space="0" w:color="000000"/>
            </w:tcBorders>
            <w:vAlign w:val="center"/>
          </w:tcPr>
          <w:p>
            <w:pPr>
              <w:pStyle w:val="TableContents"/>
              <w:bidi w:val="0"/>
              <w:spacing w:before="0" w:after="283"/>
              <w:jc w:val="center"/>
              <w:rPr>
                <w:b/>
              </w:rPr>
            </w:pPr>
            <w:r>
              <w:rPr>
                <w:b/>
              </w:rPr>
              <w:t>Q2’25</w:t>
            </w:r>
          </w:p>
        </w:tc>
        <w:tc>
          <w:tcPr>
            <w:tcW w:w="275" w:type="dxa"/>
            <w:tcBorders/>
            <w:tcMar>
              <w:bottom w:w="0" w:type="dxa"/>
            </w:tcMar>
            <w:vAlign w:val="center"/>
          </w:tcPr>
          <w:p>
            <w:pPr>
              <w:pStyle w:val="TableContents"/>
              <w:bidi w:val="0"/>
              <w:spacing w:before="0" w:after="283"/>
              <w:jc w:val="left"/>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80" w:type="dxa"/>
            <w:tcBorders/>
            <w:shd w:fill="CCEEFF" w:val="clear"/>
            <w:tcMar>
              <w:bottom w:w="0" w:type="dxa"/>
            </w:tcMar>
            <w:vAlign w:val="center"/>
          </w:tcPr>
          <w:p>
            <w:pPr>
              <w:pStyle w:val="TableContents"/>
              <w:bidi w:val="0"/>
              <w:spacing w:before="0" w:after="283"/>
              <w:jc w:val="left"/>
              <w:rPr/>
            </w:pPr>
            <w:r>
              <w:rPr/>
              <w:t>GAAP ROE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c>
          <w:tcPr>
            <w:tcW w:w="549" w:type="dxa"/>
            <w:tcBorders>
              <w:bottom w:val="single" w:sz="8" w:space="0" w:color="000000"/>
            </w:tcBorders>
            <w:shd w:fill="CCEEFF" w:val="clear"/>
            <w:vAlign w:val="center"/>
          </w:tcPr>
          <w:p>
            <w:pPr>
              <w:pStyle w:val="TableContents"/>
              <w:bidi w:val="0"/>
              <w:spacing w:before="0" w:after="283"/>
              <w:jc w:val="right"/>
              <w:rPr/>
            </w:pPr>
            <w:r>
              <w:rPr/>
              <w:t>(8</w:t>
            </w:r>
          </w:p>
        </w:tc>
        <w:tc>
          <w:tcPr>
            <w:tcW w:w="29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c>
          <w:tcPr>
            <w:tcW w:w="549" w:type="dxa"/>
            <w:tcBorders>
              <w:bottom w:val="single" w:sz="8" w:space="0" w:color="000000"/>
            </w:tcBorders>
            <w:shd w:fill="CCEEFF" w:val="clear"/>
            <w:vAlign w:val="center"/>
          </w:tcPr>
          <w:p>
            <w:pPr>
              <w:pStyle w:val="TableContents"/>
              <w:bidi w:val="0"/>
              <w:spacing w:before="0" w:after="283"/>
              <w:jc w:val="right"/>
              <w:rPr/>
            </w:pPr>
            <w:r>
              <w:rPr/>
              <w:t>4</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c>
          <w:tcPr>
            <w:tcW w:w="549" w:type="dxa"/>
            <w:tcBorders>
              <w:bottom w:val="single" w:sz="8" w:space="0" w:color="000000"/>
            </w:tcBorders>
            <w:shd w:fill="CCEEFF" w:val="clear"/>
            <w:vAlign w:val="center"/>
          </w:tcPr>
          <w:p>
            <w:pPr>
              <w:pStyle w:val="TableContents"/>
              <w:bidi w:val="0"/>
              <w:spacing w:before="0" w:after="283"/>
              <w:jc w:val="right"/>
              <w:rPr/>
            </w:pPr>
            <w:r>
              <w:rPr/>
              <w:t>17</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395" w:type="dxa"/>
            <w:tcBorders/>
            <w:shd w:fill="FFFFFF" w:val="clear"/>
            <w:tcMar>
              <w:bottom w:w="0" w:type="dxa"/>
            </w:tcMar>
            <w:vAlign w:val="center"/>
          </w:tcPr>
          <w:p>
            <w:pPr>
              <w:pStyle w:val="TableContents"/>
              <w:bidi w:val="0"/>
              <w:spacing w:before="0" w:after="283"/>
              <w:jc w:val="left"/>
              <w:rPr/>
            </w:pPr>
            <w:r>
              <w:rPr/>
              <w:t>I</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80" w:type="dxa"/>
            <w:tcBorders/>
            <w:shd w:fill="FFFFFF" w:val="clear"/>
            <w:tcMar>
              <w:bottom w:w="0" w:type="dxa"/>
            </w:tcMar>
            <w:vAlign w:val="center"/>
          </w:tcPr>
          <w:p>
            <w:pPr>
              <w:pStyle w:val="TableContents"/>
              <w:bidi w:val="0"/>
              <w:spacing w:before="0" w:after="283"/>
              <w:jc w:val="left"/>
              <w:rPr/>
            </w:pPr>
            <w:r>
              <w:rPr/>
              <w:t>Reported Net Income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549" w:type="dxa"/>
            <w:tcBorders/>
            <w:shd w:fill="FFFFFF" w:val="clear"/>
            <w:tcMar>
              <w:bottom w:w="0" w:type="dxa"/>
            </w:tcMar>
            <w:vAlign w:val="center"/>
          </w:tcPr>
          <w:p>
            <w:pPr>
              <w:pStyle w:val="TableContents"/>
              <w:bidi w:val="0"/>
              <w:spacing w:before="0" w:after="283"/>
              <w:jc w:val="right"/>
              <w:rPr/>
            </w:pPr>
            <w:r>
              <w:rPr/>
              <w:t>(12</w:t>
            </w:r>
          </w:p>
        </w:tc>
        <w:tc>
          <w:tcPr>
            <w:tcW w:w="29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549" w:type="dxa"/>
            <w:tcBorders/>
            <w:shd w:fill="FFFFFF" w:val="clear"/>
            <w:tcMar>
              <w:bottom w:w="0" w:type="dxa"/>
            </w:tcMar>
            <w:vAlign w:val="center"/>
          </w:tcPr>
          <w:p>
            <w:pPr>
              <w:pStyle w:val="TableContents"/>
              <w:bidi w:val="0"/>
              <w:spacing w:before="0" w:after="283"/>
              <w:jc w:val="right"/>
              <w:rPr/>
            </w:pPr>
            <w:r>
              <w:rPr/>
              <w:t>8</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549" w:type="dxa"/>
            <w:tcBorders/>
            <w:shd w:fill="FFFFFF" w:val="clear"/>
            <w:tcMar>
              <w:bottom w:w="0" w:type="dxa"/>
            </w:tcMar>
            <w:vAlign w:val="center"/>
          </w:tcPr>
          <w:p>
            <w:pPr>
              <w:pStyle w:val="TableContents"/>
              <w:bidi w:val="0"/>
              <w:spacing w:before="0" w:after="283"/>
              <w:jc w:val="right"/>
              <w:rPr/>
            </w:pPr>
            <w:r>
              <w:rPr/>
              <w:t>22</w:t>
            </w:r>
          </w:p>
        </w:tc>
        <w:tc>
          <w:tcPr>
            <w:tcW w:w="275" w:type="dxa"/>
            <w:tcBorders/>
            <w:shd w:fill="FFFFFF" w:val="clear"/>
            <w:tcMar>
              <w:bottom w:w="0" w:type="dxa"/>
            </w:tcMar>
            <w:vAlign w:val="center"/>
          </w:tcPr>
          <w:p>
            <w:pPr>
              <w:pStyle w:val="TableContents"/>
              <w:bidi w:val="0"/>
              <w:spacing w:before="0" w:after="283"/>
              <w:jc w:val="left"/>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II</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80" w:type="dxa"/>
            <w:tcBorders/>
            <w:shd w:fill="CCEEFF" w:val="clear"/>
            <w:tcMar>
              <w:bottom w:w="0" w:type="dxa"/>
            </w:tcMar>
            <w:vAlign w:val="center"/>
          </w:tcPr>
          <w:p>
            <w:pPr>
              <w:pStyle w:val="TableContents"/>
              <w:bidi w:val="0"/>
              <w:spacing w:before="0" w:after="283"/>
              <w:jc w:val="left"/>
              <w:rPr/>
            </w:pPr>
            <w:r>
              <w:rPr/>
              <w:t>Notable Items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(29</w:t>
            </w:r>
          </w:p>
        </w:tc>
        <w:tc>
          <w:tcPr>
            <w:tcW w:w="29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(6</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7</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395" w:type="dxa"/>
            <w:tcBorders/>
            <w:shd w:fill="FFFFFF" w:val="clear"/>
            <w:tcMar>
              <w:bottom w:w="0" w:type="dxa"/>
            </w:tcMar>
            <w:vAlign w:val="center"/>
          </w:tcPr>
          <w:p>
            <w:pPr>
              <w:pStyle w:val="TableContents"/>
              <w:bidi w:val="0"/>
              <w:spacing w:before="0" w:after="283"/>
              <w:jc w:val="left"/>
              <w:rPr/>
            </w:pPr>
            <w:r>
              <w:rPr/>
              <w:t>III</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80" w:type="dxa"/>
            <w:tcBorders/>
            <w:shd w:fill="FFFFFF" w:val="clear"/>
            <w:tcMar>
              <w:bottom w:w="0" w:type="dxa"/>
            </w:tcMar>
            <w:vAlign w:val="center"/>
          </w:tcPr>
          <w:p>
            <w:pPr>
              <w:pStyle w:val="TableContents"/>
              <w:bidi w:val="0"/>
              <w:spacing w:before="0" w:after="283"/>
              <w:jc w:val="left"/>
              <w:rPr/>
            </w:pPr>
            <w:r>
              <w:rPr/>
              <w:t>Income Tax Benefit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549" w:type="dxa"/>
            <w:tcBorders/>
            <w:shd w:fill="FFFFFF" w:val="clear"/>
            <w:tcMar>
              <w:bottom w:w="0" w:type="dxa"/>
            </w:tcMar>
            <w:vAlign w:val="center"/>
          </w:tcPr>
          <w:p>
            <w:pPr>
              <w:pStyle w:val="TableContents"/>
              <w:bidi w:val="0"/>
              <w:spacing w:before="0" w:after="283"/>
              <w:jc w:val="right"/>
              <w:rPr/>
            </w:pPr>
            <w:r>
              <w:rPr/>
              <w:t>3</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549" w:type="dxa"/>
            <w:tcBorders/>
            <w:shd w:fill="FFFFFF" w:val="clear"/>
            <w:tcMar>
              <w:bottom w:w="0" w:type="dxa"/>
            </w:tcMar>
            <w:vAlign w:val="center"/>
          </w:tcPr>
          <w:p>
            <w:pPr>
              <w:pStyle w:val="TableContents"/>
              <w:bidi w:val="0"/>
              <w:spacing w:before="0" w:after="283"/>
              <w:jc w:val="right"/>
              <w:rPr/>
            </w:pPr>
            <w:r>
              <w:rPr/>
              <w:t>(0</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549" w:type="dxa"/>
            <w:tcBorders/>
            <w:shd w:fill="FFFFFF" w:val="clear"/>
            <w:tcMar>
              <w:bottom w:w="0" w:type="dxa"/>
            </w:tcMar>
            <w:vAlign w:val="center"/>
          </w:tcPr>
          <w:p>
            <w:pPr>
              <w:pStyle w:val="TableContents"/>
              <w:bidi w:val="0"/>
              <w:spacing w:before="0" w:after="283"/>
              <w:jc w:val="right"/>
              <w:rPr/>
            </w:pPr>
            <w:r>
              <w:rPr/>
              <w:t>(1</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395" w:type="dxa"/>
            <w:tcBorders/>
            <w:shd w:fill="CCEEFF" w:val="clear"/>
            <w:tcMar>
              <w:bottom w:w="0" w:type="dxa"/>
            </w:tcMar>
            <w:vAlign w:val="center"/>
          </w:tcPr>
          <w:p>
            <w:pPr>
              <w:pStyle w:val="TableContents"/>
              <w:bidi w:val="0"/>
              <w:spacing w:before="0" w:after="283"/>
              <w:jc w:val="left"/>
              <w:rPr/>
            </w:pPr>
            <w:r>
              <w:rPr/>
              <w:t>IV</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80" w:type="dxa"/>
            <w:tcBorders/>
            <w:shd w:fill="CCEEFF" w:val="clear"/>
            <w:tcMar>
              <w:bottom w:w="0" w:type="dxa"/>
            </w:tcMar>
            <w:vAlign w:val="center"/>
          </w:tcPr>
          <w:p>
            <w:pPr>
              <w:pStyle w:val="TableContents"/>
              <w:bidi w:val="0"/>
              <w:spacing w:before="0" w:after="283"/>
              <w:jc w:val="left"/>
              <w:rPr/>
            </w:pPr>
            <w:r>
              <w:rPr/>
              <w:t>Adjusted Pre-Tax Income [I – II – III]</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14</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14</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16</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395" w:type="dxa"/>
            <w:tcBorders/>
            <w:shd w:fill="FFFFFF" w:val="clear"/>
            <w:tcMar>
              <w:bottom w:w="0" w:type="dxa"/>
            </w:tcMar>
            <w:vAlign w:val="center"/>
          </w:tcPr>
          <w:p>
            <w:pPr>
              <w:pStyle w:val="TableContents"/>
              <w:bidi w:val="0"/>
              <w:spacing w:before="0" w:after="283"/>
              <w:jc w:val="left"/>
              <w:rPr/>
            </w:pPr>
            <w:r>
              <w:rPr/>
              <w:t>V</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Annualized Adjusted Pre-tax Income [IV * 4 </w:t>
            </w:r>
            <w:r>
              <w:rPr>
                <w:rFonts w:ascii="Times New Roman;Times;Serif" w:hAnsi="Times New Roman;Times;Serif"/>
                <w:i/>
                <w:sz w:val="20"/>
              </w:rPr>
              <w:t>for qtr.</w:t>
            </w: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FFFFFF" w:val="clear"/>
            <w:vAlign w:val="center"/>
          </w:tcPr>
          <w:p>
            <w:pPr>
              <w:pStyle w:val="TableContents"/>
              <w:bidi w:val="0"/>
              <w:spacing w:before="0" w:after="283"/>
              <w:jc w:val="left"/>
              <w:rPr/>
            </w:pPr>
            <w:r>
              <w:rPr/>
              <w:t> </w:t>
            </w:r>
          </w:p>
        </w:tc>
        <w:tc>
          <w:tcPr>
            <w:tcW w:w="549" w:type="dxa"/>
            <w:tcBorders>
              <w:bottom w:val="single" w:sz="8" w:space="0" w:color="000000"/>
            </w:tcBorders>
            <w:shd w:fill="FFFFFF" w:val="clear"/>
            <w:vAlign w:val="center"/>
          </w:tcPr>
          <w:p>
            <w:pPr>
              <w:pStyle w:val="TableContents"/>
              <w:bidi w:val="0"/>
              <w:spacing w:before="0" w:after="283"/>
              <w:jc w:val="right"/>
              <w:rPr/>
            </w:pPr>
            <w:r>
              <w:rPr/>
              <w:t>55</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FFFFFF" w:val="clear"/>
            <w:vAlign w:val="center"/>
          </w:tcPr>
          <w:p>
            <w:pPr>
              <w:pStyle w:val="TableContents"/>
              <w:bidi w:val="0"/>
              <w:spacing w:before="0" w:after="283"/>
              <w:jc w:val="left"/>
              <w:rPr/>
            </w:pPr>
            <w:r>
              <w:rPr/>
              <w:t> </w:t>
            </w:r>
          </w:p>
        </w:tc>
        <w:tc>
          <w:tcPr>
            <w:tcW w:w="549" w:type="dxa"/>
            <w:tcBorders>
              <w:bottom w:val="single" w:sz="8" w:space="0" w:color="000000"/>
            </w:tcBorders>
            <w:shd w:fill="FFFFFF" w:val="clear"/>
            <w:vAlign w:val="center"/>
          </w:tcPr>
          <w:p>
            <w:pPr>
              <w:pStyle w:val="TableContents"/>
              <w:bidi w:val="0"/>
              <w:spacing w:before="0" w:after="283"/>
              <w:jc w:val="right"/>
              <w:rPr/>
            </w:pPr>
            <w:r>
              <w:rPr/>
              <w:t>55</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FFFFFF" w:val="clear"/>
            <w:vAlign w:val="center"/>
          </w:tcPr>
          <w:p>
            <w:pPr>
              <w:pStyle w:val="TableContents"/>
              <w:bidi w:val="0"/>
              <w:spacing w:before="0" w:after="283"/>
              <w:jc w:val="left"/>
              <w:rPr/>
            </w:pPr>
            <w:r>
              <w:rPr/>
              <w:t> </w:t>
            </w:r>
          </w:p>
        </w:tc>
        <w:tc>
          <w:tcPr>
            <w:tcW w:w="549" w:type="dxa"/>
            <w:tcBorders>
              <w:bottom w:val="single" w:sz="8" w:space="0" w:color="000000"/>
            </w:tcBorders>
            <w:shd w:fill="FFFFFF" w:val="clear"/>
            <w:vAlign w:val="center"/>
          </w:tcPr>
          <w:p>
            <w:pPr>
              <w:pStyle w:val="TableContents"/>
              <w:bidi w:val="0"/>
              <w:spacing w:before="0" w:after="283"/>
              <w:jc w:val="right"/>
              <w:rPr/>
            </w:pPr>
            <w:r>
              <w:rPr/>
              <w:t>64</w:t>
            </w:r>
          </w:p>
        </w:tc>
        <w:tc>
          <w:tcPr>
            <w:tcW w:w="275" w:type="dxa"/>
            <w:tcBorders/>
            <w:shd w:fill="FFFFFF" w:val="clear"/>
            <w:tcMar>
              <w:bottom w:w="0" w:type="dxa"/>
            </w:tcMar>
            <w:vAlign w:val="center"/>
          </w:tcPr>
          <w:p>
            <w:pPr>
              <w:pStyle w:val="TableContents"/>
              <w:bidi w:val="0"/>
              <w:spacing w:before="0" w:after="283"/>
              <w:jc w:val="left"/>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80" w:type="dxa"/>
            <w:tcBorders/>
            <w:shd w:fill="CCEEFF" w:val="clear"/>
            <w:tcMar>
              <w:bottom w:w="0" w:type="dxa"/>
            </w:tcMar>
            <w:vAlign w:val="center"/>
          </w:tcPr>
          <w:p>
            <w:pPr>
              <w:pStyle w:val="TableContents"/>
              <w:bidi w:val="0"/>
              <w:spacing w:before="0" w:after="283"/>
              <w:jc w:val="left"/>
              <w:rPr/>
            </w:pPr>
            <w:r>
              <w:rPr/>
              <w:t>A. Monthly average common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618</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632</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469</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80" w:type="dxa"/>
            <w:tcBorders/>
            <w:shd w:fill="FFFFFF" w:val="clear"/>
            <w:tcMar>
              <w:bottom w:w="0" w:type="dxa"/>
            </w:tcMar>
            <w:vAlign w:val="center"/>
          </w:tcPr>
          <w:p>
            <w:pPr>
              <w:pStyle w:val="TableContents"/>
              <w:bidi w:val="0"/>
              <w:spacing w:before="0" w:after="283"/>
              <w:jc w:val="left"/>
              <w:rPr/>
            </w:pPr>
            <w:r>
              <w:rPr/>
              <w:t>B. Impact of notable items [ – II]</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549" w:type="dxa"/>
            <w:tcBorders/>
            <w:shd w:fill="FFFFFF" w:val="clear"/>
            <w:tcMar>
              <w:bottom w:w="0" w:type="dxa"/>
            </w:tcMar>
            <w:vAlign w:val="center"/>
          </w:tcPr>
          <w:p>
            <w:pPr>
              <w:pStyle w:val="TableContents"/>
              <w:bidi w:val="0"/>
              <w:spacing w:before="0" w:after="283"/>
              <w:jc w:val="right"/>
              <w:rPr/>
            </w:pPr>
            <w:r>
              <w:rPr/>
              <w:t>29</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549" w:type="dxa"/>
            <w:tcBorders/>
            <w:shd w:fill="FFFFFF" w:val="clear"/>
            <w:tcMar>
              <w:bottom w:w="0" w:type="dxa"/>
            </w:tcMar>
            <w:vAlign w:val="center"/>
          </w:tcPr>
          <w:p>
            <w:pPr>
              <w:pStyle w:val="TableContents"/>
              <w:bidi w:val="0"/>
              <w:spacing w:before="0" w:after="283"/>
              <w:jc w:val="right"/>
              <w:rPr/>
            </w:pPr>
            <w:r>
              <w:rPr/>
              <w:t>6</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549" w:type="dxa"/>
            <w:tcBorders/>
            <w:shd w:fill="FFFFFF" w:val="clear"/>
            <w:tcMar>
              <w:bottom w:w="0" w:type="dxa"/>
            </w:tcMar>
            <w:vAlign w:val="center"/>
          </w:tcPr>
          <w:p>
            <w:pPr>
              <w:pStyle w:val="TableContents"/>
              <w:bidi w:val="0"/>
              <w:spacing w:before="0" w:after="283"/>
              <w:jc w:val="right"/>
              <w:rPr/>
            </w:pPr>
            <w:r>
              <w:rPr/>
              <w:t>(7</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3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80" w:type="dxa"/>
            <w:tcBorders/>
            <w:shd w:fill="CCEEFF" w:val="clear"/>
            <w:tcMar>
              <w:bottom w:w="0" w:type="dxa"/>
            </w:tcMar>
            <w:vAlign w:val="center"/>
          </w:tcPr>
          <w:p>
            <w:pPr>
              <w:pStyle w:val="TableContents"/>
              <w:bidi w:val="0"/>
              <w:spacing w:before="0" w:after="283"/>
              <w:jc w:val="left"/>
              <w:rPr/>
            </w:pPr>
            <w:r>
              <w:rPr/>
              <w:t>C. # of months in period + 1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4</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4</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4</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80" w:type="dxa"/>
            <w:tcBorders/>
            <w:shd w:fill="FFFFFF" w:val="clear"/>
            <w:tcMar>
              <w:bottom w:w="0" w:type="dxa"/>
            </w:tcMar>
            <w:vAlign w:val="center"/>
          </w:tcPr>
          <w:p>
            <w:pPr>
              <w:pStyle w:val="TableContents"/>
              <w:bidi w:val="0"/>
              <w:spacing w:before="0" w:after="283"/>
              <w:jc w:val="left"/>
              <w:rPr/>
            </w:pPr>
            <w:r>
              <w:rPr/>
              <w:t>D. Average impact of notables [B / C]</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FFFFFF" w:val="clear"/>
            <w:vAlign w:val="center"/>
          </w:tcPr>
          <w:p>
            <w:pPr>
              <w:pStyle w:val="TableContents"/>
              <w:bidi w:val="0"/>
              <w:spacing w:before="0" w:after="283"/>
              <w:jc w:val="left"/>
              <w:rPr/>
            </w:pPr>
            <w:r>
              <w:rPr/>
              <w:t> </w:t>
            </w:r>
          </w:p>
        </w:tc>
        <w:tc>
          <w:tcPr>
            <w:tcW w:w="549" w:type="dxa"/>
            <w:tcBorders>
              <w:bottom w:val="single" w:sz="8" w:space="0" w:color="000000"/>
            </w:tcBorders>
            <w:shd w:fill="FFFFFF" w:val="clear"/>
            <w:vAlign w:val="center"/>
          </w:tcPr>
          <w:p>
            <w:pPr>
              <w:pStyle w:val="TableContents"/>
              <w:bidi w:val="0"/>
              <w:spacing w:before="0" w:after="283"/>
              <w:jc w:val="right"/>
              <w:rPr/>
            </w:pPr>
            <w:r>
              <w:rPr/>
              <w:t>7</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FFFFFF" w:val="clear"/>
            <w:vAlign w:val="center"/>
          </w:tcPr>
          <w:p>
            <w:pPr>
              <w:pStyle w:val="TableContents"/>
              <w:bidi w:val="0"/>
              <w:spacing w:before="0" w:after="283"/>
              <w:jc w:val="left"/>
              <w:rPr/>
            </w:pPr>
            <w:r>
              <w:rPr/>
              <w:t> </w:t>
            </w:r>
          </w:p>
        </w:tc>
        <w:tc>
          <w:tcPr>
            <w:tcW w:w="549" w:type="dxa"/>
            <w:tcBorders>
              <w:bottom w:val="single" w:sz="8" w:space="0" w:color="000000"/>
            </w:tcBorders>
            <w:shd w:fill="FFFFFF" w:val="clear"/>
            <w:vAlign w:val="center"/>
          </w:tcPr>
          <w:p>
            <w:pPr>
              <w:pStyle w:val="TableContents"/>
              <w:bidi w:val="0"/>
              <w:spacing w:before="0" w:after="283"/>
              <w:jc w:val="right"/>
              <w:rPr/>
            </w:pPr>
            <w:r>
              <w:rPr/>
              <w:t>1</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FFFFFF" w:val="clear"/>
            <w:vAlign w:val="center"/>
          </w:tcPr>
          <w:p>
            <w:pPr>
              <w:pStyle w:val="TableContents"/>
              <w:bidi w:val="0"/>
              <w:spacing w:before="0" w:after="283"/>
              <w:jc w:val="left"/>
              <w:rPr/>
            </w:pPr>
            <w:r>
              <w:rPr/>
              <w:t> </w:t>
            </w:r>
          </w:p>
        </w:tc>
        <w:tc>
          <w:tcPr>
            <w:tcW w:w="549" w:type="dxa"/>
            <w:tcBorders>
              <w:bottom w:val="single" w:sz="8" w:space="0" w:color="000000"/>
            </w:tcBorders>
            <w:shd w:fill="FFFFFF" w:val="clear"/>
            <w:vAlign w:val="center"/>
          </w:tcPr>
          <w:p>
            <w:pPr>
              <w:pStyle w:val="TableContents"/>
              <w:bidi w:val="0"/>
              <w:spacing w:before="0" w:after="283"/>
              <w:jc w:val="right"/>
              <w:rPr/>
            </w:pPr>
            <w:r>
              <w:rPr/>
              <w:t>(2</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395" w:type="dxa"/>
            <w:tcBorders/>
            <w:shd w:fill="CCEEFF" w:val="clear"/>
            <w:tcMar>
              <w:bottom w:w="0" w:type="dxa"/>
            </w:tcMar>
            <w:vAlign w:val="center"/>
          </w:tcPr>
          <w:p>
            <w:pPr>
              <w:pStyle w:val="TableContents"/>
              <w:bidi w:val="0"/>
              <w:spacing w:before="0" w:after="283"/>
              <w:jc w:val="left"/>
              <w:rPr/>
            </w:pPr>
            <w:r>
              <w:rPr/>
              <w:t>VI</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80" w:type="dxa"/>
            <w:tcBorders/>
            <w:shd w:fill="CCEEFF" w:val="clear"/>
            <w:tcMar>
              <w:bottom w:w="0" w:type="dxa"/>
            </w:tcMar>
            <w:vAlign w:val="center"/>
          </w:tcPr>
          <w:p>
            <w:pPr>
              <w:pStyle w:val="TableContents"/>
              <w:bidi w:val="0"/>
              <w:spacing w:before="0" w:after="283"/>
              <w:jc w:val="left"/>
              <w:rPr/>
            </w:pPr>
            <w:r>
              <w:rPr/>
              <w:t>Average Adjusted Equity [A + 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c>
          <w:tcPr>
            <w:tcW w:w="549" w:type="dxa"/>
            <w:tcBorders>
              <w:bottom w:val="single" w:sz="8" w:space="0" w:color="000000"/>
            </w:tcBorders>
            <w:shd w:fill="CCEEFF" w:val="clear"/>
            <w:vAlign w:val="center"/>
          </w:tcPr>
          <w:p>
            <w:pPr>
              <w:pStyle w:val="TableContents"/>
              <w:bidi w:val="0"/>
              <w:spacing w:before="0" w:after="283"/>
              <w:jc w:val="right"/>
              <w:rPr/>
            </w:pPr>
            <w:r>
              <w:rPr/>
              <w:t>625</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c>
          <w:tcPr>
            <w:tcW w:w="549" w:type="dxa"/>
            <w:tcBorders>
              <w:bottom w:val="single" w:sz="8" w:space="0" w:color="000000"/>
            </w:tcBorders>
            <w:shd w:fill="CCEEFF" w:val="clear"/>
            <w:vAlign w:val="center"/>
          </w:tcPr>
          <w:p>
            <w:pPr>
              <w:pStyle w:val="TableContents"/>
              <w:bidi w:val="0"/>
              <w:spacing w:before="0" w:after="283"/>
              <w:jc w:val="right"/>
              <w:rPr/>
            </w:pPr>
            <w:r>
              <w:rPr/>
              <w:t>633</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c>
          <w:tcPr>
            <w:tcW w:w="549" w:type="dxa"/>
            <w:tcBorders>
              <w:bottom w:val="single" w:sz="8" w:space="0" w:color="000000"/>
            </w:tcBorders>
            <w:shd w:fill="CCEEFF" w:val="clear"/>
            <w:vAlign w:val="center"/>
          </w:tcPr>
          <w:p>
            <w:pPr>
              <w:pStyle w:val="TableContents"/>
              <w:bidi w:val="0"/>
              <w:spacing w:before="0" w:after="283"/>
              <w:jc w:val="right"/>
              <w:rPr/>
            </w:pPr>
            <w:r>
              <w:rPr/>
              <w:t>467</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395" w:type="dxa"/>
            <w:tcBorders/>
            <w:shd w:fill="FFFFFF" w:val="clear"/>
            <w:tcMar>
              <w:bottom w:w="0" w:type="dxa"/>
            </w:tcMar>
            <w:vAlign w:val="center"/>
          </w:tcPr>
          <w:p>
            <w:pPr>
              <w:pStyle w:val="TableContents"/>
              <w:bidi w:val="0"/>
              <w:spacing w:before="0" w:after="283"/>
              <w:jc w:val="left"/>
              <w:rPr>
                <w:b/>
              </w:rPr>
            </w:pPr>
            <w:r>
              <w:rPr>
                <w:b/>
              </w:rPr>
              <w:t>VII</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8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Adjusted ROE </w:t>
            </w:r>
            <w:r>
              <w:rPr>
                <w:rFonts w:ascii="Times New Roman;Times;Serif" w:hAnsi="Times New Roman;Times;Serif"/>
                <w:b/>
                <w:position w:val="7"/>
                <w:sz w:val="16"/>
                <w:sz w:val="20"/>
              </w:rPr>
              <w:t>(a)</w:t>
            </w:r>
            <w:r>
              <w:rPr>
                <w:rFonts w:ascii="Times New Roman;Times;Serif" w:hAnsi="Times New Roman;Times;Serif"/>
                <w:b/>
                <w:sz w:val="20"/>
              </w:rPr>
              <w:t xml:space="preserve"> [V / VI]</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FFFFFF" w:val="clear"/>
            <w:vAlign w:val="center"/>
          </w:tcPr>
          <w:p>
            <w:pPr>
              <w:pStyle w:val="TableContents"/>
              <w:bidi w:val="0"/>
              <w:spacing w:before="0" w:after="283"/>
              <w:jc w:val="left"/>
              <w:rPr/>
            </w:pPr>
            <w:r>
              <w:rPr/>
              <w:t> </w:t>
            </w:r>
          </w:p>
        </w:tc>
        <w:tc>
          <w:tcPr>
            <w:tcW w:w="549" w:type="dxa"/>
            <w:tcBorders>
              <w:bottom w:val="single" w:sz="8" w:space="0" w:color="000000"/>
            </w:tcBorders>
            <w:shd w:fill="FFFFFF" w:val="clear"/>
            <w:vAlign w:val="center"/>
          </w:tcPr>
          <w:p>
            <w:pPr>
              <w:pStyle w:val="TableContents"/>
              <w:bidi w:val="0"/>
              <w:spacing w:before="0" w:after="283"/>
              <w:jc w:val="right"/>
              <w:rPr>
                <w:b/>
              </w:rPr>
            </w:pPr>
            <w:r>
              <w:rPr>
                <w:b/>
              </w:rPr>
              <w:t>9</w:t>
            </w:r>
          </w:p>
        </w:tc>
        <w:tc>
          <w:tcPr>
            <w:tcW w:w="290"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FFFFFF" w:val="clear"/>
            <w:vAlign w:val="center"/>
          </w:tcPr>
          <w:p>
            <w:pPr>
              <w:pStyle w:val="TableContents"/>
              <w:bidi w:val="0"/>
              <w:spacing w:before="0" w:after="283"/>
              <w:jc w:val="left"/>
              <w:rPr/>
            </w:pPr>
            <w:r>
              <w:rPr/>
              <w:t> </w:t>
            </w:r>
          </w:p>
        </w:tc>
        <w:tc>
          <w:tcPr>
            <w:tcW w:w="549" w:type="dxa"/>
            <w:tcBorders>
              <w:bottom w:val="single" w:sz="8" w:space="0" w:color="000000"/>
            </w:tcBorders>
            <w:shd w:fill="FFFFFF" w:val="clear"/>
            <w:vAlign w:val="center"/>
          </w:tcPr>
          <w:p>
            <w:pPr>
              <w:pStyle w:val="TableContents"/>
              <w:bidi w:val="0"/>
              <w:spacing w:before="0" w:after="283"/>
              <w:jc w:val="right"/>
              <w:rPr>
                <w:b/>
              </w:rPr>
            </w:pPr>
            <w:r>
              <w:rPr>
                <w:b/>
              </w:rPr>
              <w:t>9</w:t>
            </w:r>
          </w:p>
        </w:tc>
        <w:tc>
          <w:tcPr>
            <w:tcW w:w="260"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FFFFFF" w:val="clear"/>
            <w:vAlign w:val="center"/>
          </w:tcPr>
          <w:p>
            <w:pPr>
              <w:pStyle w:val="TableContents"/>
              <w:bidi w:val="0"/>
              <w:spacing w:before="0" w:after="283"/>
              <w:jc w:val="left"/>
              <w:rPr/>
            </w:pPr>
            <w:r>
              <w:rPr/>
              <w:t> </w:t>
            </w:r>
          </w:p>
        </w:tc>
        <w:tc>
          <w:tcPr>
            <w:tcW w:w="549" w:type="dxa"/>
            <w:tcBorders>
              <w:bottom w:val="single" w:sz="8" w:space="0" w:color="000000"/>
            </w:tcBorders>
            <w:shd w:fill="FFFFFF" w:val="clear"/>
            <w:vAlign w:val="center"/>
          </w:tcPr>
          <w:p>
            <w:pPr>
              <w:pStyle w:val="TableContents"/>
              <w:bidi w:val="0"/>
              <w:spacing w:before="0" w:after="283"/>
              <w:jc w:val="right"/>
              <w:rPr>
                <w:b/>
              </w:rPr>
            </w:pPr>
            <w:r>
              <w:rPr>
                <w:b/>
              </w:rPr>
              <w:t>14</w:t>
            </w:r>
          </w:p>
        </w:tc>
        <w:tc>
          <w:tcPr>
            <w:tcW w:w="275"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 Q4’25, adjusted average equity used in adjusted ROE is now a monthly average; presentation of past periods has been conformed to the current presentation; without this change, adjusted ROE would be 14% in Q2’25; see “Notables” above for more information; effective in Q2’26, we changed the methodology used to calculate MSR Valuation Adjustments due to rates and assumption changes; presentation of past periods has been conformed to the current presentation; without this change, Adjusted pre-tax income (loss) would be $16M in Q2’25, ($6M) in Q1’26, and ($5M) in Q2’26, and Adjusted ROE would be 14% in Q2’25, (4%) in Q1’26, and (3%) in Q2’26; see “Note Regarding Non-GAAP Financial Measures” above for additional information</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Revenue Calculation</w:t>
      </w:r>
    </w:p>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28" w:type="dxa"/>
          <w:right w:w="0" w:type="dxa"/>
        </w:tblCellMar>
      </w:tblPr>
      <w:tblGrid>
        <w:gridCol w:w="245"/>
        <w:gridCol w:w="60"/>
        <w:gridCol w:w="3635"/>
        <w:gridCol w:w="60"/>
        <w:gridCol w:w="86"/>
        <w:gridCol w:w="549"/>
        <w:gridCol w:w="95"/>
        <w:gridCol w:w="60"/>
        <w:gridCol w:w="86"/>
        <w:gridCol w:w="549"/>
        <w:gridCol w:w="95"/>
        <w:gridCol w:w="60"/>
        <w:gridCol w:w="86"/>
        <w:gridCol w:w="549"/>
        <w:gridCol w:w="110"/>
      </w:tblGrid>
      <w:tr>
        <w:trPr/>
        <w:tc>
          <w:tcPr>
            <w:tcW w:w="3940" w:type="dxa"/>
            <w:gridSpan w:val="3"/>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millions)</w:t>
            </w:r>
          </w:p>
        </w:tc>
        <w:tc>
          <w:tcPr>
            <w:tcW w:w="60" w:type="dxa"/>
            <w:tcBorders/>
            <w:tcMar>
              <w:bottom w:w="0" w:type="dxa"/>
            </w:tcMar>
            <w:vAlign w:val="center"/>
          </w:tcPr>
          <w:p>
            <w:pPr>
              <w:pStyle w:val="TableContents"/>
              <w:bidi w:val="0"/>
              <w:spacing w:before="0" w:after="283"/>
              <w:jc w:val="left"/>
              <w:rPr/>
            </w:pPr>
            <w:r>
              <w:rPr/>
              <w:t> </w:t>
            </w:r>
          </w:p>
        </w:tc>
        <w:tc>
          <w:tcPr>
            <w:tcW w:w="635" w:type="dxa"/>
            <w:gridSpan w:val="2"/>
            <w:tcBorders>
              <w:bottom w:val="single" w:sz="8" w:space="0" w:color="000000"/>
            </w:tcBorders>
            <w:vAlign w:val="center"/>
          </w:tcPr>
          <w:p>
            <w:pPr>
              <w:pStyle w:val="TableContents"/>
              <w:bidi w:val="0"/>
              <w:spacing w:before="0" w:after="283"/>
              <w:jc w:val="center"/>
              <w:rPr>
                <w:b/>
              </w:rPr>
            </w:pPr>
            <w:r>
              <w:rPr>
                <w:b/>
              </w:rPr>
              <w:t>Q2’26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5" w:type="dxa"/>
            <w:gridSpan w:val="2"/>
            <w:tcBorders>
              <w:bottom w:val="single" w:sz="8" w:space="0" w:color="000000"/>
            </w:tcBorders>
            <w:vAlign w:val="center"/>
          </w:tcPr>
          <w:p>
            <w:pPr>
              <w:pStyle w:val="TableContents"/>
              <w:bidi w:val="0"/>
              <w:spacing w:before="0" w:after="283"/>
              <w:jc w:val="center"/>
              <w:rPr>
                <w:b/>
              </w:rPr>
            </w:pPr>
            <w:r>
              <w:rPr>
                <w:b/>
              </w:rPr>
              <w:t>Q1’26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5" w:type="dxa"/>
            <w:gridSpan w:val="2"/>
            <w:tcBorders>
              <w:bottom w:val="single" w:sz="8" w:space="0" w:color="000000"/>
            </w:tcBorders>
            <w:vAlign w:val="center"/>
          </w:tcPr>
          <w:p>
            <w:pPr>
              <w:pStyle w:val="TableContents"/>
              <w:bidi w:val="0"/>
              <w:spacing w:before="0" w:after="283"/>
              <w:jc w:val="center"/>
              <w:rPr>
                <w:b/>
              </w:rPr>
            </w:pPr>
            <w:r>
              <w:rPr>
                <w:b/>
              </w:rPr>
              <w:t>Q2’25</w:t>
            </w:r>
          </w:p>
        </w:tc>
        <w:tc>
          <w:tcPr>
            <w:tcW w:w="110" w:type="dxa"/>
            <w:tcBorders/>
            <w:tcMar>
              <w:bottom w:w="0" w:type="dxa"/>
            </w:tcMar>
            <w:vAlign w:val="center"/>
          </w:tcPr>
          <w:p>
            <w:pPr>
              <w:pStyle w:val="TableContents"/>
              <w:bidi w:val="0"/>
              <w:spacing w:before="0" w:after="283"/>
              <w:jc w:val="left"/>
              <w:rPr/>
            </w:pPr>
            <w:r>
              <w:rPr/>
              <w:t> </w:t>
            </w:r>
          </w:p>
        </w:tc>
      </w:tr>
      <w:tr>
        <w:trPr/>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283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294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247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Rithm, MAV, &amp; Other Pledged MSR Reclass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549" w:type="dxa"/>
            <w:tcBorders/>
            <w:shd w:fill="FFFFFF" w:val="clear"/>
            <w:tcMar>
              <w:bottom w:w="0" w:type="dxa"/>
            </w:tcMar>
            <w:vAlign w:val="center"/>
          </w:tcPr>
          <w:p>
            <w:pPr>
              <w:pStyle w:val="TableContents"/>
              <w:bidi w:val="0"/>
              <w:spacing w:before="0" w:after="283"/>
              <w:jc w:val="right"/>
              <w:rPr/>
            </w:pPr>
            <w:r>
              <w:rPr/>
              <w:t>(26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549" w:type="dxa"/>
            <w:tcBorders/>
            <w:shd w:fill="FFFFFF" w:val="clear"/>
            <w:tcMar>
              <w:bottom w:w="0" w:type="dxa"/>
            </w:tcMar>
            <w:vAlign w:val="center"/>
          </w:tcPr>
          <w:p>
            <w:pPr>
              <w:pStyle w:val="TableContents"/>
              <w:bidi w:val="0"/>
              <w:spacing w:before="0" w:after="283"/>
              <w:jc w:val="right"/>
              <w:rPr/>
            </w:pPr>
            <w:r>
              <w:rPr/>
              <w:t>(31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549" w:type="dxa"/>
            <w:tcBorders/>
            <w:shd w:fill="FFFFFF" w:val="clear"/>
            <w:tcMar>
              <w:bottom w:w="0" w:type="dxa"/>
            </w:tcMar>
            <w:vAlign w:val="center"/>
          </w:tcPr>
          <w:p>
            <w:pPr>
              <w:pStyle w:val="TableContents"/>
              <w:bidi w:val="0"/>
              <w:spacing w:before="0" w:after="283"/>
              <w:jc w:val="right"/>
              <w:rPr/>
            </w:pPr>
            <w:r>
              <w:rPr/>
              <w:t>(30</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Reclass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MSR FV Adjustments Notables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549" w:type="dxa"/>
            <w:tcBorders/>
            <w:shd w:fill="FFFFFF" w:val="clear"/>
            <w:tcMar>
              <w:bottom w:w="0" w:type="dxa"/>
            </w:tcMar>
            <w:vAlign w:val="center"/>
          </w:tcPr>
          <w:p>
            <w:pPr>
              <w:pStyle w:val="TableContents"/>
              <w:bidi w:val="0"/>
              <w:spacing w:before="0" w:after="283"/>
              <w:jc w:val="right"/>
              <w:rPr/>
            </w:pPr>
            <w:r>
              <w:rPr/>
              <w:t>18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549" w:type="dxa"/>
            <w:tcBorders/>
            <w:shd w:fill="FFFFFF" w:val="clear"/>
            <w:tcMar>
              <w:bottom w:w="0" w:type="dxa"/>
            </w:tcMar>
            <w:vAlign w:val="center"/>
          </w:tcPr>
          <w:p>
            <w:pPr>
              <w:pStyle w:val="TableContents"/>
              <w:bidi w:val="0"/>
              <w:spacing w:before="0" w:after="283"/>
              <w:jc w:val="right"/>
              <w:rPr/>
            </w:pPr>
            <w:r>
              <w:rPr/>
              <w:t>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549" w:type="dxa"/>
            <w:tcBorders/>
            <w:shd w:fill="FFFFFF" w:val="clear"/>
            <w:tcMar>
              <w:bottom w:w="0" w:type="dxa"/>
            </w:tcMar>
            <w:vAlign w:val="center"/>
          </w:tcPr>
          <w:p>
            <w:pPr>
              <w:pStyle w:val="TableContents"/>
              <w:bidi w:val="0"/>
              <w:spacing w:before="0" w:after="283"/>
              <w:jc w:val="right"/>
              <w:rPr/>
            </w:pPr>
            <w:r>
              <w:rPr/>
              <w:t>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Notables</w:t>
            </w:r>
            <w:r>
              <w:rPr>
                <w:rFonts w:ascii="Times New Roman;Times;Serif" w:hAnsi="Times New Roman;Times;Serif"/>
                <w:b w:val="false"/>
                <w:i w:val="false"/>
                <w:caps w:val="false"/>
                <w:smallCaps w:val="false"/>
                <w:position w:val="7"/>
                <w:sz w:val="16"/>
                <w:sz w:val="20"/>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c>
          <w:tcPr>
            <w:tcW w:w="549" w:type="dxa"/>
            <w:tcBorders>
              <w:bottom w:val="single" w:sz="8" w:space="0" w:color="000000"/>
            </w:tcBorders>
            <w:shd w:fill="CCEEFF" w:val="clear"/>
            <w:vAlign w:val="center"/>
          </w:tcPr>
          <w:p>
            <w:pPr>
              <w:pStyle w:val="TableContents"/>
              <w:bidi w:val="0"/>
              <w:spacing w:before="0" w:after="283"/>
              <w:jc w:val="right"/>
              <w:rPr/>
            </w:pPr>
            <w:r>
              <w:rPr/>
              <w:t>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c>
          <w:tcPr>
            <w:tcW w:w="549" w:type="dxa"/>
            <w:tcBorders>
              <w:bottom w:val="single" w:sz="8" w:space="0" w:color="000000"/>
            </w:tcBorders>
            <w:shd w:fill="CCEEFF" w:val="clear"/>
            <w:vAlign w:val="center"/>
          </w:tcPr>
          <w:p>
            <w:pPr>
              <w:pStyle w:val="TableContents"/>
              <w:bidi w:val="0"/>
              <w:spacing w:before="0" w:after="283"/>
              <w:jc w:val="right"/>
              <w:rPr/>
            </w:pPr>
            <w:r>
              <w:rPr/>
              <w:t>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c>
          <w:tcPr>
            <w:tcW w:w="549" w:type="dxa"/>
            <w:tcBorders>
              <w:bottom w:val="single" w:sz="8" w:space="0" w:color="000000"/>
            </w:tcBorders>
            <w:shd w:fill="CCEEFF" w:val="clear"/>
            <w:vAlign w:val="center"/>
          </w:tcPr>
          <w:p>
            <w:pPr>
              <w:pStyle w:val="TableContents"/>
              <w:bidi w:val="0"/>
              <w:spacing w:before="0" w:after="283"/>
              <w:jc w:val="right"/>
              <w:rPr/>
            </w:pPr>
            <w:r>
              <w:rPr/>
              <w:t>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Revenue [I + II + III + IV + V]</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FFFFFF" w:val="clear"/>
            <w:vAlign w:val="center"/>
          </w:tcPr>
          <w:p>
            <w:pPr>
              <w:pStyle w:val="TableContents"/>
              <w:bidi w:val="0"/>
              <w:spacing w:before="0" w:after="283"/>
              <w:jc w:val="left"/>
              <w:rPr/>
            </w:pPr>
            <w:r>
              <w:rPr/>
              <w:t> </w:t>
            </w:r>
          </w:p>
        </w:tc>
        <w:tc>
          <w:tcPr>
            <w:tcW w:w="549" w:type="dxa"/>
            <w:tcBorders>
              <w:bottom w:val="single" w:sz="8" w:space="0" w:color="000000"/>
            </w:tcBorders>
            <w:shd w:fill="FFFFFF" w:val="clear"/>
            <w:vAlign w:val="center"/>
          </w:tcPr>
          <w:p>
            <w:pPr>
              <w:pStyle w:val="TableContents"/>
              <w:bidi w:val="0"/>
              <w:spacing w:before="0" w:after="283"/>
              <w:jc w:val="right"/>
              <w:rPr>
                <w:b/>
              </w:rPr>
            </w:pPr>
            <w:r>
              <w:rPr>
                <w:b/>
              </w:rPr>
              <w:t>281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FFFFFF" w:val="clear"/>
            <w:vAlign w:val="center"/>
          </w:tcPr>
          <w:p>
            <w:pPr>
              <w:pStyle w:val="TableContents"/>
              <w:bidi w:val="0"/>
              <w:spacing w:before="0" w:after="283"/>
              <w:jc w:val="left"/>
              <w:rPr/>
            </w:pPr>
            <w:r>
              <w:rPr/>
              <w:t> </w:t>
            </w:r>
          </w:p>
        </w:tc>
        <w:tc>
          <w:tcPr>
            <w:tcW w:w="549" w:type="dxa"/>
            <w:tcBorders>
              <w:bottom w:val="single" w:sz="8" w:space="0" w:color="000000"/>
            </w:tcBorders>
            <w:shd w:fill="FFFFFF" w:val="clear"/>
            <w:vAlign w:val="center"/>
          </w:tcPr>
          <w:p>
            <w:pPr>
              <w:pStyle w:val="TableContents"/>
              <w:bidi w:val="0"/>
              <w:spacing w:before="0" w:after="283"/>
              <w:jc w:val="right"/>
              <w:rPr>
                <w:b/>
              </w:rPr>
            </w:pPr>
            <w:r>
              <w:rPr>
                <w:b/>
              </w:rPr>
              <w:t>278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FFFFFF" w:val="clear"/>
            <w:vAlign w:val="center"/>
          </w:tcPr>
          <w:p>
            <w:pPr>
              <w:pStyle w:val="TableContents"/>
              <w:bidi w:val="0"/>
              <w:spacing w:before="0" w:after="283"/>
              <w:jc w:val="left"/>
              <w:rPr/>
            </w:pPr>
            <w:r>
              <w:rPr/>
              <w:t> </w:t>
            </w:r>
          </w:p>
        </w:tc>
        <w:tc>
          <w:tcPr>
            <w:tcW w:w="549" w:type="dxa"/>
            <w:tcBorders>
              <w:bottom w:val="single" w:sz="8" w:space="0" w:color="000000"/>
            </w:tcBorders>
            <w:shd w:fill="FFFFFF" w:val="clear"/>
            <w:vAlign w:val="center"/>
          </w:tcPr>
          <w:p>
            <w:pPr>
              <w:pStyle w:val="TableContents"/>
              <w:bidi w:val="0"/>
              <w:spacing w:before="0" w:after="283"/>
              <w:jc w:val="right"/>
              <w:rPr>
                <w:b/>
              </w:rPr>
            </w:pPr>
            <w:r>
              <w:rPr>
                <w:b/>
              </w:rPr>
              <w:t>227</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830" w:type="dxa"/>
        <w:jc w:val="left"/>
        <w:tblInd w:w="0" w:type="dxa"/>
        <w:tblLayout w:type="fixed"/>
        <w:tblCellMar>
          <w:top w:w="0" w:type="dxa"/>
          <w:left w:w="0" w:type="dxa"/>
          <w:bottom w:w="0" w:type="dxa"/>
          <w:right w:w="0" w:type="dxa"/>
        </w:tblCellMar>
      </w:tblPr>
      <w:tblGrid>
        <w:gridCol w:w="185"/>
        <w:gridCol w:w="564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Contains non-routine transactions and other discrete revenue impacts</w:t>
            </w:r>
          </w:p>
        </w:tc>
      </w:tr>
    </w:tbl>
    <w:p>
      <w:pPr>
        <w:pStyle w:val="TextBody"/>
        <w:bidi w:val="0"/>
        <w:spacing w:before="0" w:after="0"/>
        <w:ind w:left="360" w:right="0" w:hanging="36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070"/>
        <w:gridCol w:w="60"/>
        <w:gridCol w:w="60"/>
        <w:gridCol w:w="860"/>
        <w:gridCol w:w="60"/>
        <w:gridCol w:w="60"/>
        <w:gridCol w:w="60"/>
        <w:gridCol w:w="860"/>
        <w:gridCol w:w="60"/>
        <w:gridCol w:w="60"/>
        <w:gridCol w:w="60"/>
        <w:gridCol w:w="860"/>
        <w:gridCol w:w="75"/>
      </w:tblGrid>
      <w:tr>
        <w:trPr/>
        <w:tc>
          <w:tcPr>
            <w:tcW w:w="707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Assets </w:t>
            </w:r>
            <w:r>
              <w:rPr>
                <w:rFonts w:ascii="Times New Roman;Times;Serif" w:hAnsi="Times New Roman;Times;Serif"/>
                <w:b/>
                <w:i/>
                <w:sz w:val="20"/>
              </w:rPr>
              <w:t>(Dollars in millions)</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tcMar>
              <w:bottom w:w="0" w:type="dxa"/>
            </w:tcMar>
            <w:vAlign w:val="center"/>
          </w:tcPr>
          <w:p>
            <w:pPr>
              <w:pStyle w:val="TableContents"/>
              <w:bidi w:val="0"/>
              <w:spacing w:before="0" w:after="283"/>
              <w:jc w:val="left"/>
              <w:rPr/>
            </w:pPr>
            <w:r>
              <w:rPr/>
              <w:t> </w:t>
            </w:r>
          </w:p>
        </w:tc>
      </w:tr>
      <w:tr>
        <w:trPr/>
        <w:tc>
          <w:tcPr>
            <w:tcW w:w="7070" w:type="dxa"/>
            <w:tcBorders/>
            <w:shd w:fill="CCEEFF" w:val="clear"/>
            <w:tcMar>
              <w:bottom w:w="0" w:type="dxa"/>
            </w:tcMar>
            <w:vAlign w:val="center"/>
          </w:tcPr>
          <w:p>
            <w:pPr>
              <w:pStyle w:val="TableContents"/>
              <w:bidi w:val="0"/>
              <w:spacing w:before="0" w:after="283"/>
              <w:jc w:val="left"/>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196.6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182.5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194.3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70" w:type="dxa"/>
            <w:tcBorders/>
            <w:shd w:fill="FFFFFF" w:val="clear"/>
            <w:tcMar>
              <w:bottom w:w="0" w:type="dxa"/>
            </w:tcMar>
            <w:vAlign w:val="center"/>
          </w:tcPr>
          <w:p>
            <w:pPr>
              <w:pStyle w:val="TableContents"/>
              <w:bidi w:val="0"/>
              <w:spacing w:before="0" w:after="283"/>
              <w:jc w:val="left"/>
              <w:rPr/>
            </w:pPr>
            <w:r>
              <w:rPr/>
              <w:t>Restricted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196.3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124.7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62.3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070" w:type="dxa"/>
            <w:tcBorders/>
            <w:shd w:fill="CCEEFF" w:val="clear"/>
            <w:tcMar>
              <w:bottom w:w="0" w:type="dxa"/>
            </w:tcMar>
            <w:vAlign w:val="center"/>
          </w:tcPr>
          <w:p>
            <w:pPr>
              <w:pStyle w:val="TableContents"/>
              <w:bidi w:val="0"/>
              <w:spacing w:before="0" w:after="283"/>
              <w:jc w:val="left"/>
              <w:rPr/>
            </w:pPr>
            <w:r>
              <w:rPr/>
              <w:t>Mortgage servicing rights (MSRs), at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3,208.8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3,025.9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2,632.6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70" w:type="dxa"/>
            <w:tcBorders/>
            <w:shd w:fill="FFFFFF" w:val="clear"/>
            <w:tcMar>
              <w:bottom w:w="0" w:type="dxa"/>
            </w:tcMar>
            <w:vAlign w:val="center"/>
          </w:tcPr>
          <w:p>
            <w:pPr>
              <w:pStyle w:val="TableContents"/>
              <w:bidi w:val="0"/>
              <w:spacing w:before="0" w:after="283"/>
              <w:jc w:val="left"/>
              <w:rPr/>
            </w:pPr>
            <w:r>
              <w:rPr/>
              <w:t>Advances,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369.5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431.1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461.4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070" w:type="dxa"/>
            <w:tcBorders/>
            <w:shd w:fill="CCEEFF" w:val="clear"/>
            <w:tcMar>
              <w:bottom w:w="0" w:type="dxa"/>
            </w:tcMar>
            <w:vAlign w:val="center"/>
          </w:tcPr>
          <w:p>
            <w:pPr>
              <w:pStyle w:val="TableContents"/>
              <w:bidi w:val="0"/>
              <w:spacing w:before="0" w:after="283"/>
              <w:jc w:val="left"/>
              <w:rPr/>
            </w:pPr>
            <w:r>
              <w:rPr/>
              <w:t>Loans held for sale, at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3,601.9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3,150.2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2,048.3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70" w:type="dxa"/>
            <w:tcBorders/>
            <w:shd w:fill="FFFFFF" w:val="clear"/>
            <w:tcMar>
              <w:bottom w:w="0" w:type="dxa"/>
            </w:tcMar>
            <w:vAlign w:val="center"/>
          </w:tcPr>
          <w:p>
            <w:pPr>
              <w:pStyle w:val="TableContents"/>
              <w:bidi w:val="0"/>
              <w:spacing w:before="0" w:after="283"/>
              <w:jc w:val="left"/>
              <w:rPr/>
            </w:pPr>
            <w:r>
              <w:rPr/>
              <w:t>Reverse loans held for sale pooled into Home Equity Conversion Mortgage Backed Securities (HMBS), at fair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9,596.5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070" w:type="dxa"/>
            <w:tcBorders/>
            <w:shd w:fill="CCEEFF" w:val="clear"/>
            <w:tcMar>
              <w:bottom w:w="0" w:type="dxa"/>
            </w:tcMar>
            <w:vAlign w:val="center"/>
          </w:tcPr>
          <w:p>
            <w:pPr>
              <w:pStyle w:val="TableContents"/>
              <w:bidi w:val="0"/>
              <w:spacing w:before="0" w:after="283"/>
              <w:jc w:val="left"/>
              <w:rPr/>
            </w:pPr>
            <w:r>
              <w:rPr/>
              <w:t>Reverse loans held for investment pooled into HMBS, at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3,640.6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70" w:type="dxa"/>
            <w:tcBorders/>
            <w:shd w:fill="FFFFFF" w:val="clear"/>
            <w:tcMar>
              <w:bottom w:w="0" w:type="dxa"/>
            </w:tcMar>
            <w:vAlign w:val="center"/>
          </w:tcPr>
          <w:p>
            <w:pPr>
              <w:pStyle w:val="TableContents"/>
              <w:bidi w:val="0"/>
              <w:spacing w:before="0" w:after="283"/>
              <w:jc w:val="left"/>
              <w:rPr/>
            </w:pPr>
            <w:r>
              <w:rPr/>
              <w:t>Loans held for investment, at fair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10,470.8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070" w:type="dxa"/>
            <w:tcBorders/>
            <w:shd w:fill="CCEEFF" w:val="clear"/>
            <w:tcMar>
              <w:bottom w:w="0" w:type="dxa"/>
            </w:tcMar>
            <w:vAlign w:val="center"/>
          </w:tcPr>
          <w:p>
            <w:pPr>
              <w:pStyle w:val="TableContents"/>
              <w:bidi w:val="0"/>
              <w:spacing w:before="0" w:after="283"/>
              <w:jc w:val="left"/>
              <w:rPr/>
            </w:pPr>
            <w:r>
              <w:rPr/>
              <w:t>Receivables,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233.9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365.0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204.6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70" w:type="dxa"/>
            <w:tcBorders/>
            <w:shd w:fill="FFFFFF" w:val="clear"/>
            <w:tcMar>
              <w:bottom w:w="0" w:type="dxa"/>
            </w:tcMar>
            <w:vAlign w:val="center"/>
          </w:tcPr>
          <w:p>
            <w:pPr>
              <w:pStyle w:val="TableContents"/>
              <w:bidi w:val="0"/>
              <w:spacing w:before="0" w:after="283"/>
              <w:jc w:val="left"/>
              <w:rPr/>
            </w:pPr>
            <w:r>
              <w:rPr/>
              <w:t>Premises and equipment,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11.0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11.3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9.7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070" w:type="dxa"/>
            <w:tcBorders/>
            <w:shd w:fill="CCEEFF" w:val="clear"/>
            <w:tcMar>
              <w:bottom w:w="0" w:type="dxa"/>
            </w:tcMar>
            <w:vAlign w:val="center"/>
          </w:tcPr>
          <w:p>
            <w:pPr>
              <w:pStyle w:val="TableContents"/>
              <w:bidi w:val="0"/>
              <w:spacing w:before="0" w:after="283"/>
              <w:jc w:val="left"/>
              <w:rPr/>
            </w:pPr>
            <w:r>
              <w:rPr/>
              <w:t>Other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365.3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318.2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129.1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70" w:type="dxa"/>
            <w:tcBorders/>
            <w:shd w:fill="FFFFFF" w:val="clear"/>
            <w:tcMar>
              <w:bottom w:w="0" w:type="dxa"/>
            </w:tcMar>
            <w:vAlign w:val="center"/>
          </w:tcPr>
          <w:p>
            <w:pPr>
              <w:pStyle w:val="TableContents"/>
              <w:bidi w:val="0"/>
              <w:spacing w:before="0" w:after="283"/>
              <w:jc w:val="left"/>
              <w:rPr/>
            </w:pPr>
            <w:r>
              <w:rPr/>
              <w:t>Contingent loan repurchase asset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60" w:type="dxa"/>
            <w:tcBorders>
              <w:bottom w:val="single" w:sz="8" w:space="0" w:color="000000"/>
            </w:tcBorders>
            <w:shd w:fill="FFFFFF" w:val="clear"/>
            <w:vAlign w:val="center"/>
          </w:tcPr>
          <w:p>
            <w:pPr>
              <w:pStyle w:val="TableContents"/>
              <w:bidi w:val="0"/>
              <w:spacing w:before="0" w:after="283"/>
              <w:jc w:val="right"/>
              <w:rPr/>
            </w:pPr>
            <w:r>
              <w:rPr/>
              <w:t>526.4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60" w:type="dxa"/>
            <w:tcBorders>
              <w:bottom w:val="single" w:sz="8" w:space="0" w:color="000000"/>
            </w:tcBorders>
            <w:shd w:fill="FFFFFF" w:val="clear"/>
            <w:vAlign w:val="center"/>
          </w:tcPr>
          <w:p>
            <w:pPr>
              <w:pStyle w:val="TableContents"/>
              <w:bidi w:val="0"/>
              <w:spacing w:before="0" w:after="283"/>
              <w:jc w:val="right"/>
              <w:rPr/>
            </w:pPr>
            <w:r>
              <w:rPr/>
              <w:t>530.0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60" w:type="dxa"/>
            <w:tcBorders>
              <w:bottom w:val="single" w:sz="8" w:space="0" w:color="000000"/>
            </w:tcBorders>
            <w:shd w:fill="FFFFFF" w:val="clear"/>
            <w:vAlign w:val="center"/>
          </w:tcPr>
          <w:p>
            <w:pPr>
              <w:pStyle w:val="TableContents"/>
              <w:bidi w:val="0"/>
              <w:spacing w:before="0" w:after="283"/>
              <w:jc w:val="right"/>
              <w:rPr/>
            </w:pPr>
            <w:r>
              <w:rPr/>
              <w:t>318.2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070" w:type="dxa"/>
            <w:tcBorders/>
            <w:shd w:fill="CCEEFF" w:val="clear"/>
            <w:tcMar>
              <w:bottom w:w="0" w:type="dxa"/>
            </w:tcMar>
            <w:vAlign w:val="center"/>
          </w:tcPr>
          <w:p>
            <w:pPr>
              <w:pStyle w:val="TableContents"/>
              <w:bidi w:val="0"/>
              <w:spacing w:before="0" w:after="283"/>
              <w:jc w:val="left"/>
              <w:rPr>
                <w:b/>
              </w:rPr>
            </w:pPr>
            <w:r>
              <w:rPr>
                <w:b/>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60" w:type="dxa"/>
            <w:tcBorders>
              <w:bottom w:val="single" w:sz="8" w:space="0" w:color="000000"/>
            </w:tcBorders>
            <w:shd w:fill="CCEEFF" w:val="clear"/>
            <w:vAlign w:val="center"/>
          </w:tcPr>
          <w:p>
            <w:pPr>
              <w:pStyle w:val="TableContents"/>
              <w:bidi w:val="0"/>
              <w:spacing w:before="0" w:after="283"/>
              <w:jc w:val="right"/>
              <w:rPr>
                <w:b/>
              </w:rPr>
            </w:pPr>
            <w:r>
              <w:rPr>
                <w:b/>
              </w:rPr>
              <w:t>12,350.3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60" w:type="dxa"/>
            <w:tcBorders>
              <w:bottom w:val="single" w:sz="8" w:space="0" w:color="000000"/>
            </w:tcBorders>
            <w:shd w:fill="CCEEFF" w:val="clear"/>
            <w:vAlign w:val="center"/>
          </w:tcPr>
          <w:p>
            <w:pPr>
              <w:pStyle w:val="TableContents"/>
              <w:bidi w:val="0"/>
              <w:spacing w:before="0" w:after="283"/>
              <w:jc w:val="right"/>
              <w:rPr>
                <w:b/>
              </w:rPr>
            </w:pPr>
            <w:r>
              <w:rPr>
                <w:b/>
              </w:rPr>
              <w:t>17,735.2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60" w:type="dxa"/>
            <w:tcBorders>
              <w:bottom w:val="single" w:sz="8" w:space="0" w:color="000000"/>
            </w:tcBorders>
            <w:shd w:fill="CCEEFF" w:val="clear"/>
            <w:vAlign w:val="center"/>
          </w:tcPr>
          <w:p>
            <w:pPr>
              <w:pStyle w:val="TableContents"/>
              <w:bidi w:val="0"/>
              <w:spacing w:before="0" w:after="283"/>
              <w:jc w:val="right"/>
              <w:rPr>
                <w:b/>
              </w:rPr>
            </w:pPr>
            <w:r>
              <w:rPr>
                <w:b/>
              </w:rPr>
              <w:t>16,531.3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780" w:type="dxa"/>
        <w:jc w:val="left"/>
        <w:tblInd w:w="0" w:type="dxa"/>
        <w:tblLayout w:type="fixed"/>
        <w:tblCellMar>
          <w:top w:w="0" w:type="dxa"/>
          <w:left w:w="0" w:type="dxa"/>
          <w:bottom w:w="28" w:type="dxa"/>
          <w:right w:w="0" w:type="dxa"/>
        </w:tblCellMar>
      </w:tblPr>
      <w:tblGrid>
        <w:gridCol w:w="5645"/>
        <w:gridCol w:w="60"/>
        <w:gridCol w:w="60"/>
        <w:gridCol w:w="860"/>
        <w:gridCol w:w="60"/>
        <w:gridCol w:w="60"/>
        <w:gridCol w:w="60"/>
        <w:gridCol w:w="860"/>
        <w:gridCol w:w="60"/>
        <w:gridCol w:w="60"/>
        <w:gridCol w:w="60"/>
        <w:gridCol w:w="860"/>
        <w:gridCol w:w="75"/>
      </w:tblGrid>
      <w:tr>
        <w:trPr/>
        <w:tc>
          <w:tcPr>
            <w:tcW w:w="564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Liabilities, Mezzanine &amp; Stockholders’ Equity </w:t>
            </w:r>
            <w:r>
              <w:rPr>
                <w:rFonts w:ascii="Times New Roman;Times;Serif" w:hAnsi="Times New Roman;Times;Serif"/>
                <w:b/>
                <w:i/>
                <w:sz w:val="20"/>
              </w:rPr>
              <w:t>(Dollars in millions)</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tcMar>
              <w:bottom w:w="0" w:type="dxa"/>
            </w:tcMar>
            <w:vAlign w:val="center"/>
          </w:tcPr>
          <w:p>
            <w:pPr>
              <w:pStyle w:val="TableContents"/>
              <w:bidi w:val="0"/>
              <w:spacing w:before="0" w:after="283"/>
              <w:jc w:val="left"/>
              <w:rPr/>
            </w:pPr>
            <w:r>
              <w:rPr/>
              <w:t> </w:t>
            </w:r>
          </w:p>
        </w:tc>
      </w:tr>
      <w:tr>
        <w:trPr/>
        <w:tc>
          <w:tcPr>
            <w:tcW w:w="5645" w:type="dxa"/>
            <w:tcBorders/>
            <w:shd w:fill="CCEEFF" w:val="clear"/>
            <w:tcMar>
              <w:bottom w:w="0" w:type="dxa"/>
            </w:tcMar>
            <w:vAlign w:val="center"/>
          </w:tcPr>
          <w:p>
            <w:pPr>
              <w:pStyle w:val="TableContents"/>
              <w:bidi w:val="0"/>
              <w:spacing w:before="0" w:after="283"/>
              <w:jc w:val="left"/>
              <w:rPr/>
            </w:pPr>
            <w:r>
              <w:rPr/>
              <w:t>HMBS-related borrowings, at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3,610.9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9,437.4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10,253.1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645" w:type="dxa"/>
            <w:tcBorders/>
            <w:shd w:fill="FFFFFF" w:val="clear"/>
            <w:tcMar>
              <w:bottom w:w="0" w:type="dxa"/>
            </w:tcMar>
            <w:vAlign w:val="center"/>
          </w:tcPr>
          <w:p>
            <w:pPr>
              <w:pStyle w:val="TableContents"/>
              <w:bidi w:val="0"/>
              <w:spacing w:before="0" w:after="283"/>
              <w:jc w:val="left"/>
              <w:rPr/>
            </w:pPr>
            <w:r>
              <w:rPr/>
              <w:t>MSR related financing liabilities, at fair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729.0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794.6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818.1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645" w:type="dxa"/>
            <w:tcBorders/>
            <w:shd w:fill="CCEEFF" w:val="clear"/>
            <w:tcMar>
              <w:bottom w:w="0" w:type="dxa"/>
            </w:tcMar>
            <w:vAlign w:val="center"/>
          </w:tcPr>
          <w:p>
            <w:pPr>
              <w:pStyle w:val="TableContents"/>
              <w:bidi w:val="0"/>
              <w:spacing w:before="0" w:after="283"/>
              <w:jc w:val="left"/>
              <w:rPr/>
            </w:pPr>
            <w:r>
              <w:rPr/>
              <w:t>MSR financing facilities,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1,566.1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1,371.0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1,218.6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645" w:type="dxa"/>
            <w:tcBorders/>
            <w:shd w:fill="FFFFFF" w:val="clear"/>
            <w:tcMar>
              <w:bottom w:w="0" w:type="dxa"/>
            </w:tcMar>
            <w:vAlign w:val="center"/>
          </w:tcPr>
          <w:p>
            <w:pPr>
              <w:pStyle w:val="TableContents"/>
              <w:bidi w:val="0"/>
              <w:spacing w:before="0" w:after="283"/>
              <w:jc w:val="left"/>
              <w:rPr/>
            </w:pPr>
            <w:r>
              <w:rPr/>
              <w:t>Advance match funded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254.7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291.3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342.5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645" w:type="dxa"/>
            <w:tcBorders/>
            <w:shd w:fill="CCEEFF" w:val="clear"/>
            <w:tcMar>
              <w:bottom w:w="0" w:type="dxa"/>
            </w:tcMar>
            <w:vAlign w:val="center"/>
          </w:tcPr>
          <w:p>
            <w:pPr>
              <w:pStyle w:val="TableContents"/>
              <w:bidi w:val="0"/>
              <w:spacing w:before="0" w:after="283"/>
              <w:jc w:val="left"/>
              <w:rPr/>
            </w:pPr>
            <w:r>
              <w:rPr/>
              <w:t>Mortgage warehouse facilities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2,061.7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2,193.0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1,765.6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645" w:type="dxa"/>
            <w:tcBorders/>
            <w:shd w:fill="FFFFFF" w:val="clear"/>
            <w:tcMar>
              <w:bottom w:w="0" w:type="dxa"/>
            </w:tcMar>
            <w:vAlign w:val="center"/>
          </w:tcPr>
          <w:p>
            <w:pPr>
              <w:pStyle w:val="TableContents"/>
              <w:bidi w:val="0"/>
              <w:spacing w:before="0" w:after="283"/>
              <w:jc w:val="left"/>
              <w:rPr/>
            </w:pPr>
            <w:r>
              <w:rPr/>
              <w:t>Reverse mortgage securitization notes,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1,925.0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1,321.0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429.9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645" w:type="dxa"/>
            <w:tcBorders/>
            <w:shd w:fill="CCEEFF" w:val="clear"/>
            <w:tcMar>
              <w:bottom w:w="0" w:type="dxa"/>
            </w:tcMar>
            <w:vAlign w:val="center"/>
          </w:tcPr>
          <w:p>
            <w:pPr>
              <w:pStyle w:val="TableContents"/>
              <w:bidi w:val="0"/>
              <w:spacing w:before="0" w:after="283"/>
              <w:jc w:val="left"/>
              <w:rPr/>
            </w:pPr>
            <w:r>
              <w:rPr/>
              <w:t>Senior notes,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693.2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692.8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488.5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645" w:type="dxa"/>
            <w:tcBorders/>
            <w:shd w:fill="FFFFFF" w:val="clear"/>
            <w:tcMar>
              <w:bottom w:w="0" w:type="dxa"/>
            </w:tcMar>
            <w:vAlign w:val="center"/>
          </w:tcPr>
          <w:p>
            <w:pPr>
              <w:pStyle w:val="TableContents"/>
              <w:bidi w:val="0"/>
              <w:spacing w:before="0" w:after="283"/>
              <w:jc w:val="left"/>
              <w:rPr/>
            </w:pPr>
            <w:r>
              <w:rPr/>
              <w:t>Other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323.5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424.9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365.0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645" w:type="dxa"/>
            <w:tcBorders/>
            <w:shd w:fill="CCEEFF" w:val="clear"/>
            <w:tcMar>
              <w:bottom w:w="0" w:type="dxa"/>
            </w:tcMar>
            <w:vAlign w:val="center"/>
          </w:tcPr>
          <w:p>
            <w:pPr>
              <w:pStyle w:val="TableContents"/>
              <w:bidi w:val="0"/>
              <w:spacing w:before="0" w:after="283"/>
              <w:jc w:val="left"/>
              <w:rPr/>
            </w:pPr>
            <w:r>
              <w:rPr/>
              <w:t>Contingent loan repurchase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60" w:type="dxa"/>
            <w:tcBorders>
              <w:bottom w:val="single" w:sz="8" w:space="0" w:color="000000"/>
            </w:tcBorders>
            <w:shd w:fill="CCEEFF" w:val="clear"/>
            <w:vAlign w:val="center"/>
          </w:tcPr>
          <w:p>
            <w:pPr>
              <w:pStyle w:val="TableContents"/>
              <w:bidi w:val="0"/>
              <w:spacing w:before="0" w:after="283"/>
              <w:jc w:val="right"/>
              <w:rPr/>
            </w:pPr>
            <w:r>
              <w:rPr/>
              <w:t>526.4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60" w:type="dxa"/>
            <w:tcBorders>
              <w:bottom w:val="single" w:sz="8" w:space="0" w:color="000000"/>
            </w:tcBorders>
            <w:shd w:fill="CCEEFF" w:val="clear"/>
            <w:vAlign w:val="center"/>
          </w:tcPr>
          <w:p>
            <w:pPr>
              <w:pStyle w:val="TableContents"/>
              <w:bidi w:val="0"/>
              <w:spacing w:before="0" w:after="283"/>
              <w:jc w:val="right"/>
              <w:rPr/>
            </w:pPr>
            <w:r>
              <w:rPr/>
              <w:t>530.0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60" w:type="dxa"/>
            <w:tcBorders>
              <w:bottom w:val="single" w:sz="8" w:space="0" w:color="000000"/>
            </w:tcBorders>
            <w:shd w:fill="CCEEFF" w:val="clear"/>
            <w:vAlign w:val="center"/>
          </w:tcPr>
          <w:p>
            <w:pPr>
              <w:pStyle w:val="TableContents"/>
              <w:bidi w:val="0"/>
              <w:spacing w:before="0" w:after="283"/>
              <w:jc w:val="right"/>
              <w:rPr/>
            </w:pPr>
            <w:r>
              <w:rPr/>
              <w:t>318.2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645" w:type="dxa"/>
            <w:tcBorders/>
            <w:shd w:fill="FFFFFF" w:val="clear"/>
            <w:tcMar>
              <w:bottom w:w="0" w:type="dxa"/>
            </w:tcMar>
            <w:vAlign w:val="center"/>
          </w:tcPr>
          <w:p>
            <w:pPr>
              <w:pStyle w:val="TableContents"/>
              <w:bidi w:val="0"/>
              <w:spacing w:before="0" w:after="283"/>
              <w:jc w:val="left"/>
              <w:rPr>
                <w:b/>
              </w:rPr>
            </w:pPr>
            <w:r>
              <w:rPr>
                <w:b/>
              </w:rPr>
              <w:t>Total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60" w:type="dxa"/>
            <w:tcBorders>
              <w:bottom w:val="single" w:sz="8" w:space="0" w:color="000000"/>
            </w:tcBorders>
            <w:shd w:fill="FFFFFF" w:val="clear"/>
            <w:vAlign w:val="center"/>
          </w:tcPr>
          <w:p>
            <w:pPr>
              <w:pStyle w:val="TableContents"/>
              <w:bidi w:val="0"/>
              <w:spacing w:before="0" w:after="283"/>
              <w:jc w:val="right"/>
              <w:rPr>
                <w:b/>
              </w:rPr>
            </w:pPr>
            <w:r>
              <w:rPr>
                <w:b/>
              </w:rPr>
              <w:t>11,690.5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60" w:type="dxa"/>
            <w:tcBorders>
              <w:bottom w:val="single" w:sz="8" w:space="0" w:color="000000"/>
            </w:tcBorders>
            <w:shd w:fill="FFFFFF" w:val="clear"/>
            <w:vAlign w:val="center"/>
          </w:tcPr>
          <w:p>
            <w:pPr>
              <w:pStyle w:val="TableContents"/>
              <w:bidi w:val="0"/>
              <w:spacing w:before="0" w:after="283"/>
              <w:jc w:val="right"/>
              <w:rPr>
                <w:b/>
              </w:rPr>
            </w:pPr>
            <w:r>
              <w:rPr>
                <w:b/>
              </w:rPr>
              <w:t>17,056.0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60" w:type="dxa"/>
            <w:tcBorders>
              <w:bottom w:val="single" w:sz="8" w:space="0" w:color="000000"/>
            </w:tcBorders>
            <w:shd w:fill="FFFFFF" w:val="clear"/>
            <w:vAlign w:val="center"/>
          </w:tcPr>
          <w:p>
            <w:pPr>
              <w:pStyle w:val="TableContents"/>
              <w:bidi w:val="0"/>
              <w:spacing w:before="0" w:after="283"/>
              <w:jc w:val="right"/>
              <w:rPr>
                <w:b/>
              </w:rPr>
            </w:pPr>
            <w:r>
              <w:rPr>
                <w:b/>
              </w:rPr>
              <w:t>15,999.5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645" w:type="dxa"/>
            <w:tcBorders/>
            <w:shd w:fill="CCEEFF" w:val="clear"/>
            <w:tcMar>
              <w:bottom w:w="0" w:type="dxa"/>
            </w:tcMar>
            <w:vAlign w:val="center"/>
          </w:tcPr>
          <w:p>
            <w:pPr>
              <w:pStyle w:val="TableContents"/>
              <w:bidi w:val="0"/>
              <w:spacing w:before="0" w:after="283"/>
              <w:jc w:val="left"/>
              <w:rPr/>
            </w:pPr>
            <w:r>
              <w:rPr/>
              <w:t>Mezzanine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49.9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49.9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49.9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645" w:type="dxa"/>
            <w:tcBorders/>
            <w:shd w:fill="FFFFFF" w:val="clear"/>
            <w:tcMar>
              <w:bottom w:w="0" w:type="dxa"/>
            </w:tcMar>
            <w:vAlign w:val="center"/>
          </w:tcPr>
          <w:p>
            <w:pPr>
              <w:pStyle w:val="TableContents"/>
              <w:bidi w:val="0"/>
              <w:spacing w:before="0" w:after="283"/>
              <w:jc w:val="left"/>
              <w:rPr/>
            </w:pPr>
            <w:r>
              <w:rPr/>
              <w:t>Stockholders’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60" w:type="dxa"/>
            <w:tcBorders>
              <w:bottom w:val="single" w:sz="8" w:space="0" w:color="000000"/>
            </w:tcBorders>
            <w:shd w:fill="FFFFFF" w:val="clear"/>
            <w:vAlign w:val="center"/>
          </w:tcPr>
          <w:p>
            <w:pPr>
              <w:pStyle w:val="TableContents"/>
              <w:bidi w:val="0"/>
              <w:spacing w:before="0" w:after="283"/>
              <w:jc w:val="right"/>
              <w:rPr/>
            </w:pPr>
            <w:r>
              <w:rPr/>
              <w:t>609.9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60" w:type="dxa"/>
            <w:tcBorders>
              <w:bottom w:val="single" w:sz="8" w:space="0" w:color="000000"/>
            </w:tcBorders>
            <w:shd w:fill="FFFFFF" w:val="clear"/>
            <w:vAlign w:val="center"/>
          </w:tcPr>
          <w:p>
            <w:pPr>
              <w:pStyle w:val="TableContents"/>
              <w:bidi w:val="0"/>
              <w:spacing w:before="0" w:after="283"/>
              <w:jc w:val="right"/>
              <w:rPr/>
            </w:pPr>
            <w:r>
              <w:rPr/>
              <w:t>629.2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60" w:type="dxa"/>
            <w:tcBorders>
              <w:bottom w:val="single" w:sz="8" w:space="0" w:color="000000"/>
            </w:tcBorders>
            <w:shd w:fill="FFFFFF" w:val="clear"/>
            <w:vAlign w:val="center"/>
          </w:tcPr>
          <w:p>
            <w:pPr>
              <w:pStyle w:val="TableContents"/>
              <w:bidi w:val="0"/>
              <w:spacing w:before="0" w:after="283"/>
              <w:jc w:val="right"/>
              <w:rPr/>
            </w:pPr>
            <w:r>
              <w:rPr/>
              <w:t>481.9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645" w:type="dxa"/>
            <w:tcBorders/>
            <w:shd w:fill="CCEEFF" w:val="clear"/>
            <w:tcMar>
              <w:bottom w:w="0" w:type="dxa"/>
            </w:tcMar>
            <w:vAlign w:val="center"/>
          </w:tcPr>
          <w:p>
            <w:pPr>
              <w:pStyle w:val="TableContents"/>
              <w:bidi w:val="0"/>
              <w:spacing w:before="0" w:after="283"/>
              <w:jc w:val="left"/>
              <w:rPr>
                <w:b/>
              </w:rPr>
            </w:pPr>
            <w:r>
              <w:rPr>
                <w:b/>
              </w:rPr>
              <w:t>Total Liabilities, Mezzanine and 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60" w:type="dxa"/>
            <w:tcBorders>
              <w:bottom w:val="single" w:sz="8" w:space="0" w:color="000000"/>
            </w:tcBorders>
            <w:shd w:fill="CCEEFF" w:val="clear"/>
            <w:vAlign w:val="center"/>
          </w:tcPr>
          <w:p>
            <w:pPr>
              <w:pStyle w:val="TableContents"/>
              <w:bidi w:val="0"/>
              <w:spacing w:before="0" w:after="283"/>
              <w:jc w:val="right"/>
              <w:rPr>
                <w:b/>
              </w:rPr>
            </w:pPr>
            <w:r>
              <w:rPr>
                <w:b/>
              </w:rPr>
              <w:t>12,350.3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60" w:type="dxa"/>
            <w:tcBorders>
              <w:bottom w:val="single" w:sz="8" w:space="0" w:color="000000"/>
            </w:tcBorders>
            <w:shd w:fill="CCEEFF" w:val="clear"/>
            <w:vAlign w:val="center"/>
          </w:tcPr>
          <w:p>
            <w:pPr>
              <w:pStyle w:val="TableContents"/>
              <w:bidi w:val="0"/>
              <w:spacing w:before="0" w:after="283"/>
              <w:jc w:val="right"/>
              <w:rPr>
                <w:b/>
              </w:rPr>
            </w:pPr>
            <w:r>
              <w:rPr>
                <w:b/>
              </w:rPr>
              <w:t>17,735.2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60" w:type="dxa"/>
            <w:tcBorders>
              <w:bottom w:val="single" w:sz="8" w:space="0" w:color="000000"/>
            </w:tcBorders>
            <w:shd w:fill="CCEEFF" w:val="clear"/>
            <w:vAlign w:val="center"/>
          </w:tcPr>
          <w:p>
            <w:pPr>
              <w:pStyle w:val="TableContents"/>
              <w:bidi w:val="0"/>
              <w:spacing w:before="0" w:after="283"/>
              <w:jc w:val="right"/>
              <w:rPr>
                <w:b/>
              </w:rPr>
            </w:pPr>
            <w:r>
              <w:rPr>
                <w:b/>
              </w:rPr>
              <w:t>16,531.3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(unaudited)</w:t>
      </w:r>
    </w:p>
    <w:p>
      <w:pPr>
        <w:pStyle w:val="TextBody"/>
        <w:bidi w:val="0"/>
        <w:spacing w:before="0" w:after="0"/>
        <w:ind w:left="0" w:right="0" w:hanging="0"/>
        <w:jc w:val="left"/>
        <w:rPr>
          <w:caps w:val="false"/>
          <w:smallCaps w:val="false"/>
        </w:rPr>
      </w:pPr>
      <w:r>
        <w:rPr>
          <w:caps w:val="false"/>
          <w:smallCaps w:val="false"/>
        </w:rPr>
        <w:t> </w:t>
      </w:r>
    </w:p>
    <w:tbl>
      <w:tblPr>
        <w:tblW w:w="10103" w:type="dxa"/>
        <w:jc w:val="left"/>
        <w:tblInd w:w="0" w:type="dxa"/>
        <w:tblLayout w:type="fixed"/>
        <w:tblCellMar>
          <w:top w:w="0" w:type="dxa"/>
          <w:left w:w="0" w:type="dxa"/>
          <w:bottom w:w="0" w:type="dxa"/>
          <w:right w:w="0" w:type="dxa"/>
        </w:tblCellMar>
      </w:tblPr>
      <w:tblGrid>
        <w:gridCol w:w="5660"/>
        <w:gridCol w:w="60"/>
        <w:gridCol w:w="255"/>
        <w:gridCol w:w="1159"/>
        <w:gridCol w:w="115"/>
        <w:gridCol w:w="72"/>
        <w:gridCol w:w="322"/>
        <w:gridCol w:w="1288"/>
        <w:gridCol w:w="115"/>
        <w:gridCol w:w="72"/>
        <w:gridCol w:w="175"/>
        <w:gridCol w:w="700"/>
        <w:gridCol w:w="110"/>
      </w:tblGrid>
      <w:tr>
        <w:trPr/>
        <w:tc>
          <w:tcPr>
            <w:tcW w:w="5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w:t>
            </w:r>
          </w:p>
        </w:tc>
        <w:tc>
          <w:tcPr>
            <w:tcW w:w="110" w:type="dxa"/>
            <w:tcBorders/>
            <w:vAlign w:val="center"/>
          </w:tcPr>
          <w:p>
            <w:pPr>
              <w:pStyle w:val="TableContents"/>
              <w:bidi w:val="0"/>
              <w:spacing w:before="0" w:after="283"/>
              <w:jc w:val="left"/>
              <w:rPr/>
            </w:pPr>
            <w:r>
              <w:rPr/>
              <w:t> </w:t>
            </w:r>
          </w:p>
        </w:tc>
      </w:tr>
      <w:tr>
        <w:trPr/>
        <w:tc>
          <w:tcPr>
            <w:tcW w:w="56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(Dollars in millions, except per share data)</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pPr>
            <w:r>
              <w:rPr>
                <w:b/>
              </w:rPr>
              <w:t>June 30,</w:t>
            </w:r>
            <w:r>
              <w:rPr/>
              <w:t xml:space="preserve"> </w:t>
            </w:r>
            <w:r>
              <w:rPr>
                <w:b/>
              </w:rPr>
              <w:t>2026</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jc w:val="center"/>
              <w:rPr>
                <w:b/>
              </w:rPr>
            </w:pPr>
            <w:r>
              <w:rPr>
                <w:b/>
              </w:rPr>
              <w:t>June 30,</w:t>
            </w:r>
          </w:p>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414" w:type="dxa"/>
            <w:gridSpan w:val="2"/>
            <w:tcBorders/>
            <w:shd w:fill="CCEEFF" w:val="clear"/>
            <w:vAlign w:val="center"/>
          </w:tcPr>
          <w:p>
            <w:pPr>
              <w:pStyle w:val="TableContents"/>
              <w:bidi w:val="0"/>
              <w:spacing w:before="0" w:after="283"/>
              <w:jc w:val="center"/>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10" w:type="dxa"/>
            <w:gridSpan w:val="2"/>
            <w:tcBorders/>
            <w:shd w:fill="CCEEFF" w:val="clear"/>
            <w:vAlign w:val="center"/>
          </w:tcPr>
          <w:p>
            <w:pPr>
              <w:pStyle w:val="TableContents"/>
              <w:bidi w:val="0"/>
              <w:spacing w:before="0" w:after="283"/>
              <w:jc w:val="center"/>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75" w:type="dxa"/>
            <w:gridSpan w:val="2"/>
            <w:tcBorders/>
            <w:shd w:fill="CCEEFF" w:val="clear"/>
            <w:vAlign w:val="center"/>
          </w:tcPr>
          <w:p>
            <w:pPr>
              <w:pStyle w:val="TableContents"/>
              <w:bidi w:val="0"/>
              <w:spacing w:before="0" w:after="283"/>
              <w:jc w:val="center"/>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pPr>
            <w:r>
              <w:rPr/>
              <w:t>Servicing and subservicing fees</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229.3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222.4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211.3</w:t>
            </w:r>
          </w:p>
        </w:tc>
        <w:tc>
          <w:tcPr>
            <w:tcW w:w="11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Gain on reverse loans and HMBS-related borrowings, net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3.8</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18.7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11.9</w:t>
            </w:r>
          </w:p>
        </w:tc>
        <w:tc>
          <w:tcPr>
            <w:tcW w:w="11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pPr>
            <w:r>
              <w:rPr/>
              <w:t>Gain on loans held for sale, net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29.4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34.1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10.4</w:t>
            </w:r>
          </w:p>
        </w:tc>
        <w:tc>
          <w:tcPr>
            <w:tcW w:w="11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Other revenue, net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pPr>
            <w:r>
              <w:rPr/>
              <w:t>20.4</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pPr>
            <w:r>
              <w:rPr/>
              <w:t>19.1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pPr>
            <w:r>
              <w:rPr/>
              <w:t>13.0</w:t>
            </w:r>
          </w:p>
        </w:tc>
        <w:tc>
          <w:tcPr>
            <w:tcW w:w="11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282.9</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294.3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246.6</w:t>
            </w:r>
          </w:p>
        </w:tc>
        <w:tc>
          <w:tcPr>
            <w:tcW w:w="11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b/>
              </w:rPr>
            </w:pPr>
            <w:r>
              <w:rPr>
                <w:b/>
              </w:rPr>
              <w:t>MSR valuation adjustments, net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(70.5</w:t>
            </w:r>
          </w:p>
        </w:tc>
        <w:tc>
          <w:tcPr>
            <w:tcW w:w="115"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(69.0</w:t>
            </w:r>
          </w:p>
        </w:tc>
        <w:tc>
          <w:tcPr>
            <w:tcW w:w="115"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(27.3</w:t>
            </w:r>
          </w:p>
        </w:tc>
        <w:tc>
          <w:tcPr>
            <w:tcW w:w="110" w:type="dxa"/>
            <w:tcBorders/>
            <w:shd w:fill="CCEEFF" w:val="clear"/>
            <w:vAlign w:val="center"/>
          </w:tcPr>
          <w:p>
            <w:pPr>
              <w:pStyle w:val="TableContents"/>
              <w:bidi w:val="0"/>
              <w:spacing w:before="0" w:after="283"/>
              <w:jc w:val="left"/>
              <w:rPr>
                <w:b/>
              </w:rPr>
            </w:pPr>
            <w:r>
              <w:rPr>
                <w:b/>
              </w:rPr>
              <w:t>)</w:t>
            </w:r>
          </w:p>
        </w:tc>
      </w:tr>
      <w:tr>
        <w:trPr/>
        <w:tc>
          <w:tcPr>
            <w:tcW w:w="566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Compensation and benefits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69.8</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69.7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60.9</w:t>
            </w:r>
          </w:p>
        </w:tc>
        <w:tc>
          <w:tcPr>
            <w:tcW w:w="11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pPr>
            <w:r>
              <w:rPr/>
              <w:t>Servicing and origination</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23.1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18.5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13.0</w:t>
            </w:r>
          </w:p>
        </w:tc>
        <w:tc>
          <w:tcPr>
            <w:tcW w:w="11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Technology and communications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17.9</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17.5</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15.5</w:t>
            </w:r>
          </w:p>
        </w:tc>
        <w:tc>
          <w:tcPr>
            <w:tcW w:w="11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pPr>
            <w:r>
              <w:rPr/>
              <w:t>Professional services</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16.7</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14.8</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8.4</w:t>
            </w:r>
          </w:p>
        </w:tc>
        <w:tc>
          <w:tcPr>
            <w:tcW w:w="11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Occupancy, equipment and mailing</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8.2</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8.5</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8.1</w:t>
            </w:r>
          </w:p>
        </w:tc>
        <w:tc>
          <w:tcPr>
            <w:tcW w:w="11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3.3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pPr>
            <w:r>
              <w:rPr/>
              <w:t>3.1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11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139.0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132.2</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109.5</w:t>
            </w:r>
          </w:p>
        </w:tc>
        <w:tc>
          <w:tcPr>
            <w:tcW w:w="11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55.5</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41.0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32.1</w:t>
            </w:r>
          </w:p>
        </w:tc>
        <w:tc>
          <w:tcPr>
            <w:tcW w:w="11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(103.1</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(82.7</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(75.6</w:t>
            </w:r>
          </w:p>
        </w:tc>
        <w:tc>
          <w:tcPr>
            <w:tcW w:w="110" w:type="dxa"/>
            <w:tcBorders/>
            <w:shd w:fill="FFFFFF" w:val="clear"/>
            <w:vAlign w:val="center"/>
          </w:tcPr>
          <w:p>
            <w:pPr>
              <w:pStyle w:val="TableContents"/>
              <w:bidi w:val="0"/>
              <w:spacing w:before="0" w:after="283"/>
              <w:jc w:val="left"/>
              <w:rPr/>
            </w:pPr>
            <w:r>
              <w:rPr/>
              <w:t>)</w:t>
            </w:r>
          </w:p>
        </w:tc>
      </w:tr>
      <w:tr>
        <w:trPr/>
        <w:tc>
          <w:tcPr>
            <w:tcW w:w="5660" w:type="dxa"/>
            <w:tcBorders/>
            <w:shd w:fill="CCEEFF" w:val="clear"/>
            <w:vAlign w:val="center"/>
          </w:tcPr>
          <w:p>
            <w:pPr>
              <w:pStyle w:val="TableContents"/>
              <w:bidi w:val="0"/>
              <w:spacing w:before="0" w:after="283"/>
              <w:jc w:val="left"/>
              <w:rPr/>
            </w:pPr>
            <w:r>
              <w:rPr/>
              <w:t>Pledged MSR liability expense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(38.2</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(42.6</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(43.0</w:t>
            </w:r>
          </w:p>
        </w:tc>
        <w:tc>
          <w:tcPr>
            <w:tcW w:w="110" w:type="dxa"/>
            <w:tcBorders/>
            <w:shd w:fill="CCEEFF" w:val="clear"/>
            <w:vAlign w:val="center"/>
          </w:tcPr>
          <w:p>
            <w:pPr>
              <w:pStyle w:val="TableContents"/>
              <w:bidi w:val="0"/>
              <w:spacing w:before="0" w:after="283"/>
              <w:jc w:val="left"/>
              <w:rPr/>
            </w:pPr>
            <w:r>
              <w:rPr/>
              <w:t>)</w:t>
            </w:r>
          </w:p>
        </w:tc>
      </w:tr>
      <w:tr>
        <w:trPr/>
        <w:tc>
          <w:tcPr>
            <w:tcW w:w="5660" w:type="dxa"/>
            <w:tcBorders/>
            <w:shd w:fill="FFFFFF" w:val="clear"/>
            <w:vAlign w:val="center"/>
          </w:tcPr>
          <w:p>
            <w:pPr>
              <w:pStyle w:val="TableContents"/>
              <w:bidi w:val="0"/>
              <w:spacing w:before="0" w:after="283"/>
              <w:jc w:val="left"/>
              <w:rPr/>
            </w:pPr>
            <w:r>
              <w:rPr/>
              <w:t>Other, net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(2.7</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pPr>
            <w:r>
              <w:rPr/>
              <w:t>(0.9</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(0.4</w:t>
            </w:r>
          </w:p>
        </w:tc>
        <w:tc>
          <w:tcPr>
            <w:tcW w:w="110" w:type="dxa"/>
            <w:tcBorders/>
            <w:shd w:fill="FFFFFF" w:val="clear"/>
            <w:vAlign w:val="center"/>
          </w:tcPr>
          <w:p>
            <w:pPr>
              <w:pStyle w:val="TableContents"/>
              <w:bidi w:val="0"/>
              <w:spacing w:before="0" w:after="283"/>
              <w:jc w:val="left"/>
              <w:rPr/>
            </w:pPr>
            <w:r>
              <w:rPr/>
              <w:t>)</w:t>
            </w:r>
          </w:p>
        </w:tc>
      </w:tr>
      <w:tr>
        <w:trPr/>
        <w:tc>
          <w:tcPr>
            <w:tcW w:w="5660" w:type="dxa"/>
            <w:tcBorders/>
            <w:shd w:fill="CCEEFF" w:val="clear"/>
            <w:vAlign w:val="center"/>
          </w:tcPr>
          <w:p>
            <w:pPr>
              <w:pStyle w:val="TableContents"/>
              <w:bidi w:val="0"/>
              <w:spacing w:before="0" w:after="283"/>
              <w:jc w:val="left"/>
              <w:rPr>
                <w:b/>
              </w:rPr>
            </w:pPr>
            <w:r>
              <w:rPr>
                <w:b/>
              </w:rPr>
              <w:t>Other income (expense), net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(88.5</w:t>
            </w:r>
          </w:p>
        </w:tc>
        <w:tc>
          <w:tcPr>
            <w:tcW w:w="115"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(85.2</w:t>
            </w:r>
          </w:p>
        </w:tc>
        <w:tc>
          <w:tcPr>
            <w:tcW w:w="115"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(87.0</w:t>
            </w:r>
          </w:p>
        </w:tc>
        <w:tc>
          <w:tcPr>
            <w:tcW w:w="110" w:type="dxa"/>
            <w:tcBorders/>
            <w:shd w:fill="CCEEFF" w:val="clear"/>
            <w:vAlign w:val="center"/>
          </w:tcPr>
          <w:p>
            <w:pPr>
              <w:pStyle w:val="TableContents"/>
              <w:bidi w:val="0"/>
              <w:spacing w:before="0" w:after="283"/>
              <w:jc w:val="left"/>
              <w:rPr>
                <w:b/>
              </w:rPr>
            </w:pPr>
            <w:r>
              <w:rPr>
                <w:b/>
              </w:rPr>
              <w:t>)</w:t>
            </w:r>
          </w:p>
        </w:tc>
      </w:tr>
      <w:tr>
        <w:trPr/>
        <w:tc>
          <w:tcPr>
            <w:tcW w:w="5660" w:type="dxa"/>
            <w:tcBorders/>
            <w:shd w:fill="FFFFFF" w:val="clear"/>
            <w:vAlign w:val="center"/>
          </w:tcPr>
          <w:p>
            <w:pPr>
              <w:pStyle w:val="TableContents"/>
              <w:bidi w:val="0"/>
              <w:spacing w:before="0" w:after="283"/>
              <w:jc w:val="left"/>
              <w:rPr/>
            </w:pPr>
            <w:r>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(15.1</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7.9</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22.8</w:t>
            </w:r>
          </w:p>
        </w:tc>
        <w:tc>
          <w:tcPr>
            <w:tcW w:w="11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pPr>
            <w:r>
              <w:rPr/>
              <w:t>0.3</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(11.9</w:t>
            </w:r>
          </w:p>
        </w:tc>
        <w:tc>
          <w:tcPr>
            <w:tcW w:w="115" w:type="dxa"/>
            <w:tcBorders/>
            <w:shd w:fill="FFFFFF" w:val="clear"/>
            <w:vAlign w:val="center"/>
          </w:tcPr>
          <w:p>
            <w:pPr>
              <w:pStyle w:val="TableContents"/>
              <w:bidi w:val="0"/>
              <w:spacing w:before="0" w:after="283"/>
              <w:jc w:val="left"/>
              <w:rPr>
                <w:b/>
              </w:rPr>
            </w:pPr>
            <w:r>
              <w:rPr>
                <w:b/>
              </w:rPr>
              <w:t>)</w:t>
            </w:r>
          </w:p>
        </w:tc>
        <w:tc>
          <w:tcPr>
            <w:tcW w:w="72" w:type="dxa"/>
            <w:tcBorders/>
            <w:shd w:fill="FFFFFF" w:val="clear"/>
            <w:vAlign w:val="center"/>
          </w:tcPr>
          <w:p>
            <w:pPr>
              <w:pStyle w:val="TableContents"/>
              <w:bidi w:val="0"/>
              <w:spacing w:before="0" w:after="283"/>
              <w:jc w:val="left"/>
              <w:rPr/>
            </w:pPr>
            <w:r>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7.6</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21.5</w:t>
            </w:r>
          </w:p>
        </w:tc>
        <w:tc>
          <w:tcPr>
            <w:tcW w:w="11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Preferred stock dividend</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w:t>
            </w:r>
          </w:p>
        </w:tc>
      </w:tr>
      <w:tr>
        <w:trPr/>
        <w:tc>
          <w:tcPr>
            <w:tcW w:w="5660" w:type="dxa"/>
            <w:tcBorders/>
            <w:shd w:fill="FFFFFF" w:val="clear"/>
            <w:vAlign w:val="center"/>
          </w:tcPr>
          <w:p>
            <w:pPr>
              <w:pStyle w:val="TableContents"/>
              <w:bidi w:val="0"/>
              <w:spacing w:before="0" w:after="283"/>
              <w:jc w:val="left"/>
              <w:rPr>
                <w:b/>
              </w:rPr>
            </w:pPr>
            <w:r>
              <w:rPr>
                <w:b/>
              </w:rPr>
              <w:t>Net Income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(12.9</w:t>
            </w:r>
          </w:p>
        </w:tc>
        <w:tc>
          <w:tcPr>
            <w:tcW w:w="115" w:type="dxa"/>
            <w:tcBorders/>
            <w:shd w:fill="FFFFFF" w:val="clear"/>
            <w:vAlign w:val="center"/>
          </w:tcPr>
          <w:p>
            <w:pPr>
              <w:pStyle w:val="TableContents"/>
              <w:bidi w:val="0"/>
              <w:spacing w:before="0" w:after="283"/>
              <w:jc w:val="left"/>
              <w:rPr>
                <w:b/>
              </w:rPr>
            </w:pPr>
            <w:r>
              <w:rPr>
                <w:b/>
              </w:rPr>
              <w:t>)</w:t>
            </w:r>
          </w:p>
        </w:tc>
        <w:tc>
          <w:tcPr>
            <w:tcW w:w="72" w:type="dxa"/>
            <w:tcBorders/>
            <w:shd w:fill="FFFFFF" w:val="clear"/>
            <w:vAlign w:val="center"/>
          </w:tcPr>
          <w:p>
            <w:pPr>
              <w:pStyle w:val="TableContents"/>
              <w:bidi w:val="0"/>
              <w:spacing w:before="0" w:after="283"/>
              <w:jc w:val="left"/>
              <w:rPr/>
            </w:pPr>
            <w:r>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6.6</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20.5</w:t>
            </w:r>
          </w:p>
        </w:tc>
        <w:tc>
          <w:tcPr>
            <w:tcW w:w="11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Basic EPS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(1.53</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0.78</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2.55</w:t>
            </w:r>
          </w:p>
        </w:tc>
        <w:tc>
          <w:tcPr>
            <w:tcW w:w="11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pPr>
            <w:r>
              <w:rPr/>
              <w:t>Diluted EPS</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w:t>
            </w:r>
          </w:p>
        </w:tc>
        <w:tc>
          <w:tcPr>
            <w:tcW w:w="1159" w:type="dxa"/>
            <w:tcBorders/>
            <w:shd w:fill="FFFFFF" w:val="clear"/>
            <w:vAlign w:val="center"/>
          </w:tcPr>
          <w:p>
            <w:pPr>
              <w:pStyle w:val="TableContents"/>
              <w:bidi w:val="0"/>
              <w:spacing w:before="0" w:after="283"/>
              <w:jc w:val="right"/>
              <w:rPr/>
            </w:pPr>
            <w:r>
              <w:rPr/>
              <w:t>(1.53</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w:t>
            </w:r>
          </w:p>
        </w:tc>
        <w:tc>
          <w:tcPr>
            <w:tcW w:w="1288" w:type="dxa"/>
            <w:tcBorders/>
            <w:shd w:fill="FFFFFF" w:val="clear"/>
            <w:vAlign w:val="center"/>
          </w:tcPr>
          <w:p>
            <w:pPr>
              <w:pStyle w:val="TableContents"/>
              <w:bidi w:val="0"/>
              <w:spacing w:before="0" w:after="283"/>
              <w:jc w:val="right"/>
              <w:rPr/>
            </w:pPr>
            <w:r>
              <w:rPr/>
              <w:t>0.74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700" w:type="dxa"/>
            <w:tcBorders/>
            <w:shd w:fill="FFFFFF" w:val="clear"/>
            <w:vAlign w:val="center"/>
          </w:tcPr>
          <w:p>
            <w:pPr>
              <w:pStyle w:val="TableContents"/>
              <w:bidi w:val="0"/>
              <w:spacing w:before="0" w:after="283"/>
              <w:jc w:val="right"/>
              <w:rPr/>
            </w:pPr>
            <w:r>
              <w:rPr/>
              <w:t>2.40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Information Contact: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Valerie Haertel, VP, Investor Relations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 570-2969</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shareholderrelations@onitygroup.com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Dico Akseraylian, SVP, Corporate Communications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 917-0066</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mediarelations@onitygroup.com</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shd w:fill="FFFFFF" w:val="clea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4259</Words>
  <Characters>23298</Characters>
  <CharactersWithSpaces>27907</CharactersWithSpaces>
  <Paragraphs>1626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