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2" w:name="xdx_904_edei--DocumentType_dxL_c20230101"/>
      <w:bookmarkEnd w:id="2"/>
      <w:r>
        <w:rPr>
          <w:rFonts w:ascii="Times New Roman;Times;Serif" w:hAnsi="Times New Roman;Times;Serif"/>
          <w:b/>
          <w:i w:val="false"/>
          <w:caps w:val="false"/>
          <w:smallCaps w:val="false"/>
          <w:sz w:val="36"/>
        </w:rPr>
        <w:t>SCHEDULE 14A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230"/>
        <w:gridCol w:w="6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ss.240.14a-12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7_edei--EntityRegistrantName_c2023"/>
      <w:bookmarkEnd w:id="3"/>
      <w:r>
        <w:rPr>
          <w:rFonts w:ascii="Times New Roman;Times;Serif" w:hAnsi="Times New Roman;Times;Serif"/>
          <w:b/>
          <w:i w:val="false"/>
          <w:caps w:val="false"/>
          <w:smallCaps w:val="false"/>
          <w:sz w:val="36"/>
        </w:rPr>
        <w:t>OCWEN FINANCIAL CORPORATION</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590675" cy="1866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1866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behalf of the Board of Directors, I cordially invite you to participate in the Annual Meeting of Shareholders of Ocwen Financial Corporation, which will be held on Tuesday, May 28, 2024, at 9:00 a.m., Eastern Daylight Time. Our experience continues to demonstrate that virtual-format shareholder meetings allow more shareholders to participate online than would be able to travel to the meeting to attend in person, so we will again be hosting this year’s Annual Meeting in a virtual format only via live audiocast on the Internet at </w:t>
      </w:r>
      <w:r>
        <w:rPr>
          <w:rFonts w:ascii="Times New Roman;Times;Serif" w:hAnsi="Times New Roman;Times;Serif"/>
          <w:b w:val="false"/>
          <w:i w:val="false"/>
          <w:caps w:val="false"/>
          <w:smallCaps w:val="false"/>
          <w:sz w:val="20"/>
          <w:u w:val="single"/>
        </w:rPr>
        <w:t>www.virtualshareholdermeeting.com/OCN2024</w:t>
      </w:r>
      <w:r>
        <w:rPr>
          <w:rFonts w:ascii="Times New Roman;Times;Serif" w:hAnsi="Times New Roman;Times;Serif"/>
          <w:b w:val="false"/>
          <w:i w:val="false"/>
          <w:caps w:val="false"/>
          <w:smallCaps w:val="false"/>
          <w:sz w:val="20"/>
        </w:rPr>
        <w:t>. To participate, vote or submit questions during the Annual Meeting via live audiocast, please review the detailed procedures included in our Notice of Annual Meeting. You will not be able to attend the Annual Meeting physically in person. For purposes of attendance at the Annual Meeting, all references herein to “present,” “participate,” or “in person,” shall mean virtually present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business to be conducted at the Annual Meeting and instructions for how to participate in the Annual Meeting are set forth in the accompanying Notice of 2024 Annual Meeting of Stockholders and Proxy Statement. Only stockholders of record and beneficial owners at the close of business on March 25, 2024 are entitled to notice of and to vote at the Annual Meeting and any adjournments or postponements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may not be able to vote your shares at the Annual Meeting unless you have obtained a legal proxy from your brokerage firm, bank, broker-dealer, or similar organization. Please contact your brokerage firm, bank, broker-dealer or other similar organization for information about specific requirements if you would like to vote your shares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continued support of, and interest in, Ocwen Financial Corporation is sincerely appreciated.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3832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8325" cy="5334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 A. Messina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Board of Directors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OCWEN FINANCIAL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1661 Worthington Road, Suite 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 Palm Beach, Florida 33409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SHAREHOLDERS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SHAREHOLDER MEETING TO BE HELD ON MAY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Meeting of Shareholders will be held:</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845"/>
        <w:gridCol w:w="3380"/>
      </w:tblGrid>
      <w:tr>
        <w:trPr/>
        <w:tc>
          <w:tcPr>
            <w:tcW w:w="7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May 28, 2024</w:t>
            </w:r>
          </w:p>
        </w:tc>
      </w:tr>
      <w:tr>
        <w:trPr/>
        <w:tc>
          <w:tcPr>
            <w:tcW w:w="7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 a.m., Eastern Daylight Time</w:t>
            </w:r>
          </w:p>
        </w:tc>
      </w:tr>
      <w:tr>
        <w:trPr/>
        <w:tc>
          <w:tcPr>
            <w:tcW w:w="7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Meeting Only via Live Audiocast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review the instructions contained in this Proxy Statement if you wish to participate in the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PURPOSE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seven directors listed in the accompanying proxy statement for one-year terms or until their successors are elected and qualified;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our Articles of Incorporation, as amended, to change our name to “Onity Group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by the Audit Committee of our Board of Directors of Deloitte &amp; Touche LLP as the independent registered public accounting firm of Ocwen Financial Corporation for the fiscal year ending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our named executive officer compensation (Say-on-Pay);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Ocwen Financial Corporation 2021 Equity Incentive Plan to increase the number of available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meeting and any postponement or adjournment of the meeting. Management is not aware of any such other business at this time.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PROCEDURES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fixed March 25, 2024 as the record date for the determination of shareholders entitled to notice of and to vote at the Annual Meeting. A list of shareholders entitled to vote at the Annual Meeting will be available for examination at our offices for ten days prior to the Annual Meeting. The list of shareholders may also be accessed during the virtual Annual Meeting at </w:t>
            </w:r>
            <w:r>
              <w:rPr>
                <w:rFonts w:ascii="Times New Roman;Times;Serif" w:hAnsi="Times New Roman;Times;Serif"/>
                <w:b w:val="false"/>
                <w:i w:val="false"/>
                <w:caps w:val="false"/>
                <w:smallCaps w:val="false"/>
                <w:sz w:val="20"/>
                <w:u w:val="single"/>
              </w:rPr>
              <w:t>www.virtualshareholdermeeting.com/OCN2024</w:t>
            </w:r>
            <w:r>
              <w:rPr>
                <w:rFonts w:ascii="Times New Roman;Times;Serif" w:hAnsi="Times New Roman;Times;Serif"/>
                <w:b w:val="false"/>
                <w:i w:val="false"/>
                <w:caps w:val="false"/>
                <w:smallCaps w:val="false"/>
                <w:sz w:val="20"/>
              </w:rPr>
              <w:t xml:space="preserve"> by using the control number on your proxy card or voting instruction form.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would like to attend the virtual meeting and you have your control number, please go to </w:t>
            </w:r>
            <w:r>
              <w:rPr>
                <w:rFonts w:ascii="Times New Roman;Times;Serif" w:hAnsi="Times New Roman;Times;Serif"/>
                <w:b w:val="false"/>
                <w:i w:val="false"/>
                <w:caps w:val="false"/>
                <w:smallCaps w:val="false"/>
                <w:sz w:val="20"/>
                <w:u w:val="single"/>
              </w:rPr>
              <w:t xml:space="preserve">www.virtualshareholdermeeting.com/OCN2024 </w:t>
            </w:r>
            <w:r>
              <w:rPr>
                <w:rFonts w:ascii="Times New Roman;Times;Serif" w:hAnsi="Times New Roman;Times;Serif"/>
                <w:b w:val="false"/>
                <w:i w:val="false"/>
                <w:caps w:val="false"/>
                <w:smallCaps w:val="false"/>
                <w:sz w:val="20"/>
              </w:rPr>
              <w:t xml:space="preserve">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Ocwen’s Annual Meeting, please call 800-586-1548 (US) or 303-562-9288 (International).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wish to submit a question during the Annual Meeting, log into the virtual meeting platform at </w:t>
            </w:r>
            <w:r>
              <w:rPr>
                <w:rFonts w:ascii="Times New Roman;Times;Serif" w:hAnsi="Times New Roman;Times;Serif"/>
                <w:b w:val="false"/>
                <w:i w:val="false"/>
                <w:caps w:val="false"/>
                <w:smallCaps w:val="false"/>
                <w:sz w:val="20"/>
                <w:u w:val="single"/>
              </w:rPr>
              <w:t>www.virtualshareholdermeeting.com/OCN2024</w:t>
            </w:r>
            <w:r>
              <w:rPr>
                <w:rFonts w:ascii="Times New Roman;Times;Serif" w:hAnsi="Times New Roman;Times;Serif"/>
                <w:b w:val="false"/>
                <w:i w:val="false"/>
                <w:caps w:val="false"/>
                <w:smallCaps w:val="false"/>
                <w:sz w:val="20"/>
              </w:rPr>
              <w:t>, type your question into the “Ask a Question” field, and click “Submit.”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for our 2024 Annual Meeting of Shareholders and our Annual Report to shareholders on Form 10-K for the year ended December 31, 2023 will be available on or about April 23, 2024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Financial Information section under the “Shareholders” tab. The approximate date on which this proxy statement, the proxy card and other accompanying materials are first being sent or given to shareholders is April 23, 2024. Additionally, and in accordance with Securities and Exchange Commission rules, you may access our annual report and proxy materials at </w:t>
      </w:r>
      <w:r>
        <w:rPr>
          <w:rFonts w:ascii="Times New Roman;Times;Serif" w:hAnsi="Times New Roman;Times;Serif"/>
          <w:b w:val="false"/>
          <w:i w:val="false"/>
          <w:caps w:val="false"/>
          <w:smallCaps w:val="false"/>
          <w:sz w:val="20"/>
          <w:u w:val="single"/>
        </w:rPr>
        <w:t>http://shareholders.ocwen.com/sec.cfm</w:t>
      </w:r>
      <w:r>
        <w:rPr>
          <w:rFonts w:ascii="Times New Roman;Times;Serif" w:hAnsi="Times New Roman;Times;Serif"/>
          <w:b w:val="false"/>
          <w:i w:val="false"/>
          <w:caps w:val="false"/>
          <w:smallCaps w:val="false"/>
          <w:sz w:val="20"/>
        </w:rPr>
        <w:t>, a website that does not identify or track visitors of the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questions for Ocwen Financial Corporation regarding this virtual Annual Meeting, please contact our shareholder relations department at </w:t>
      </w:r>
      <w:r>
        <w:rPr>
          <w:rFonts w:ascii="Times New Roman;Times;Serif" w:hAnsi="Times New Roman;Times;Serif"/>
          <w:b w:val="false"/>
          <w:i w:val="false"/>
          <w:caps w:val="false"/>
          <w:smallCaps w:val="false"/>
          <w:sz w:val="20"/>
          <w:u w:val="single"/>
        </w:rPr>
        <w:t>shareholderrelations@ocwen.com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0" cy="4191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J. Samarias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12, 2024</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OCWEN FINANCIAL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is being furnished to you in connection with the solicitation of proxies by the Board of Directors of Ocwen Financial Corporation (Ocwen, the Company, we, us, or our) for use at our 2024 Annual Meeting of Shareholders (the Annual Meeting) and at any postponement or adjournment of this meeting. The approximate date on which this proxy statement, the proxy card and other accompanying materials are first being sent or given to shareholders is April 23, 2024. The Annual Meeting will be held on Tuesday, May 28, 2024, at 9:00 a.m., Eastern Daylight Time, for the purposes listed in the Notice of Annual Meeting of Shareholders. We will be hosting this year’s Annual Meeting via live audiocast on the Internet at </w:t>
      </w:r>
      <w:r>
        <w:rPr>
          <w:rFonts w:ascii="Times New Roman;Times;Serif" w:hAnsi="Times New Roman;Times;Serif"/>
          <w:b w:val="false"/>
          <w:i w:val="false"/>
          <w:caps w:val="false"/>
          <w:smallCaps w:val="false"/>
          <w:sz w:val="20"/>
          <w:u w:val="single"/>
        </w:rPr>
        <w:t>www.virtualshareholdermeeting.com/OCN2024</w:t>
      </w:r>
      <w:r>
        <w:rPr>
          <w:rFonts w:ascii="Times New Roman;Times;Serif" w:hAnsi="Times New Roman;Times;Serif"/>
          <w:b w:val="false"/>
          <w:i w:val="false"/>
          <w:caps w:val="false"/>
          <w:smallCaps w:val="false"/>
          <w:sz w:val="20"/>
        </w:rPr>
        <w:t>. If you are interested in participating in the virtual meeting, voting or submitting questions at that time, please see “Annual Meeting Participation” below for further details. You will not be able to attend the Annual Meeting physically in person. For purposes of attendance at the Annual Meeting, all references herein to “present,” “participate,” or “in person,” shall mean virtually present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 Proxy 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appointed Glen A. Messina, Chair of the Board, President and Chief Executive Officer, and Joseph J. Samarias, Executive Vice President, Chief Legal Officer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(Election of Directors) - “FOR ALL” of the seven nominees for Director listed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 (Approval of Name Change) - “FOR” approval of an amendment to our Articles of Incorporation, as amended, to change our name to “Onity Group Inc.” (our Name 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(Ratification of Appointment of Independent Registered Public Accounting Firm) - “FOR” ratification of the appointment of Deloitte &amp; Touche LLP as our independent registered public accounting firm for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Four (Advisory Resolution on Named Executive Officer Compensation, or Say-on-Pay) - “FOR” approval, on an advisory basis, of the compensation of Ocwen’s executive officers whose compensation is disclosed in this proxy statement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Five (Approval of the amendment to the Ocwen Financial Corporation 2021 Equity Incentive Plan (the 2021 Plan Amendment)) - “FOR” approval of an amendment to the Ocwen Financial Corporation 2021 Equity Incentive Plan to increase the number of shares available for awards;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any other business that properly comes before the meeting, in accordance with the best judgment of the management proxy holders. As of the date of this proxy statement, we do not know of any other business that may come before the Annual Meeting.</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Revoke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may be used only at the Annual Meeting and any postponement or adjournment of this meeting and may not be used for any other meeting. You have the power to revoke your proxy at any time before it is exercised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written notice of revocation with our Secretary at the following address: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J. Samarias, Secretary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Ocwen Financial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 Worthington Road, Suite 100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Florida 33409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properly executed proxy card bearing a later date or submitting another proxy using the Internet or by telephone (your latest Internet or telephone voting instructions will be followed),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in the virtual Annual Meeting and giving the Secretary notice of your intention to vote at that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interested in participating in the virtual Annual Meeting, voting or submitting questions at that time, please see “Annual Meeting Participation” below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all matters properly presented at the Annual Meeting, each share of our common stock is entitled to one vote. All shareholders who owned our common stock as of the close of business on March 25, 2024 (the Record Date) are cordially invited to participate in the 2024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Computershare,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7,764,754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 if you are a Shareholder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Give Voting Instructions if you are a Beneficial Owner of Shares held in Street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may not be able to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through a brokerage account and you do not submit instructions to your Broker about how your shares are to be voted, one of two things can happen depending on the type of proposal. If the proposal involves a “routine” matter, such as approval of our Name Change or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such as the proposals to elect directors, approve Say-on-Pay, and approve the 2021 Plan Amendment, then Brokers are not permitted to vote your shares without instruction from you. If you do not submit voting instructions to your Broker and your Broker exercises its discretion to vote your shares on Proposal Two to approve the Name Change and Proposal Three to ratify the appointment of Deloitte &amp; Touche LLP as our independent registered public accounting firm for 2024, your shares will constitute broker “non-votes” on each of the other proposals at the Annual Meeting. Therefore, it is important that you provide instructions to your Broker if your shares are held by a Broker so that your votes with respect to election of directors, Say-on-Pay, and the 2021 Plan Amendment are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 and Voting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at the Annual Meeting of a majority of the votes of our common stock entitled to vote, represented in person or by proxy, will constitute a quorum for the transaction of business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 quorum, the seven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amend our Articles of Incorporation, as amended, to change our name to Onity Group Inc., Proposal Three to ratify the appointment of Deloitte &amp; Touche LLP as our independent registered public accounting firm for 2024, Proposal Four to approve Say-on-Pay, and Proposal Five to approve the 2021 Plan Amendment, the proposal will be approved if the votes cast by the holders of the shares represented at the Annual Meeting and entitled to vote in favor of the action exceed the votes cast opposing the action. Because Proposal Three to ratify the appointment of Deloitte &amp; Touche LLP as our independent registered public accounting firm for 2024 and Proposal Four to approve Say-on-Pay are advisory in nature, there is no specific requirement for approval for these proposals. It will be up to the Audit Committee with respect to Proposal Three and the Compensation and Human Capital Committee with respect to Proposal Four, as well as the Board of Directors, to determine whether and how to implement the advisory votes on the ratification of the appointment of our independent registered public accounting firm and Say-on-Pay.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approve the Name Change, Proposal Three to ratify the appointment of Deloitte &amp; Touche LLP as our independent registered public accounting firm for 2024, Proposal Four to approve Say-on-Pay, or Proposal Five to approve the 2021 Plan Amendment.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Proposal Four to approve Say-on-Pay, or Proposal Five to approve the 2021 Plan Amendment and therefore will not be counted in determining the outcome of those proposals presented for your vote.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experience conducting virtual-format shareholder meetings over the past three years has demonstrated that virtual meetings allow far more shareholders to participate online than would be able to travel to the meeting to attend in person. Accordingly, we will again be hosting our Annual Meeting via live audiocast on the Internet at </w:t>
      </w:r>
      <w:r>
        <w:rPr>
          <w:rFonts w:ascii="Times New Roman;Times;Serif" w:hAnsi="Times New Roman;Times;Serif"/>
          <w:b w:val="false"/>
          <w:i w:val="false"/>
          <w:caps w:val="false"/>
          <w:smallCaps w:val="false"/>
          <w:sz w:val="20"/>
          <w:u w:val="single"/>
        </w:rPr>
        <w:t>www.virtualshareholdermeeting.com/OCN2024</w:t>
      </w:r>
      <w:r>
        <w:rPr>
          <w:rFonts w:ascii="Times New Roman;Times;Serif" w:hAnsi="Times New Roman;Times;Serif"/>
          <w:b w:val="false"/>
          <w:i w:val="false"/>
          <w:caps w:val="false"/>
          <w:smallCaps w:val="false"/>
          <w:sz w:val="20"/>
        </w:rPr>
        <w:t>. You will not be able to attend the Annual Meeting physically in person. Our shareholders will be afforded the same opportunities to participate at the virtual Annual Meeting as they would at an in-person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hareholders of record will be able to vote and ask questions online during the meeting. If you would like to attend the virtual Annual Meeting and you have your control number, please go to </w:t>
      </w:r>
      <w:r>
        <w:rPr>
          <w:rFonts w:ascii="Times New Roman;Times;Serif" w:hAnsi="Times New Roman;Times;Serif"/>
          <w:b w:val="false"/>
          <w:i w:val="false"/>
          <w:caps w:val="false"/>
          <w:smallCaps w:val="false"/>
          <w:sz w:val="20"/>
          <w:u w:val="single"/>
        </w:rPr>
        <w:t>www.virtualshareholdermeeting.com/OCN2024</w:t>
      </w:r>
      <w:r>
        <w:rPr>
          <w:rFonts w:ascii="Times New Roman;Times;Serif" w:hAnsi="Times New Roman;Times;Serif"/>
          <w:b w:val="false"/>
          <w:i w:val="false"/>
          <w:caps w:val="false"/>
          <w:smallCaps w:val="false"/>
          <w:sz w:val="20"/>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may not be able to vote your shares at the Annual Meeting unless you have obtained a legal proxy from your Broker. Please contact your Broker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Times New Roman;Times;Serif" w:hAnsi="Times New Roman;Times;Serif"/>
          <w:b w:val="false"/>
          <w:i w:val="false"/>
          <w:caps w:val="false"/>
          <w:smallCaps w:val="false"/>
          <w:sz w:val="20"/>
          <w:u w:val="single"/>
        </w:rPr>
        <w:t>http://www.ocwen.com</w:t>
      </w:r>
      <w:r>
        <w:rPr>
          <w:rFonts w:ascii="Times New Roman;Times;Serif" w:hAnsi="Times New Roman;Times;Serif"/>
          <w:b w:val="false"/>
          <w:i w:val="false"/>
          <w:caps w:val="false"/>
          <w:smallCaps w:val="false"/>
          <w:sz w:val="20"/>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technical assistance when logging into the virtual Annual Meeting, please call 800-586-1548 (US) or 303-562-9288 (International).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and address matters that are, to different degrees, uncertain. Because forward-looking statements involve a number of assumptions, risks and uncertainties that could cause actual results to differ materially, readers should not place undue reliance on such statements. In the past, actual results have differed from those suggested by forward looking statements and this may happen again. Important factors that could cause actual results to differ materially from those suggested by the forward-looking statements include those described in Ocwen’s reports and filings with the SEC, including our Annual Report on Form 10-K for the year ended December 31, 2023 and any current and quarterly reports since such date. Anyone wishing to understand Ocwen’s business should review our SEC filings. Ocwen’s forward-looking statements speak only as of the date they are made and we disclaim any obligation to update or revise forward-looking statements whether as a result of new information, future events or otherwise. Ocwen may post information that is important to investors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include, but are not limited to, the risks discussed above and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ongoing disruption in the financial markets and in commercial activity generally related to changes in monetary and fiscal policy, United States (U.S.) political developments, geopolitical events and other sources of instability;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inflation, employment disruption, and other financial difficulties facing our borrowers;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recent failures and re-organization of banking institutions and continued uncertainty in the banking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timely reduce operating costs or generate offsetting revenue in proportion to the industry-wide decrease in originations activity, and the impact of cost-reduction initiatives on our business, operations, and financial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increase market share in our target markets, including in forward and reverse servicing;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perceived failure to comply with existing or future laws, regulations, contracts, self-regulatory schemes, standards, and other obligations related to data privacy and security, including any failure to protect customers’ data, could result in disruption to our operations, loss of income, reputational damage, costly litigation and regulatory penalties and otherwise negatively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 including our ability to identify and implement a cost-effective response to Ginnie Mae’s risk-based capital requirements that take effect in late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common stock or senior secured notes that we may repurchase under any future stock or debt repurchase programs, the timing of such repurchases, and the long-term impact, if any, of repurchases on the trading price of our stock or our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mortgage servicing rights (MSR) joint venture with Oaktree Capital Management L.P. and its affiliates (Oaktree), other transactions and our enterprise sales initiatives will generate additional subservicing volume and result in increased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the ability of MSR Asset Vehicle LLC (MAV), to bid competitively for, and close acquisitions of, MSRs on terms that will enable us to achieve our growth objectives and a favorable return on our investment in MAV;</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the future of MAV, one of our largest subservicing clients as of December 31, 2023, MAV’s continued ownership of its MSR portfolio after May 3, 2024, and any impact on our servicing revenue and MSR valuation adjustments as a result of the sale of MAV’s MSRs;</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ownership stake in MAV’s holding company may be diluted, resulting in a reduced ability for us to participate in certain routine management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our long-term relationship with Rithm Capital Corp. (Rithm), one of our largest subservicing clients as of December 31,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enter into and close additional strategic transactions, including the ability to obtain regulatory approvals, enter into definitive financing arrangements, and satisfy closing conditions, and the timing for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efficiently integrate the operations and assets of acquired businesses and to retain their employees and customers over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the ability of third party obligors and financing sources to fund servicing advances on a timely basis on loans serviced by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repay, renew and extend borrowings, borrow additional amounts as and when required, meet our MSR or other asset investment objectives and comply with our debt agreements, including the financial and other covenants contained in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servicing costs and reduced or delayed servicing income due to rising borrower delinquency levels , forbearance plans, moratoria on evictions and delays in foreclosure proceedings;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characteristics of our servicing portfolio, including prepayment speeds along with delinquency and advance 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collect certain expedited payment or convenience fees and potential liability for charging such fees;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severe weather or natural disaster events resulting in costly disruptions to our operations and increased servicing costs due to property damage;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modify delinquent loans, manage foreclosures and maintain and sell foreclosed properties;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scrutiny of our compliance with COVID-19-related rules and regulations, including requirements instituted by state governments, the GSEs, Ginnie Mae and regulators;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reactions of key counterparties, including lenders, the GSEs and Ginnie Mae, to our regulatory engagements and litigation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in existing legal proceedings or the initiation of new legal proceedings;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efficiently manage our regulatory and contractual compliance obligations and fully comply with all applicable requirements, and the costs of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changes in legislation, regulations, government programs and policies, industry initiatives, best servicing and lending practices, and media scrutiny of our business and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changes in, or in the interpretation of, laws or regulations may require us to modify our business practices and expose us to increased expense and litigation risk, including with respect to the collection of expedited payment, or convenience, fees;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our servicing agreements, including our ability to comply with our agreements with the GSEs and Ginnie Mae and maintain our seller/servicer and other statuses with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servicer and credit ratings as well as other actions from various rating agencies, including the impact of prior or future downgrades of our servicer and credit ratings;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the actions of loan owners and guarantors, including mortgage-backed securities investors, the GSEs, Ginnie Mae and trustees regarding loan put-backs, penalties and legal 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and retain senior managers and key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compensation and benefits expense as a result of rising inflation and labor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our reserves, valuations, provisions and anticipated realization of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exposure to interest rate changes and foreign exchange fluctuations;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transform our operations in response to changing business needs, including our ability to do so without unanticipated adverse tax consequences;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for completion of our proposed rebranding and its impact on our business and third parties’ perceptions of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positive relationships with our large shareholders and obtain their support for management proposals requiring shareholder approval.</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our Board of Directors shall consist of no less than three and no more than eleven members with the exact number to be fixed by our Board of Directors. Effective April 1, 2024, concurrent with the appointment of Claudia J. Merkle as a director, our Board of Directors fixed the number of directors at eight. As Phyllis R. Caldwell has informed the Board of Directors that she does not intend to stand for re-election and is retiring from the Board of Directors immediately prior to the Annual Meeting, our Board of Directors has fixed the number of directors at seven, effective immediately prior to the commencement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leadership of our Board, the Company demonstrated strong execution on our key strategic initiatives throughout 2023. Driven by our servicing segment, Ocwen produced strong 2023 results in terms of both adjusted pre-tax income and adjusted return on equity. The Company’s industry-leading servicing cost and operating performance, combined with special servicing capabilities, positioned us to execute on opportunistic asset management transactions that were accretive to earnings. Originations delivered year-over-year growth in average total servicing and subservicing portfolio unpaid principal balance (UPB) and responded to depressed industry volume levels by reducing expenses and increasing the volume mix of higher-margin products, while maintaining disciplined MSR investing. In an effort to address the impact of interest rate volatility on GAAP earnings, the Company increased our target MSR hedge coverage ratio throughout the year and management is working to continue to optimize our hedging strategy. Ocwen was again honored with Fannie Mae’s 2023 STAR</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award for servicing excellence and achieved Housing and Urban Development (HUD) Tier 1 servicer ranking, demonstrating the strength and quality of our servicing platform. During 2023 Ocwen continued to benefit from our long-term strategic relationship with Oaktree, extending the investment period for our joint MSR acquisition vehicle through May 2025. In addition, we launched a debt retirement initiative for our senior corporate notes to strengthen the Company’s leverage profile ahead of future refinancing activity. Throughout, the Board provided management with the guidance and oversight as we concluded our litigation with the Consumer Financial Protection Bureau and continued to fulfil our regulatory commitments, work toward the resolution of remaining legacy matters, and respond with speed and agility to new regulatory frameworks and disruption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put the Company in the best position to execute on these initiatives, the Nomination/Governance Committee and the Board evaluate on an ongoing basis the skillsets and experiential perspectives of our directors as well as individuals recommended as potential nominees. Consistent with our Board Diversity Policy and our Corporate Governance Guidelines, the Board has identified a set of director nominees with individual backgrounds that, when combined, provide a portfolio of experience and knowledge that will best serve the Company’s strategic and governance needs.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additional information about the attributes of our current Board of Directors: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47"/>
        <w:gridCol w:w="60"/>
        <w:gridCol w:w="890"/>
        <w:gridCol w:w="60"/>
        <w:gridCol w:w="822"/>
        <w:gridCol w:w="60"/>
        <w:gridCol w:w="719"/>
        <w:gridCol w:w="60"/>
        <w:gridCol w:w="939"/>
        <w:gridCol w:w="60"/>
        <w:gridCol w:w="1098"/>
        <w:gridCol w:w="60"/>
        <w:gridCol w:w="923"/>
        <w:gridCol w:w="60"/>
        <w:gridCol w:w="1113"/>
        <w:gridCol w:w="60"/>
        <w:gridCol w:w="674"/>
      </w:tblGrid>
      <w:tr>
        <w:trPr/>
        <w:tc>
          <w:tcPr>
            <w:tcW w:w="10205" w:type="dxa"/>
            <w:gridSpan w:val="17"/>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Ocwen Financial Corporation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Skills and Experiences</w:t>
            </w:r>
            <w:r>
              <w:rPr>
                <w:rFonts w:ascii="Times New Roman;Times;Serif" w:hAnsi="Times New Roman;Times;Serif"/>
                <w:b/>
                <w:i w:val="false"/>
                <w:caps w:val="false"/>
                <w:smallCaps w:val="false"/>
                <w:position w:val="7"/>
                <w:sz w:val="16"/>
                <w:sz w:val="20"/>
              </w:rPr>
              <w:t>(1)</w:t>
            </w:r>
          </w:p>
        </w:tc>
      </w:tr>
      <w:tr>
        <w:trPr/>
        <w:tc>
          <w:tcPr>
            <w:tcW w:w="254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Glen A. Messina</w:t>
            </w:r>
          </w:p>
        </w:tc>
        <w:tc>
          <w:tcPr>
            <w:tcW w:w="60" w:type="dxa"/>
            <w:tcBorders/>
            <w:tcMar>
              <w:bottom w:w="0" w:type="dxa"/>
            </w:tcMar>
            <w:vAlign w:val="center"/>
          </w:tcPr>
          <w:p>
            <w:pPr>
              <w:pStyle w:val="TableContents"/>
              <w:bidi w:val="0"/>
              <w:spacing w:before="0" w:after="283"/>
              <w:jc w:val="center"/>
              <w:rPr/>
            </w:pPr>
            <w:r>
              <w:rPr/>
              <w:t> </w:t>
            </w:r>
          </w:p>
        </w:tc>
        <w:tc>
          <w:tcPr>
            <w:tcW w:w="82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Alan J. Bowers</w:t>
            </w:r>
          </w:p>
        </w:tc>
        <w:tc>
          <w:tcPr>
            <w:tcW w:w="60" w:type="dxa"/>
            <w:tcBorders/>
            <w:tcMar>
              <w:bottom w:w="0" w:type="dxa"/>
            </w:tcMar>
            <w:vAlign w:val="center"/>
          </w:tcPr>
          <w:p>
            <w:pPr>
              <w:pStyle w:val="TableContents"/>
              <w:bidi w:val="0"/>
              <w:spacing w:before="0" w:after="283"/>
              <w:jc w:val="center"/>
              <w:rPr/>
            </w:pPr>
            <w:r>
              <w:rPr/>
              <w:t> </w:t>
            </w:r>
          </w:p>
        </w:tc>
        <w:tc>
          <w:tcPr>
            <w:tcW w:w="71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Jenne Britell</w:t>
            </w:r>
          </w:p>
        </w:tc>
        <w:tc>
          <w:tcPr>
            <w:tcW w:w="60" w:type="dxa"/>
            <w:tcBorders/>
            <w:tcMar>
              <w:bottom w:w="0" w:type="dxa"/>
            </w:tcMar>
            <w:vAlign w:val="center"/>
          </w:tcPr>
          <w:p>
            <w:pPr>
              <w:pStyle w:val="TableContents"/>
              <w:bidi w:val="0"/>
              <w:spacing w:before="0" w:after="283"/>
              <w:jc w:val="center"/>
              <w:rPr/>
            </w:pPr>
            <w:r>
              <w:rPr/>
              <w:t> </w:t>
            </w:r>
          </w:p>
        </w:tc>
        <w:tc>
          <w:tcPr>
            <w:tcW w:w="93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Jacques J. Busquet</w:t>
            </w:r>
          </w:p>
        </w:tc>
        <w:tc>
          <w:tcPr>
            <w:tcW w:w="60" w:type="dxa"/>
            <w:tcBorders/>
            <w:tcMar>
              <w:bottom w:w="0" w:type="dxa"/>
            </w:tcMar>
            <w:vAlign w:val="center"/>
          </w:tcPr>
          <w:p>
            <w:pPr>
              <w:pStyle w:val="TableContents"/>
              <w:bidi w:val="0"/>
              <w:spacing w:before="0" w:after="283"/>
              <w:jc w:val="center"/>
              <w:rPr/>
            </w:pPr>
            <w:r>
              <w:rPr/>
              <w:t> </w:t>
            </w:r>
          </w:p>
        </w:tc>
        <w:tc>
          <w:tcPr>
            <w:tcW w:w="109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Phyllis R. Caldwell</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92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Claudia J. Merkle</w:t>
            </w:r>
          </w:p>
        </w:tc>
        <w:tc>
          <w:tcPr>
            <w:tcW w:w="60" w:type="dxa"/>
            <w:tcBorders/>
            <w:tcMar>
              <w:bottom w:w="0" w:type="dxa"/>
            </w:tcMar>
            <w:vAlign w:val="center"/>
          </w:tcPr>
          <w:p>
            <w:pPr>
              <w:pStyle w:val="TableContents"/>
              <w:bidi w:val="0"/>
              <w:spacing w:before="0" w:after="283"/>
              <w:jc w:val="center"/>
              <w:rPr/>
            </w:pPr>
            <w:r>
              <w:rPr/>
              <w:t> </w:t>
            </w:r>
          </w:p>
        </w:tc>
        <w:tc>
          <w:tcPr>
            <w:tcW w:w="111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DeForest B. Soaries, Jr.</w:t>
            </w:r>
          </w:p>
        </w:tc>
        <w:tc>
          <w:tcPr>
            <w:tcW w:w="60" w:type="dxa"/>
            <w:tcBorders/>
            <w:tcMar>
              <w:bottom w:w="0" w:type="dxa"/>
            </w:tcMar>
            <w:vAlign w:val="center"/>
          </w:tcPr>
          <w:p>
            <w:pPr>
              <w:pStyle w:val="TableContents"/>
              <w:bidi w:val="0"/>
              <w:spacing w:before="0" w:after="283"/>
              <w:jc w:val="center"/>
              <w:rPr/>
            </w:pPr>
            <w:r>
              <w:rPr/>
              <w:t> </w:t>
            </w:r>
          </w:p>
        </w:tc>
        <w:tc>
          <w:tcPr>
            <w:tcW w:w="674"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Stein</w:t>
            </w:r>
          </w:p>
        </w:tc>
      </w:tr>
      <w:tr>
        <w:trPr/>
        <w:tc>
          <w:tcPr>
            <w:tcW w:w="254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Company Board Experience</w:t>
            </w:r>
          </w:p>
        </w:tc>
        <w:tc>
          <w:tcPr>
            <w:tcW w:w="6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98"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2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11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254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Served as a Chief Executive Officer or Head of Comparably Sized Organization</w:t>
            </w:r>
          </w:p>
        </w:tc>
        <w:tc>
          <w:tcPr>
            <w:tcW w:w="6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098"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2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11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254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Services Industry Experience</w:t>
            </w:r>
          </w:p>
        </w:tc>
        <w:tc>
          <w:tcPr>
            <w:tcW w:w="6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098"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2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11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254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Financial Expert</w:t>
            </w:r>
          </w:p>
        </w:tc>
        <w:tc>
          <w:tcPr>
            <w:tcW w:w="6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09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2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254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Compliance and Risk Management Experience</w:t>
            </w:r>
          </w:p>
        </w:tc>
        <w:tc>
          <w:tcPr>
            <w:tcW w:w="60" w:type="dxa"/>
            <w:tcBorders/>
            <w:tcMar>
              <w:bottom w:w="0" w:type="dxa"/>
            </w:tcMar>
            <w:vAlign w:val="center"/>
          </w:tcPr>
          <w:p>
            <w:pPr>
              <w:pStyle w:val="TableContents"/>
              <w:bidi w:val="0"/>
              <w:spacing w:before="0" w:after="283"/>
              <w:jc w:val="center"/>
              <w:rPr/>
            </w:pPr>
            <w:r>
              <w:rPr/>
              <w:t> </w:t>
            </w:r>
          </w:p>
        </w:tc>
        <w:tc>
          <w:tcPr>
            <w:tcW w:w="89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center"/>
              <w:rPr/>
            </w:pPr>
            <w:r>
              <w:rPr/>
              <w:t> </w:t>
            </w:r>
          </w:p>
        </w:tc>
        <w:tc>
          <w:tcPr>
            <w:tcW w:w="822"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center"/>
              <w:rPr/>
            </w:pPr>
            <w:r>
              <w:rPr/>
              <w:t> </w:t>
            </w:r>
          </w:p>
        </w:tc>
        <w:tc>
          <w:tcPr>
            <w:tcW w:w="71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center"/>
              <w:rPr/>
            </w:pPr>
            <w:r>
              <w:rPr/>
              <w:t> </w:t>
            </w:r>
          </w:p>
        </w:tc>
        <w:tc>
          <w:tcPr>
            <w:tcW w:w="93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center"/>
              <w:rPr/>
            </w:pPr>
            <w:r>
              <w:rPr/>
              <w:t> </w:t>
            </w:r>
          </w:p>
        </w:tc>
        <w:tc>
          <w:tcPr>
            <w:tcW w:w="1098"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2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11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254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Servicing, Lending, or Community Housing Organization Experience</w:t>
            </w:r>
          </w:p>
        </w:tc>
        <w:tc>
          <w:tcPr>
            <w:tcW w:w="6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098"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92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113"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674"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30"/>
        <w:gridCol w:w="9890"/>
      </w:tblGrid>
      <w:tr>
        <w:trPr/>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outside managerial and director experience only (i.e., does not include Ocwen-based experience)</w:t>
            </w:r>
          </w:p>
        </w:tc>
      </w:tr>
      <w:tr>
        <w:trPr/>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Caldwell is not standing for re-election and intends to retire from the Board immediately prior to the Annual Meeting.</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29225" cy="5000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29225" cy="5000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concerning our director nominees, including his or her principal occupation for at least the last five years, additional biographical information and specific qualifications of each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5"/>
        <w:gridCol w:w="60"/>
        <w:gridCol w:w="7880"/>
      </w:tblGrid>
      <w:tr>
        <w:trPr/>
        <w:tc>
          <w:tcPr>
            <w:tcW w:w="226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1428750" cy="1895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189547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Glen A. Messina</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Messina has served as Chair of the Board of Directors since January 2023 and as President and Chief Executive Officer and a director of Ocwen since October 2018. He previously served as the President and Chief Executive Officer of PHH Corporation (PHH Corp.) from January 2012 to June 2017 and Chief Operating Officer of PHH Corp. from July 2011 to December 2011. Mr. Messina also served as a director of PHH Corp. from January 2012 to June 2017 and as a consultant to PHH Corp. through March 2018. Prior to joining PHH Corp., Mr. Messina spent 17 years at General Electric Company (GE), most recently as Chief Executive Officer of GE Chemical and Monitoring Solutions, a global water and process specialty chemicals services business.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 Corp.</w:t>
            </w:r>
          </w:p>
        </w:tc>
      </w:tr>
      <w:tr>
        <w:trPr/>
        <w:tc>
          <w:tcPr>
            <w:tcW w:w="2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6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1428750" cy="142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Alan J. Bowers</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Bowers has served as a director of Ocwen since May 2015. In March 2023, Mr. Bowers was appointed as a director of Selina Hospitality PLC (Nasdaq GS: SLNA) and serves as Chair of the Audit Committee and a member of the Finance &amp; Capital Allocation Committee. In December 2021, Mr. Bowers was appointed as a Director, the Audit &amp; Finance Committee Chair and a member of the Compensation Committee of CWT Travel Holdings, Inc., a private business-to-business-for-employees (B2B4E) travel management platform. Mr. Bowers also previously served as a Director of Walker &amp; Dunlop, Inc. (NYSE:WD), a commercial real estate finance company, from December 2010 until May, 2022, served as its Lead Director, and served on its Nominating and Corporate Governance Committee and as Chair of its Audit Committee. Mr. Bowers also served on the board and as Audit Committee Chair of CorePoint Lodging Inc., a publicly traded lodging REIT, from April 2018 until March 2022, when the company became a privately held company in a merger transaction. From July 2013 to May 2018, Mr. Bowers served as a Director of hotel chain La Quinta Inns &amp; Suites (NYSE:LQ). Mr. Bowers’ additional prior roles include serving as a Director of American Achievement Corp., a privately-held manufacturer and distributor of graduation products, President, Chief Executive Officer and a board member of Cape Success, LLC, a private equity-backed staffing service and information technology solutions business, President, Chief Executive Officer and a board member of MarketSource Corporation, a marketing and sales support service firm and President, Chief Executive Officer and a board member of MBL Life Assurance Corporation, a life insurance company. Mr. Bowers also previously served on the boards and as Audit Committee Chair of Refrigerated Holdings, Inc., Roadlink Inc., and Fastfrate Holdings, Inc., each a transportation and logistics firm. Mr. Bowers has been a Certified Public Accountant since 1978, with experience including 17 years at Coopers &amp; Lybrand, L.L.P. Mr. Bowers received his Bachelor of Science in Accounting from Montclair State University and his Master of Business Administration from St. John’s University.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0"/>
        <w:gridCol w:w="60"/>
        <w:gridCol w:w="7475"/>
      </w:tblGrid>
      <w:tr>
        <w:trPr/>
        <w:tc>
          <w:tcPr>
            <w:tcW w:w="26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1428750" cy="1771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0" cy="1771650"/>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Jenne K. Britell</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Britell has served as a director of Ocwen since February 2019. Dr. Britell served as a director of United Rentals, Inc. (NYSE:URI) from 2006 to 2019, including as its non-executive Chair from 2008 to 2019. Dr. Britell also served as a director of Quest Diagnostics Inc. (NYSE:DGX), including as a member of its Audit and Finance Committee, from 2005 to 2019. From 2000 through 2017, Dr. Britell served as a director of Crown Holdings, Inc. (NYSE:CCK), including as Chair of the Audit Committee. Previously, Dr. Britell served as Chair and Chief Executive Officer of Structured Ventures, Inc., advisors to U.S. and multinational companies, and as a senior executive of GE Capital, including as the Executive Vice President of Global Consumer Finance and President of Global Commercial and Mortgage Banking. Before joining GE Capital, she held significant management positions with Dime Bancorp, Inc., HomePower, Inc., Citicorp and Republic New York Corporation. Earlier, she was the founding Chair and Chief Executive Officer of the Polish-American Mortgage Bank. Dr. Britell’s extensive prior board service also includes serving as Lead Director for Aames Investment Corp., as a trustee for the Teachers Insurance and Annuity Association (TIAA-CREF), and as a director for Lincoln National Corp., in addition to numerous civic and philanthropic boards. Dr. Britell received a Ph.D. and a master’s degree in business administration from Columbia University and received a master’s degree and an undergraduate degree from Harvard University.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tc>
      </w:tr>
      <w:tr>
        <w:trPr/>
        <w:tc>
          <w:tcPr>
            <w:tcW w:w="26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1685925" cy="1895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85925" cy="189547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Jacques J. Busquet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Busquet has served as a director of Ocwen since January 2016. Mr. Busquet was formerly Chief Risk Officer and Managing Director of Natixis North America LLC and a member of the Executive Committee from April 2008 to February 2015. Prior to that, Mr. Busquet was Executive Vice President and member of the Executive Committee of Canyon Americas (formerly Credit Lyonnais Americas) in charge of Risks, Compliance, Legal, Regulatory Affairs and Asset Recovery. Since 2021, Mr. Busquet has served as a director of Mizuho Securities USA, the US broker dealer of the Mizuho Financial Group, and a director of Mizuho Bank USA, a FDIC-regulated bank 100% owned by the Mizuho Financial Group. Since July 2016, Mr. Busquet has served as a director of Mizuho Americas LLC, the US Bank Holding Company of Mizuho Financial Group, Inc. Since 2005, Mr. Busquet has served as a director of Prolitec Inc., a privately-held commercial air scenting company. Since September 2023, Mr. Busquet has served as a Trustee of Old Westbury Gardens, a not-for-profit organization, and is a Member of the Finance Committee. Mr. Busquet has previously served as a trustee of the Institute of International Bankers, and of the African Wildlife Foundation, which he also served as Audit Committee Chair. Mr. Busquet has a Master of Business Administration in Finance from each of The Wharton School of the University of Pennsylvania and Hautes Études Commercialese (HEC), Paris.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5"/>
        <w:gridCol w:w="60"/>
        <w:gridCol w:w="7130"/>
      </w:tblGrid>
      <w:tr>
        <w:trPr/>
        <w:tc>
          <w:tcPr>
            <w:tcW w:w="301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1905000" cy="1800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05000" cy="180022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Claudia J. Merkle</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Merkle is the former Chief Executive Officer of NMI Holdings, Inc. (Nasdaq:NMIH, “NMI”), a publicly traded private mortgage insurer and the parent company of National Mortgage Insurance Corporation. Ms. Merkle held the position of Chief Executive Officer from January 2019 through her retirement in December 2021. From 2019 through her departure in 2021, Ms. Merkle also served on NMI’s Board of Directors. Prior to serving as Chief Executive Officer, Ms. Merkle held multiple executive leadership positions at NMI after joining the company in May 2012, including President; Chief Operating Officer; Executive Vice President, Chief of Insurance Operations; and Senior Vice President, Underwriting Fulfillment and Risk Operations. Ms. Merkle also currently serves as an Advisory Board member of HomeLend Inc., a technology and operational platform that facilitates direct purchase and sale of mortgage loans.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Merkle was selected to serve as a member of our Board of Directors due to her deep public company experience and significant industry knowledge spanning risk management and technology innovation in sales and operations as well as emerging corporate governance issues.</w:t>
            </w:r>
          </w:p>
        </w:tc>
      </w:tr>
      <w:tr>
        <w:trPr/>
        <w:tc>
          <w:tcPr>
            <w:tcW w:w="3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1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1428750" cy="1609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0" cy="160972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DeForest B. Soaries, Jr.</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Soaries has served as a director of Ocwen since January 2015. Dr. Soaries served as Pastor Emeritus at First Baptist Church of Lincoln Gardens until 2023 and Senior Pastor from 1990 through 2021. He formerly served as New Jersey Secretary of State from 1999 to 2002 and as Chair of the United States Election Assistance Commission from 2004 to 2005. He currently serves as an independent director at Independence Realty Trust, a publicly traded real estate investment trust, a position he has held since February 2011, and is Chair of the Compensation Committee. Dr. Soaries also served as an independent director of the Federal Home Loan Bank of New York from January 2009 through December 31, 2023, where he was the Vice Chair of the Compensation and Human Resources Committee and also served as a member of the Affordable Housing, Governance and Executive Committees. He also previously served as a director of New Era Bank. Dr. Soaries earned a Bachelor of Arts from Fordham University, a Master of Divinity from Princeton Theological Seminary and a Doctor of Ministry from United Theological Seminary.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5"/>
        <w:gridCol w:w="60"/>
        <w:gridCol w:w="7880"/>
      </w:tblGrid>
      <w:tr>
        <w:trPr/>
        <w:tc>
          <w:tcPr>
            <w:tcW w:w="226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1428750" cy="1600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28750" cy="1600200"/>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Kevin Stein</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Stein has served as Lead Independent Director since January 2023 and as a director of Ocwen since February 2019. Since January 2024, Mr. Stein has been Managing Director of Klaros Capital, a division of advisory and investment firm Klaros Group. From June 2022 through December 2023, he served as an independent consultant. From December 2020 through its merger with Pagaya Technologies Ltd. in 2022, Mr. Stein served as Chief Executive Officer and a director of EJF Acquisition Corp. From July 2018 through July 2022, he also served as Senior Managing Director at EJF Capital, LLC. In addition, from March 2016 through December 2019, Mr. Stein served with KCK US, Inc., a family-controlled private equity firm. Mr. Stein was previously a Managing Director in the Financial Institutions Group of Barclays, a Partner and Group Head of Depository Investment Banking at FBR &amp; Co., a member of the leadership team of GreenPoint Financial Corporation, a bank holding company, and an Associate Director of the Federal Deposit Insurance Corporation (FDIC). Mr. Stein is Audit Committee Chair of Dime Community Bancshares, Inc. (Nasdaq:DCOM), where he has served as a director since 2017. He also served as a director of Pagaya Technologies Ltd (Nasdaq:PGY) from August 2022 through September 2023 and as a director of PHH Corp. from June 2017 until its acquisition by Ocwen in October 2018. Mr. Stein received his undergraduate degree from Syracuse University and his Master of Business Administration from Carnegie Mellon University.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Stein was selected to serve as a member of our Board of Directors due to his knowledge regarding the financial services industry and his mortgage servicing experience, including his prior service as a director of PHH Corp.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Retiring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5"/>
        <w:gridCol w:w="60"/>
        <w:gridCol w:w="7640"/>
      </w:tblGrid>
      <w:tr>
        <w:trPr/>
        <w:tc>
          <w:tcPr>
            <w:tcW w:w="250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1581150" cy="1581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81150" cy="1581150"/>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Phyllis R. Caldwell</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Caldwell served as Chair of the Board of Directors from March 2016 until January 2023 and has served as a director of Ocwen since January 2015. In December 2021, Ms. Caldwell was appointed as a director of Oaktree Specialty Lending Corporation (Nasdaq:OCSL), a specialty finance business development company (BDC), and serves on its Audit Committee. In June 2021, Ms. Caldwell was appointed as a director of OneMain Holdings, Inc. (NYSE:OMF), a financial services holding company serving nonprime consumers. In March 2021, Ms. Caldwell was appointed as a member of the Board of Trustees of JBG SMITH Properties (NYSE:JBGS), an owner and developer of mixed-use properties in the Washington, D.C. market. From December 2020 through July 2021, Ms. Caldwell served on the Board of Directors of Revolution Acceleration Acquisition Corp (Nasdaq:RAAC), a special purpose acquisition company. Ms. Caldwell is founder and has served since 2012 as the managing member of Wroxton Civic Ventures, which provides advisory services on various financial, housing and economic development matters.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In addition, Ms. Caldwell held various leadership roles during eleven years at Bank of America, including serving as President of Community Development Banking. From January 2014 to March 2021, Ms. Caldwell served as a director of City First Bank, National Association (formerly City First Bank of D.C., National Association, now a subsidiary of Broadway Financial Corporation (Nasdaq: BYFC) since April 1, 2021). Ms. Caldwell also serves or has served on the boards of other public and private businesses and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Caldwell is not standing for re-election and intends to retire from the Board of Directors immediately prior to the Annual Meeting.</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YOU VOTE “FOR ALL” OF THE NOMINEES FOR DIRECTOR.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held 13 meetings and acted by unanimous written consent three times in 2023. Each incumbent director who served as a director during 2023 attended at least 75% of the aggregate of these meetings and all meetings held by all committees of our Board of Directors on which he or she served during 2023. Directors are expected to attend the annual meeting of shareholders (including via electronic participation) and a director who is unable to attend is expected to notify the Company Secretary in advance of such meeting. Our virtual 2023 Annual Meeting of Shareholders was attended by seven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Observers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completion of a private placement of $199.5 million aggregate principal amount of Ocwen senior secured second lien notes (the Second Lien Notes) to funds managed by Oaktree Capital Management, L.P. (the Oaktree Investors) on March 4, 2021, Messrs. Jason Keller and Brian Laibow, serving in management roles with the Oaktree Investors, joined the Company in the role of non-voting observers to our Board of Directors. Under their agreement with the Company, the Oaktree Investors may designate two Board of Directors observers for as long as the aggregate outstanding principal amount of the Second Lien Notes is at least $100 million or the Oaktree Investors and their affiliates collectively own at least 15.0% of all issued and outstanding common stock of the Company (assuming the exercise of certain warrants held by them in full). Mr. Keller and Mr. Dante Quazzo presently serve as the Oaktree Investors’ designated Board observers. The observers are entitled to attend all meetings of the Board of Directors and its committees and review all information presented to them with limited exceptions, including discussions and presentations with respect to which the presence of the observers could jeopardize attorney-client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provide that a majority of our Board of Directors must be independent in accordance with the listing standards of the New York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affirmatively determined that Mses. Caldwell and Merkle, Messrs. Bowers, Busquet, and Stein, and Drs. Britell and Soaries are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Board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2023 performance self-assessments were conducted in the first quarter of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as part of its regular self-evaluation and succession planning activities, the Board of Directors determined that combining the positions of Chief Executive Officer and Chair of the Board of Directors, together with the appointment of a Lead Independent Director, is the best structure to fit the Company’s needs at this time and helps provide strong and consistent leadership for the management team and the Board. The Board believes that Mr. Messina’s knowledge and background with the Company, deep industry experience, demonstrated leadership capability and track record of delivering results benefits Ocwen’s shareholders, customers and employees uniquely positions him to lead the Board and continue to oversee the Company’s strategic initiatives. As Chair of the Board, Mr. Messina leads the Board of Directors and oversees Board meetings and the delivery of information necessary for the Board’s informed decision-making. In his capacity as President and Chief Executive Officer, Mr. Messina continues to be responsible for our day-to-day operations and for formulating and executing our long-term strategies in collaboration with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the Board appointed Mr. Stein as Lead Independent Director. In this role, Mr. Stein is responsible for leading the Board’s independent oversight function and for addressing any corporate governance considerations arising from the service of the same individual as Chair and Chief Executive Officer. Mr. Stein presides at all executive sessions of the independent directors and serves as principal liaison between the Chair and the independent directors, meeting regularly with the Chair to exchange feedback and discuss critical issues. In addition, he works to optimize Board performance by fostering a climate of constructive candor in which diverse viewpoints are heard and frank and thoughtful discussion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duties of the Lead Independent Director are further set forth in a charter approved by our Board of Directors, a copy of which is available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“Shareholders” section under “Corporate Governance.” Following shareholder approval of our Name Change, we expect our primary website will be </w:t>
      </w:r>
      <w:r>
        <w:rPr>
          <w:rFonts w:ascii="Times New Roman;Times;Serif" w:hAnsi="Times New Roman;Times;Serif"/>
          <w:b w:val="false"/>
          <w:i w:val="false"/>
          <w:caps w:val="false"/>
          <w:smallCaps w:val="false"/>
          <w:sz w:val="20"/>
          <w:u w:val="single"/>
        </w:rPr>
        <w:t>www.onitygroup.com</w:t>
      </w:r>
      <w:r>
        <w:rPr>
          <w:rFonts w:ascii="Times New Roman;Times;Serif" w:hAnsi="Times New Roman;Times;Serif"/>
          <w:b w:val="false"/>
          <w:i w:val="false"/>
          <w:caps w:val="false"/>
          <w:smallCaps w:val="false"/>
          <w:sz w:val="20"/>
        </w:rPr>
        <w:t xml:space="preserve"> and visitors to </w:t>
      </w:r>
      <w:r>
        <w:rPr>
          <w:rFonts w:ascii="Times New Roman;Times;Serif" w:hAnsi="Times New Roman;Times;Serif"/>
          <w:b w:val="false"/>
          <w:i w:val="false"/>
          <w:caps w:val="false"/>
          <w:smallCaps w:val="false"/>
          <w:sz w:val="20"/>
          <w:u w:val="single"/>
        </w:rPr>
        <w:t xml:space="preserve">www.ocwen.com </w:t>
      </w:r>
      <w:r>
        <w:rPr>
          <w:rFonts w:ascii="Times New Roman;Times;Serif" w:hAnsi="Times New Roman;Times;Serif"/>
          <w:b w:val="false"/>
          <w:i w:val="false"/>
          <w:caps w:val="false"/>
          <w:smallCaps w:val="false"/>
          <w:sz w:val="20"/>
        </w:rPr>
        <w:t>will be automatically re-directed to our new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Committees of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30"/>
        <w:gridCol w:w="60"/>
        <w:gridCol w:w="512"/>
        <w:gridCol w:w="60"/>
        <w:gridCol w:w="740"/>
        <w:gridCol w:w="60"/>
        <w:gridCol w:w="950"/>
        <w:gridCol w:w="60"/>
        <w:gridCol w:w="2406"/>
        <w:gridCol w:w="60"/>
        <w:gridCol w:w="1106"/>
        <w:gridCol w:w="60"/>
        <w:gridCol w:w="1574"/>
        <w:gridCol w:w="60"/>
        <w:gridCol w:w="967"/>
      </w:tblGrid>
      <w:tr>
        <w:trPr/>
        <w:tc>
          <w:tcPr>
            <w:tcW w:w="15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512"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74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Since</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60" w:type="dxa"/>
            <w:tcBorders/>
            <w:tcMar>
              <w:bottom w:w="0" w:type="dxa"/>
            </w:tcMar>
            <w:vAlign w:val="center"/>
          </w:tcPr>
          <w:p>
            <w:pPr>
              <w:pStyle w:val="TableContents"/>
              <w:bidi w:val="0"/>
              <w:spacing w:before="0" w:after="283"/>
              <w:jc w:val="center"/>
              <w:rPr/>
            </w:pPr>
            <w:r>
              <w:rPr/>
              <w:t> </w:t>
            </w:r>
          </w:p>
        </w:tc>
        <w:tc>
          <w:tcPr>
            <w:tcW w:w="2406"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and Human Capital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60" w:type="dxa"/>
            <w:tcBorders/>
            <w:tcMar>
              <w:bottom w:w="0" w:type="dxa"/>
            </w:tcMar>
            <w:vAlign w:val="center"/>
          </w:tcPr>
          <w:p>
            <w:pPr>
              <w:pStyle w:val="TableContents"/>
              <w:bidi w:val="0"/>
              <w:spacing w:before="0" w:after="283"/>
              <w:jc w:val="center"/>
              <w:rPr/>
            </w:pPr>
            <w:r>
              <w:rPr/>
              <w:t> </w:t>
            </w:r>
          </w:p>
        </w:tc>
        <w:tc>
          <w:tcPr>
            <w:tcW w:w="1106"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Nomination/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60" w:type="dxa"/>
            <w:tcBorders/>
            <w:tcMar>
              <w:bottom w:w="0" w:type="dxa"/>
            </w:tcMar>
            <w:vAlign w:val="center"/>
          </w:tcPr>
          <w:p>
            <w:pPr>
              <w:pStyle w:val="TableContents"/>
              <w:bidi w:val="0"/>
              <w:spacing w:before="0" w:after="283"/>
              <w:jc w:val="center"/>
              <w:rPr/>
            </w:pPr>
            <w:r>
              <w:rPr/>
              <w:t> </w:t>
            </w:r>
          </w:p>
        </w:tc>
        <w:tc>
          <w:tcPr>
            <w:tcW w:w="1574"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and Compliance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60" w:type="dxa"/>
            <w:tcBorders/>
            <w:tcMar>
              <w:bottom w:w="0" w:type="dxa"/>
            </w:tcMar>
            <w:vAlign w:val="center"/>
          </w:tcPr>
          <w:p>
            <w:pPr>
              <w:pStyle w:val="TableContents"/>
              <w:bidi w:val="0"/>
              <w:spacing w:before="0" w:after="283"/>
              <w:jc w:val="center"/>
              <w:rPr/>
            </w:pPr>
            <w:r>
              <w:rPr/>
              <w:t> </w:t>
            </w:r>
          </w:p>
        </w:tc>
        <w:tc>
          <w:tcPr>
            <w:tcW w:w="967"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r>
      <w:tr>
        <w:trPr/>
        <w:tc>
          <w:tcPr>
            <w:tcW w:w="1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J. Bowers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Jacques J. Busquet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1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Jenne K. Britell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Phyllis R. Caldwell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Claudia J. Merkle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 A. Messina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position w:val="7"/>
                <w:sz w:val="16"/>
                <w:sz w:val="20"/>
              </w:rPr>
              <w:t>(2)</w:t>
            </w:r>
          </w:p>
        </w:tc>
      </w:tr>
      <w:tr>
        <w:trPr/>
        <w:tc>
          <w:tcPr>
            <w:tcW w:w="1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DeForest B. Soaries,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(1)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12, 2024</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28, 2024, Dr. Soaries will replace Ms. Caldwell as Nomination/Governance Committee Chair and step down from the Compensation Committee, and Ms. Merkle will join the Nomination/Governance Committee and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Committee.</w:t>
      </w:r>
      <w:r>
        <w:rPr>
          <w:rFonts w:ascii="Times New Roman;Times;Serif" w:hAnsi="Times New Roman;Times;Serif"/>
          <w:b w:val="false"/>
          <w:i w:val="false"/>
          <w:caps w:val="false"/>
          <w:smallCaps w:val="false"/>
          <w:sz w:val="20"/>
        </w:rPr>
        <w:t xml:space="preserve"> The Audit Committee of our Board of Directors oversees the relationship with our independent registered public accounting firm, and reviews 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Audit Committee are Messrs. Bowers (Chair) and Busquet, and Dr. Britell.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other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Audit Committee operates under a written charter approved by our Board of Directors, a copy of which is available on our website at </w:t>
      </w:r>
      <w:r>
        <w:rPr>
          <w:rFonts w:ascii="Times New Roman;Times;Serif" w:hAnsi="Times New Roman;Times;Serif"/>
          <w:b w:val="false"/>
          <w:i w:val="false"/>
          <w:caps w:val="false"/>
          <w:smallCaps w:val="false"/>
          <w:sz w:val="20"/>
          <w:u w:val="single"/>
        </w:rPr>
        <w:t xml:space="preserve">www.ocwen.com </w:t>
      </w:r>
      <w:r>
        <w:rPr>
          <w:rFonts w:ascii="Times New Roman;Times;Serif" w:hAnsi="Times New Roman;Times;Serif"/>
          <w:b w:val="false"/>
          <w:i w:val="false"/>
          <w:caps w:val="false"/>
          <w:smallCaps w:val="false"/>
          <w:sz w:val="20"/>
        </w:rPr>
        <w:t>in the “Shareholders” section under “Corporate Governance.” The Audit Committee generally reviews its charter annually and occasionally reviews it more frequently. When circumstances require, the charter is amended and the revised version posted on our website. This Committee met nine times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and Human Capital Committee.</w:t>
      </w:r>
      <w:r>
        <w:rPr>
          <w:rFonts w:ascii="Times New Roman;Times;Serif" w:hAnsi="Times New Roman;Times;Serif"/>
          <w:b w:val="false"/>
          <w:i w:val="false"/>
          <w:caps w:val="false"/>
          <w:smallCaps w:val="false"/>
          <w:sz w:val="20"/>
        </w:rPr>
        <w:t xml:space="preserve"> The Compensation and Human Capital Committee (Compensation Committee) of our Board of Directors oversees our compensation and employee benefit plans and practices as well as the Company’s human capital initiatives and executive management development, evaluation, retention and succession planning.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the 2017 Performance Incentive Plan, under which no new awards may be granted but previously granted awards remain outstanding, and the 2021 Equity Incentive Plan, as amended (the 2021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Compensation Committee are Mr. Busquet (Chair), Dr. Soaries and Mr. Stein. Effective May 28, 2024, the members of the Compensation Committee will be Mr. Busquet (Chair), Ms. Merkle and Mr. Stein.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Compensation Committee operates under a written charter approved by our Board of Directors, a copy of which is available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“Shareholders” section under “Corporate Governance.” The Compensation Committee generally reviews its charter annually and occasionally reviews it more frequently. When circumstances require, the charter is amended and the revised version posted on our website. This Committee met eight times in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Committee Interlocks and Insider Participation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Mr. Busquet, Dr. Soaries and Mr. Stein served as members of the Compensation Committee during 2023. None of such members were, at any time during the 2023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2023 fiscal year. No member of the Compensation Committee had any relationship with us requiring disclosure under Item 404 of Securities and Exchange Commission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Nomination/Governance Committee.</w:t>
      </w:r>
      <w:r>
        <w:rPr>
          <w:rFonts w:ascii="Times New Roman;Times;Serif" w:hAnsi="Times New Roman;Times;Serif"/>
          <w:b w:val="false"/>
          <w:i w:val="false"/>
          <w:caps w:val="false"/>
          <w:smallCaps w:val="false"/>
          <w:sz w:val="20"/>
        </w:rPr>
        <w:t xml:space="preserve"> The Nomination/Governance Committee of our Board of Directors makes recommendations to our Board of Directors 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Nomination/Governance Committee are Ms. Caldwell (Chair) and Drs. Britell and Soaries. Effective May 28, 2024, the members of the Nomination/Governance Committee will be Dr. Soaries (Chair), Dr. Britell and Ms. Merkle. Each of these directors is independent as defined in the listing standards of the New York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Nomination/Governance Committee operates under a written charter approved by our Board of Directors, a copy of which is available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“Shareholders” section under “Corporate Governance.” The Nomination/Governance Committee generally reviews its charter annually and occasionally reviews it more frequently. When circumstances require, the charter is amended and the revised version posted on our website. This Committee met six times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Risk and Compliance Committee.</w:t>
      </w:r>
      <w:r>
        <w:rPr>
          <w:rFonts w:ascii="Times New Roman;Times;Serif" w:hAnsi="Times New Roman;Times;Serif"/>
          <w:b w:val="false"/>
          <w:i w:val="false"/>
          <w:caps w:val="false"/>
          <w:smallCaps w:val="false"/>
          <w:sz w:val="20"/>
        </w:rPr>
        <w:t xml:space="preserve"> The Risk and Compliance Committee of our Board of Directors provides assistance to the Board of Directors with (i) 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information security/privacy programs,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Risk and Compliance Committee are Messrs. Stein (Chair), Bowers and Busquet, all of whom are independent directors as defined in the listing standards of the New York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Risk and Compliance Committee operates under a written charter approved by our Board of Directors, a copy of which is available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“Shareholders” section under “Corporate Governance.” The Risk and Compliance Committee generally reviews its charter annually and occasionally reviews it more frequently. When circumstances require, the charter will be amended and the revised version posted on our website. This Committee met seven times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when requested by the Board of Directors, the Risk and Compliance Committee provides oversight of the Company’s exploration of potential business combinations and other transformative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Executive Committee.</w:t>
      </w:r>
      <w:r>
        <w:rPr>
          <w:rFonts w:ascii="Times New Roman;Times;Serif" w:hAnsi="Times New Roman;Times;Serif"/>
          <w:b w:val="false"/>
          <w:i w:val="false"/>
          <w:caps w:val="false"/>
          <w:smallCaps w:val="false"/>
          <w:sz w:val="20"/>
        </w:rPr>
        <w:t xml:space="preserve"> Our Executive Committee is generally responsible to act on behalf of our Board of Directors during the intervals between meetings of our Board of Directors, if necessary. The current members of the Executive Committee are Mr. Messina (Chair) and Messrs. Busquet and Stein.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Other Committees. </w:t>
      </w:r>
      <w:r>
        <w:rPr>
          <w:rFonts w:ascii="Times New Roman;Times;Serif" w:hAnsi="Times New Roman;Times;Serif"/>
          <w:b w:val="false"/>
          <w:i w:val="false"/>
          <w:caps w:val="false"/>
          <w:smallCaps w:val="false"/>
          <w:sz w:val="20"/>
        </w:rPr>
        <w:t>Our Board of Directors has the authority to form additional standing or temporary committees, and delegate appropriate authority to 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Nomination/Governance Committee regularly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 2024, concurrent with the appointment of Ms. Merkle as a director, our Board of Directors fixed the number of directors at eight. Our Board of Directors has determined that, upon the retirement of Ms. Caldwell immediately prior to the Annual Meeting, the size of the Board of Directors will be reduced to seven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We do not have a policy relating to the nomination or continued service of directors above a specific age, as we believe it is more beneficial to focus on the qualifications, experience, and performance of our directors and director nominees, and we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and presently no director sits on more than three other public company boards.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“Shareholders” section under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diverse ethnicities, geographic origins and genders in building an inclusive corporate culture that reflects and supports Ocwen’s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recommend persons for consideration by our Nomination/Governance Committee as nominees for election to our Board of Directors, you may do so by written notice to our Secretary at Ocwen Financial Corporation, 1661 Worthington Road, Suite 100, West Palm Beach, Florida 33409. Such notice must contain all the information set forth in Section 2.2 of our Bylaws and comply with the procedures and deadline set forth therein. See “Submission of Shareholder Proposals for 2025 Annual Meeting,” below for additional information about this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Prohibition against Short Sales, Hedging and Margin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Prevention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or engaging in any other transaction that hedges the economic risk associated with ownership of the Company’s securities. This policy is designed to encourage investment in the Company’s stock for the long term, on a buy and hold basis,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 The Corporate Governance Guidelines also provide that within five years of their appointment, directors are generally expected to own shares in the Company worth at least five times the base annual cash retainer for service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Corporate Governance Guidelines are available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“Shareholders” section under “Corporate Governance.” Our Nomination/Governance Committee reviews our Corporate Governance Guidelines annually and recommends amendments to the Board of Directors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also adopted a Clawback Policy as further described under “Clawback Policy” in the “Executive Compensation” section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Sessions of Non-Management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Messina chairs executive sessions of the full Board of Directors. Mr. Stein presides at the executive sessions of non-management directors, succeeding Ms. Caldwell, who presided prior to our January 2023 Board leadership transition. Our non-management directors met in executive sessions of the full Board without management during ten meetings in 2023</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In addition, our Audit, Compensation and Human Capital, and Risk and Compliance Committees generally met in executive session at each regularly scheduled quarterly meeting and on other occasions when the members believed it was advisable to do so.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with Management Independent of the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Independent Director,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Chief Legal Officer from time to time and the chair of the Risk and Compliance Committee meets independently with the Chief Risk and Compliance Officer and the Chief Legal Officer from time to time. In prior years, our directors have also visited various of our U.S. and international sites to meet generally with employees and senior management in those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 You may also write to our Board of Directors through our website at </w:t>
      </w:r>
      <w:r>
        <w:rPr>
          <w:rFonts w:ascii="Times New Roman;Times;Serif" w:hAnsi="Times New Roman;Times;Serif"/>
          <w:b w:val="false"/>
          <w:i w:val="false"/>
          <w:caps w:val="false"/>
          <w:smallCaps w:val="false"/>
          <w:sz w:val="20"/>
          <w:u w:val="single"/>
        </w:rPr>
        <w:t>http://shareholders.ocwen.com/contactBoard.cfm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received in writing are distributed to our Board of Directors or to individual directors, as the Chief Legal Officer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 or product complaints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 or product inquiries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service or product suggestions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Resumes and other forms of job inquiries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Surveys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Business solicitations or advertisements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Times New Roman;Times;Serif" w:hAnsi="Times New Roman;Times;Serif"/>
          <w:b w:val="false"/>
          <w:i w:val="false"/>
          <w:caps w:val="false"/>
          <w:smallCaps w:val="false"/>
          <w:sz w:val="20"/>
          <w:u w:val="single"/>
        </w:rPr>
        <w:t xml:space="preserve">www.ocwen.com </w:t>
      </w:r>
      <w:r>
        <w:rPr>
          <w:rFonts w:ascii="Times New Roman;Times;Serif" w:hAnsi="Times New Roman;Times;Serif"/>
          <w:b w:val="false"/>
          <w:i w:val="false"/>
          <w:caps w:val="false"/>
          <w:smallCaps w:val="false"/>
          <w:sz w:val="20"/>
        </w:rPr>
        <w:t>in the “Shareholders” section under “Corporate Governance.”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Oversight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Board of Directors’ key responsibilities is the oversight of risk associated with the Company. Certain of these responsibilities have been delegated to specific committees, in which case the Board oversees the work of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Risk and Compliance Committee</w:t>
      </w:r>
      <w:r>
        <w:rPr>
          <w:rFonts w:ascii="Times New Roman;Times;Serif" w:hAnsi="Times New Roman;Times;Serif"/>
          <w:b w:val="false"/>
          <w:i w:val="false"/>
          <w:caps w:val="false"/>
          <w:smallCaps w:val="false"/>
          <w:sz w:val="20"/>
        </w:rPr>
        <w:t>. As discussed above, this committee is responsible for monitoring the Company’s enterprise risk management framework, and regularly meets with the Chief Risk and Compliance Officer to discuss risk exposures and mitigation plans. This committee monitors the Company’s evaluation and management of risks, including, but not limited to, operational risk, regulatory compliance risks and cybersecurity risks, through reviews with management, including comprehensive reviews every quarter with additional updates as appropriate. This committee also reviews and approves related party transactions in accordance with our Related Party Transactions Approval Policy to monitor and prevent conflicts of interest in the operations of the Company and the activities of management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Committee</w:t>
      </w:r>
      <w:r>
        <w:rPr>
          <w:rFonts w:ascii="Times New Roman;Times;Serif" w:hAnsi="Times New Roman;Times;Serif"/>
          <w:b w:val="false"/>
          <w:i w:val="false"/>
          <w:caps w:val="false"/>
          <w:smallCaps w:val="false"/>
          <w:sz w:val="20"/>
        </w:rPr>
        <w:t>. The Audit Committee monitors the Company’s financial risks through regular reviews of the Company’s financial activities with management and internal and external auditors. This committee also receives reports from the management-level Disclosure Review Committee, which works to reduce the risk of inaccurate financial reporting through its review of the Company’s quarterly and annual financial reports and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Nomination/Governance Committee. </w:t>
      </w:r>
      <w:r>
        <w:rPr>
          <w:rFonts w:ascii="Times New Roman;Times;Serif" w:hAnsi="Times New Roman;Times;Serif"/>
          <w:b w:val="false"/>
          <w:i w:val="false"/>
          <w:caps w:val="false"/>
          <w:smallCaps w:val="false"/>
          <w:sz w:val="20"/>
        </w:rPr>
        <w:t>The Nomination/Governance Committee monitors the Company’s governance risk by regular reviews with management, including monitoring any circumstances that could potentially jeopardize the independence of directors or objectivity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xml:space="preserve"> The Compensation Committee monitors potential risks created by the Company’s compensation policies and practices through regular reviews with management and through consulting regularly with an independent compensation consultant without management present. This committee also oversees human resources initiatives intended to reduce the risk of workplace discrimination and harassment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Corporate Governance (ESG) and Corporate Sustainability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and our management are committed to ensuring Ocwen has responsible practices to address the needs of its customers, employees and the communities it serves. While the Board has delegated oversight of management’s ESG initiatives to the Compensation Committee, the full Board is briefed regularly on the Company’s ESG-related activities and metrics. Our comprehensive approach to ESG and corporate sustainability is detailed in our report “Environmental, Social and Corporate Governance (ESG) and Corporate Sustainability”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“Shareholders” section under “Corporate Governance.” Our approach is represented by the following policies and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Policy on non-discrimination. </w:t>
      </w:r>
      <w:r>
        <w:rPr>
          <w:rFonts w:ascii="Times New Roman;Times;Serif" w:hAnsi="Times New Roman;Times;Serif"/>
          <w:b w:val="false"/>
          <w:i w:val="false"/>
          <w:caps w:val="false"/>
          <w:smallCaps w:val="false"/>
          <w:sz w:val="20"/>
        </w:rPr>
        <w:t>Ocwen’s non-discrimination policy provides equal employment opportunities for all qualified individuals without discrimination based upon the following legally protected characteristics: race, religious creed, color, national origin, ancestry, physical or mental disability, medical condition, genetic information, marital status (including registered domestic partnership status), sex (including pregnancy, childbirth, lactation and related medical conditions), gender (including gender identity and expression), age (40 and over), sexual orientation, Civil Air Patrol status, military and veteran status and any other consideration protected by federal, state or local law (collectively referred to as “protected characteristics”). Underlying this policy is Ocwen’s culture and values, including employees’ rights to be free from unlawful discrimination, and its commitment to providing a safe, secure and productive work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Ocwen’s hiring, salary administration, promotion and transfer policies are based solely on job requirements, job performance and job-related criteria. In addition, every effort is made to ensure that Ocwen’s personnel policies and practices (including those relating to compensation, benefits, transfer, retention, termination, training and self-development opportunities, as well as social and recreational programs) are administered without discrimination on the basis of any legally protected characteristic.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Promoting equal opportunity and diversity. </w:t>
      </w:r>
      <w:r>
        <w:rPr>
          <w:rFonts w:ascii="Times New Roman;Times;Serif" w:hAnsi="Times New Roman;Times;Serif"/>
          <w:b w:val="false"/>
          <w:i w:val="false"/>
          <w:caps w:val="false"/>
          <w:smallCaps w:val="false"/>
          <w:sz w:val="20"/>
        </w:rPr>
        <w:t>Ocwen is committed to providing equal opportunity in all areas of employment, compensation, training and promotion. Company policies prohibit discrimination of any form in all of the locations in which Ocwen operates. Ocwen strives to foster an environment in which all stakeholders can participate and contribute to the success of the organization’s enterprise, taking full advantage of the collective sum of individual differences, life experiences, inventiveness, self-expression and unique capabilities, knowledge and talent. Our Diversity, Equity and Inclusion Council, which was formed in 2015, is comprised of leaders from different areas of the Company including our Chief Diversity and Inclusion Officer and helps guide our approach in key areas including Leadership, Workforce, Vendor Diversity and Community Engagement. Diversity, Equity and Inclusion updates are provided to the Executive Leadership Team on a monthly basis and to the Board of Directors as necessary. Ocwen’s Global Diversity, Equity and Inclusion Policy is reviewed on an annual basis and diversity, equity and inclusion training is provided to all employees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several Ocwen women leaders were recognized for their contributions to the mortgage industry and furthering homeownership. Our Chief Risk and Compliance Officer was recognized in HousingWire’s 2023 “Women of Influence” list and five women employees were nominated for Five Star’s 2023 Women in Housing Leadership Awards. Additionally, our India team was recognized as one of the 2023 Top Employers for LGBTQ+ Inclusion by the India Workplace Equality Index, an honor that reflects our deep commitment to diversity, equity and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Ocwen utilizes affinity groups, of which more than 2,200 employees are members, to help support employee development and drive inclusion, including 18 employee events globally: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Ocwen Global Women’s Network (OGWN) supports recruitment, development and retention initiatives for women across the organization, and serves as a sounding board for business insights, and supports the attainment of company goals in diversity, inclusion and talent development. Integrating Diversity, Equity and Inclusion into Ocwen’s culture is critical for our success and allows us to make the most of the full range of our talent.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LEAP</w:t>
            </w:r>
            <w:r>
              <w:rPr>
                <w:rFonts w:ascii="Times New Roman;Times;Serif" w:hAnsi="Times New Roman;Times;Serif"/>
                <w:b w:val="false"/>
                <w:i w:val="false"/>
                <w:caps w:val="false"/>
                <w:smallCaps w:val="false"/>
                <w:sz w:val="20"/>
              </w:rPr>
              <w:t>, which stands for Leading with Education Action and Purpose, has the mission to educate Ocwen employees globally about Black culture and the Black experience to increase inclusion across the organization. LEAP also enhances the professional development of Black employees through formal and informal mentoring, networking, learning opportunities and leadership development.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mission of </w:t>
            </w:r>
            <w:r>
              <w:rPr>
                <w:rFonts w:ascii="Times New Roman;Times;Serif" w:hAnsi="Times New Roman;Times;Serif"/>
                <w:b/>
                <w:i w:val="false"/>
                <w:caps w:val="false"/>
                <w:smallCaps w:val="false"/>
                <w:sz w:val="20"/>
              </w:rPr>
              <w:t>FREE</w:t>
            </w:r>
            <w:r>
              <w:rPr>
                <w:rFonts w:ascii="Times New Roman;Times;Serif" w:hAnsi="Times New Roman;Times;Serif"/>
                <w:b w:val="false"/>
                <w:i w:val="false"/>
                <w:caps w:val="false"/>
                <w:smallCaps w:val="false"/>
                <w:sz w:val="20"/>
              </w:rPr>
              <w:t>, which stands for Freedom, Respect, Expression and Equality, is to create a safe, inclusive and affirming office climate that fosters professional and personal growth for employees of all genders and sexualities through education, advocacy, outreach and support. FREE promotes a fully equitable environment that is free of judgment and strives for knowledge, challenges barriers, and seeks to help and empower LGBTQ+ employees and allies.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Commitment to Ethics.</w:t>
      </w:r>
      <w:r>
        <w:rPr>
          <w:rFonts w:ascii="Times New Roman;Times;Serif" w:hAnsi="Times New Roman;Times;Serif"/>
          <w:b w:val="false"/>
          <w:i w:val="false"/>
          <w:caps w:val="false"/>
          <w:smallCaps w:val="false"/>
          <w:sz w:val="20"/>
        </w:rPr>
        <w:t xml:space="preserve"> We have adopted a robust Code of Business Conduct and Ethics that applies to all employees and our Board of Directors, as well as an additional Code of Ethics for Senior Financial Officers that applies to our Chief Executive Officer, Chief Financial Officer, and Chief Accounting Officer. We provide multiple anonymous methods for any employee or other person to report a suspected ethical violation, including whistleblower complaints relating to accounting, internal controls, audit matters or securities law, and our policies prohibit retaliation against any person for making a good faith complaint. We also provide methods for interested individuals to contact the members of our Board of Directors and communicate directly with the Chair of our Audit Committee. Our General Counsel serves as our Chief Ethics Officer and works with members of our Internal Audit function to ensure every ethics complaint and communication to our Board is addressed in accordance with our company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Benefits. </w:t>
      </w:r>
      <w:r>
        <w:rPr>
          <w:rFonts w:ascii="Times New Roman;Times;Serif" w:hAnsi="Times New Roman;Times;Serif"/>
          <w:b w:val="false"/>
          <w:i w:val="false"/>
          <w:caps w:val="false"/>
          <w:smallCaps w:val="false"/>
          <w:sz w:val="20"/>
        </w:rPr>
        <w:t>Ocwen’s benefits programs strive to keep employees productive and engaged at work by serving the total well-being of employees’ and their families’ physical, mental and financial health. In the U.S.,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wellness programs offer incentives for completing preventive health screenings, participating in online and telephonic health coaching, improving or reaching targeted health scores, and increasing physical activity. Additionally, we provide employees with a comprehensive employee assistance program that includes virtual counseling, personalized health coaching for diabetes and other chronic conditions, stress management and financial planning workshops, online guided meditation and yoga, and more. Ocwen also provides a generous paid time off (PTO) program to support employees’ need to rest and recharge. Our medical and family leave programs offer paid disability absences and paid parental/adoption leave, in addition to FMLA-required schedule flexibility and job security. Outside the U.S., our employee benefit programs provide comparable and market appropriate benefits focused on supporting our employees well-being and retirement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Training and development.</w:t>
      </w:r>
      <w:r>
        <w:rPr>
          <w:rFonts w:ascii="Times New Roman;Times;Serif" w:hAnsi="Times New Roman;Times;Serif"/>
          <w:b w:val="false"/>
          <w:i w:val="false"/>
          <w:caps w:val="false"/>
          <w:smallCaps w:val="false"/>
          <w:sz w:val="20"/>
        </w:rPr>
        <w:t xml:space="preserve"> Ocwen is committed to providing our employees with high-quality training and learning experiences targeted to increase industry knowledge levels, improve process efficiency and promote personal growth, which in turn helps improve customer experience, reduce foreclosures and contribute to our success as an organization. Ocwen facilitates professional development through the lifecycle of employees through functional business training, regulatory and compliance training, and skill and competency development programs. We also provide individualized one-on-one coaching to help customer-facing staff guide customers to positive experiences. In addition to learning programs designed to build functional and leadership competency for all levels of leadership throughout the organization, Ocwen offers a Leadership Development Training curriculum specifically designed to prepare employees at the Supervisor level and above with the competencies to make them successful in their roles as leaders. Training courses are housed in our continuously reviewed and updated learning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training and development programs are important contributors to our ability to deliver industry-leading customer service. Over the past few years, Ocwen’s subsidiary PHH Mortgage Corporation (PHH) has been recognized for servicing excellence through Freddie Mac’s SHARP</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and Fannie Mae’s STAR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awards and HUD’s 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Community development.</w:t>
      </w:r>
      <w:r>
        <w:rPr>
          <w:rFonts w:ascii="Times New Roman;Times;Serif" w:hAnsi="Times New Roman;Times;Serif"/>
          <w:b w:val="false"/>
          <w:i w:val="false"/>
          <w:caps w:val="false"/>
          <w:smallCaps w:val="false"/>
          <w:sz w:val="20"/>
        </w:rPr>
        <w:t xml:space="preserve"> At Ocwen, we believe homeownership is an important part of achieving financial independence, and our philosophy in this regard is “helping homeowners is what we do.” This philosophy is what guides us in our commitment to the communities we serve. We organize a variety of community outreach programs and events with local and national organizations around the country to assist homeowners, particularly in communities of color. Our outreach events began during the 2008 mortgage crisis and have continued since then. In 2023, we hosted 41 borrower outreach events across the country in partnership with the NAACP and seven HUD certified housing counseling agencies. In addition, Ocwen partners with several local municipalities around vacant and abandoned properties to mitigate blight in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better serve our stakeholders and communities, Ocwen created a Community Advisory Council in 2014, consisting of 15 leaders from a diverse group of national non-profit organizations, consumer advocacy groups and civil rights organizations, as a platform to collaborate and share ideas on how to help homeowners. Ocwen provides grants and sponsorship funding to local and national nonprofit organizations each year, in support of the work they do to help distressed communities and homeowners. Over the past four years, Ocwen has contributed over $6 million to these organizations, and nearly $28 million since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Ocwen’s subsidiary PHH formed a community partnership with the National Association of Mortgage Brokers (NAMB) to develop and provide a new reverse mortgage certification program to NAMB’s members. The success of this training program resulted in PHH being named a 2023 Affiliate Company of the Year by NAMB.</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Charitable activity.</w:t>
      </w:r>
      <w:r>
        <w:rPr>
          <w:rFonts w:ascii="Times New Roman;Times;Serif" w:hAnsi="Times New Roman;Times;Serif"/>
          <w:b w:val="false"/>
          <w:i w:val="false"/>
          <w:caps w:val="false"/>
          <w:smallCaps w:val="false"/>
          <w:sz w:val="20"/>
        </w:rPr>
        <w:t xml:space="preserve"> Ocwen continues to find meaningful ways to give back to the communities where we live and work. The charitable events at our office locations around the globe included distributing meals and supporting local food banks, helping economically disadvantaged children and at-risk youth, helping schools for hearing-impaired children, holding toy drives and back-to-school supply drives, helping the homeless, supporting victims of crimes, providing financial assistance to families impacted by cancer, making donations to first responders, helping communities impacted by the pandemic with donations and medical equipment, hosting blood drives through the American Red Cross and making donations to the Mortgage Bankers Association’s (MBA) Opens Doors Foundation to help families with a critically ill or injured child.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Responsible information security management. </w:t>
      </w:r>
      <w:r>
        <w:rPr>
          <w:rFonts w:ascii="Times New Roman;Times;Serif" w:hAnsi="Times New Roman;Times;Serif"/>
          <w:b w:val="false"/>
          <w:i w:val="false"/>
          <w:caps w:val="false"/>
          <w:smallCaps w:val="false"/>
          <w:sz w:val="20"/>
        </w:rPr>
        <w:t>Ocwen maintains a comprehensive information security program designed to safeguard the confidentiality, integrity and availability of its data and information systems. Ocwen’s Board of Directors is consistently updated on information security risks, which are managed through a strategic blend of policies, advanced tools and technologies, and continuous staff awareness initiatives. Ocwen’s cybersecurity controls are structured around a multi-layered defense-in-depth strategy designed to protect the integrity of the network against potential breaches.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workforce undergoes regular training to recognize, avert, and report cybersecurity risks and incidents. In parallel, Ocwen’s third-party risk management program assesses and supervises the information security practices of our vendors. It is mandatory for all third-party vendors who handle data processing on our behalf to uphold a well-documented information security program that aligns with our strict security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Ocwen’s readiness for and responsiveness to cyber threats are regularly evaluated through various assessments. These include both internal and external vulnerability assessments, penetration testing, incident response table-top exercises, and breach readiness and response drills. For more detailed information regarding Ocwen’s approach to information security risk management, see “Item 1C. Cybersecurity” of the Annual Report included with these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 Impact.</w:t>
      </w:r>
      <w:r>
        <w:rPr>
          <w:rFonts w:ascii="Times New Roman;Times;Serif" w:hAnsi="Times New Roman;Times;Serif"/>
          <w:b w:val="false"/>
          <w:i w:val="false"/>
          <w:caps w:val="false"/>
          <w:smallCaps w:val="false"/>
          <w:sz w:val="20"/>
        </w:rPr>
        <w:t xml:space="preserve"> In 2023, Ocwen continued its commitment to operate through a primarily remote working model, reducing the percentage of employees commuting daily to the office. Fewer associates in the offices afforded the opportunity to reduce our office footprint in several markets. As office space footprints were reduced, improvements were made to retrofit lighting and equipment to lower our use of natural resources. Recycling of office and paper products in all U.S. facilities continues to be a priority, which reduces our imprint on the local landfills. In addition, we continue to reduce paper mailings to customers through our digital mailing service, electronic notice delivery and process automations.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discloses compensation received for fiscal year 2023 by each member of our Board of Directors who was not employed by us or one of our subsidiaries and who served as a director during fiscal year 2023 (our non-management directors).</w:t>
      </w:r>
    </w:p>
    <w:p>
      <w:pPr>
        <w:pStyle w:val="TextBody"/>
        <w:bidi w:val="0"/>
        <w:spacing w:before="0" w:after="0"/>
        <w:ind w:left="0" w:right="0" w:hanging="0"/>
        <w:jc w:val="both"/>
        <w:rPr>
          <w:caps w:val="false"/>
          <w:smallCaps w:val="false"/>
        </w:rPr>
      </w:pPr>
      <w:r>
        <w:rPr>
          <w:caps w:val="false"/>
          <w:smallCaps w:val="false"/>
        </w:rPr>
        <w:t> </w:t>
      </w:r>
    </w:p>
    <w:tbl>
      <w:tblPr>
        <w:tblW w:w="6308" w:type="dxa"/>
        <w:jc w:val="left"/>
        <w:tblInd w:w="0" w:type="dxa"/>
        <w:tblLayout w:type="fixed"/>
        <w:tblCellMar>
          <w:top w:w="0" w:type="dxa"/>
          <w:left w:w="0" w:type="dxa"/>
          <w:bottom w:w="28" w:type="dxa"/>
          <w:right w:w="0" w:type="dxa"/>
        </w:tblCellMar>
      </w:tblPr>
      <w:tblGrid>
        <w:gridCol w:w="2285"/>
        <w:gridCol w:w="60"/>
        <w:gridCol w:w="95"/>
        <w:gridCol w:w="1274"/>
        <w:gridCol w:w="185"/>
        <w:gridCol w:w="60"/>
        <w:gridCol w:w="90"/>
        <w:gridCol w:w="1204"/>
        <w:gridCol w:w="60"/>
        <w:gridCol w:w="60"/>
        <w:gridCol w:w="60"/>
        <w:gridCol w:w="800"/>
        <w:gridCol w:w="75"/>
      </w:tblGrid>
      <w:tr>
        <w:trPr/>
        <w:tc>
          <w:tcPr>
            <w:tcW w:w="2285" w:type="dxa"/>
            <w:tcBorders>
              <w:bottom w:val="single" w:sz="12"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36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 Cash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9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position w:val="7"/>
                <w:sz w:val="16"/>
                <w:sz w:val="20"/>
              </w:rPr>
              <w:t>(1)(2)(3)</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center"/>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Jenne K. Britell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98,000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120,000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Alan J. Bowers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115,500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235,500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Jacques J. Busquet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123,000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120,000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243,000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Phyllis R. Caldwell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98,250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218,250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DeForest B. Soaries,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154,522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120,000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274,522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Kevin Stein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157,833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277,833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for stock awards represent the aggregate grant date fair value of awards granted during fiscal year 2023 under the 2021 Equity Incentive Plan, as amended (the 2021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tc>
      </w:tr>
      <w:tr>
        <w:trPr/>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100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our non-management directors received equity awards under the 2021 Plan for their service for the 2023-2024 term. Each award had a grant date fair value totaling $120,000 (with immaterial incremental value resulting from rounding to the next whole share). Each director received 4,424 restricted stock units (RSUs) vesting May 23, 2024, in the event each director attends at least 75% of applicable Board and committee meetings.</w:t>
            </w:r>
          </w:p>
        </w:tc>
      </w:tr>
      <w:tr>
        <w:trPr/>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100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non-management directors have no shares subject to option awards or other equity awards outstanding as of December 31, 2023, other than the RSUs issued May 23, 2023, except the following issued in prior service years to directors deferring their equity compensation pursuant to the Deferral Plan for Directors: Dr. Soaries holds 4,981 RSUs deliverable six months following the termination of his service and Ms. Caldwell holds, 2,383 RSUs deliverable six months following the termination of her service.</w:t>
            </w:r>
          </w:p>
        </w:tc>
      </w:tr>
      <w:tr>
        <w:trPr/>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100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Soaries’ cash compensation included the payment of $60,022 deferred during the 2016-2017 service year pursuant to the Deferral Plan for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support of the Company’s cost-cutting initiatives, the Board determined in 2022 to reduce the fees payable for Board service, including reductions in the retainers payable for service as Chair or member of the Board, the Chair or member of the Compensation Committee and member of the Nomination/Governance Committee. In keeping with our continued commitment to cost-cutting, we maintained our reduced fee structure in 2023 and our non-management directors received the following cash compensation, payable in quarterly installments (except as noted below):</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retainer of $72,000;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additional $75,000 to the Lead Independent Director;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$25,000 to the Audit Committee Chair;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$20,000 to the Compensation Committee Chair;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additional $15,000 to the Nomination/Governance Committee Chair; </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$12,500 to all Audit Committee and Risk and Compliance Committee members (other than the Chairs);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$10,000 to all Compensation Committee members (other than the Chair);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$7,500 to all Nomination/Governance Committee members (other than the Chair).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Stein, our Lead Independent Director, did not receive compensation for his service as Risk and Compliance Committee Chair in 2023. Effective for 2024, Lead Independent Director fees will be reduced to $50,000 and Mr. Stein will receive an additional $25,000 for service as Risk and Compliance Committee Chair.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non-management directors other than the Lead Independent Director received fees of $1,000 per meeting for each meeting in excess of eight meetings of the Board of Directors and each applicable committee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Messina does not receive additional compensation for service as either a director or as the Chair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2023 Annual Shareholder Meeting, our shareholders approved Amendment No. 2 to the 2021 Equity Incentive Plan (as amended, the 2021 Plan). Following the 2023 Annual Shareholder Meeting, each non-management member of the Board of Directors was granted an award of restricted stock units (RSUs) under the 2021 Plan with a grant date fair value of $120,000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2024 Annual Shareholder Meeting on May 28, 2024, each non-management member of the Board of Directors serving for the 2024-2025 Board term will be granted an equity award under the 2021 Plan with a grant date fair value of $120,000 (rounded to the next whole share), subject to their election to defer, as described further below. This grant is not dependent on approval of the 2021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Alignment with Shareholder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component of our director compensation program aligns the compensation of our directors directly with long-term shareholder value creation. The table below reflects the strong incentive created by our director compensation program to ensure our directors’ compensation is aligned with shareholder value creation. The table below shows the total equity holdings, excluding stock options, of each of our directors as of March 31, 2024, including shares of common stock beneficially owned and vested and unvested restricted stock units. The table provides the value of those shares and restricted stock units based on the closing price of our stock on March 31, 2024 and an illustrative diluted book value per share based on our publicly reported book value as of December 31, 2023.</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Value of Total Equity Held by Non-Management Directors </w:t>
      </w:r>
      <w:r>
        <w:rPr>
          <w:rFonts w:ascii="Times New Roman;Times;Serif" w:hAnsi="Times New Roman;Times;Serif"/>
          <w:b/>
          <w:i/>
          <w:caps w:val="false"/>
          <w:smallCaps w:val="false"/>
          <w:position w:val="7"/>
          <w:sz w:val="16"/>
          <w:sz w:val="20"/>
        </w:rPr>
        <w:t>(1),(2)</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81"/>
        <w:gridCol w:w="60"/>
        <w:gridCol w:w="179"/>
        <w:gridCol w:w="2400"/>
        <w:gridCol w:w="60"/>
        <w:gridCol w:w="60"/>
        <w:gridCol w:w="165"/>
        <w:gridCol w:w="2705"/>
        <w:gridCol w:w="60"/>
        <w:gridCol w:w="60"/>
        <w:gridCol w:w="161"/>
        <w:gridCol w:w="2636"/>
        <w:gridCol w:w="78"/>
      </w:tblGrid>
      <w:tr>
        <w:trPr/>
        <w:tc>
          <w:tcPr>
            <w:tcW w:w="1581" w:type="dxa"/>
            <w:tcBorders>
              <w:bottom w:val="single" w:sz="12"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257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Vested</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 xml:space="preserve"> and Unvested (as of 3/31/24)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87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at $27.01 Share Price (closing price on 3/31/24)</w:t>
            </w:r>
            <w:r>
              <w:rPr>
                <w:rFonts w:ascii="Times New Roman;Times;Serif" w:hAnsi="Times New Roman;Times;Serif"/>
                <w:b/>
                <w:i w:val="false"/>
                <w:caps w:val="false"/>
                <w:smallCaps w:val="false"/>
                <w:position w:val="7"/>
                <w:sz w:val="16"/>
                <w:sz w:val="20"/>
              </w:rPr>
              <w:t>(3)</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797"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at $46.80 Fully Diluted Book Value Per Share</w:t>
            </w:r>
            <w:r>
              <w:rPr>
                <w:rFonts w:ascii="Times New Roman;Times;Serif" w:hAnsi="Times New Roman;Times;Serif"/>
                <w:b/>
                <w:i w:val="false"/>
                <w:caps w:val="false"/>
                <w:smallCaps w:val="false"/>
                <w:position w:val="7"/>
                <w:sz w:val="16"/>
                <w:sz w:val="20"/>
              </w:rPr>
              <w:t>(4)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tcMar>
              <w:bottom w:w="0" w:type="dxa"/>
            </w:tcMar>
            <w:vAlign w:val="center"/>
          </w:tcPr>
          <w:p>
            <w:pPr>
              <w:pStyle w:val="TableContents"/>
              <w:bidi w:val="0"/>
              <w:spacing w:before="0" w:after="283"/>
              <w:jc w:val="center"/>
              <w:rPr/>
            </w:pPr>
            <w:r>
              <w:rPr/>
              <w:t> </w:t>
            </w:r>
          </w:p>
        </w:tc>
      </w:tr>
      <w:tr>
        <w:trPr/>
        <w:tc>
          <w:tcPr>
            <w:tcW w:w="1581" w:type="dxa"/>
            <w:tcBorders/>
            <w:shd w:fill="CCEEFF" w:val="clear"/>
            <w:tcMar>
              <w:bottom w:w="0" w:type="dxa"/>
            </w:tcMar>
            <w:vAlign w:val="center"/>
          </w:tcPr>
          <w:p>
            <w:pPr>
              <w:pStyle w:val="TableContents"/>
              <w:bidi w:val="0"/>
              <w:spacing w:before="0" w:after="283"/>
              <w:jc w:val="left"/>
              <w:rPr/>
            </w:pPr>
            <w:r>
              <w:rPr/>
              <w:t>Alan J. Bowers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2400" w:type="dxa"/>
            <w:tcBorders/>
            <w:shd w:fill="CCEEFF" w:val="clear"/>
            <w:tcMar>
              <w:bottom w:w="0" w:type="dxa"/>
            </w:tcMar>
            <w:vAlign w:val="center"/>
          </w:tcPr>
          <w:p>
            <w:pPr>
              <w:pStyle w:val="TableContents"/>
              <w:bidi w:val="0"/>
              <w:spacing w:before="0" w:after="283"/>
              <w:jc w:val="right"/>
              <w:rPr/>
            </w:pPr>
            <w:r>
              <w:rPr/>
              <w:t>31,385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right"/>
              <w:rPr/>
            </w:pPr>
            <w:r>
              <w:rPr/>
              <w:t>847,709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636" w:type="dxa"/>
            <w:tcBorders/>
            <w:shd w:fill="CCEEFF" w:val="clear"/>
            <w:tcMar>
              <w:bottom w:w="0" w:type="dxa"/>
            </w:tcMar>
            <w:vAlign w:val="center"/>
          </w:tcPr>
          <w:p>
            <w:pPr>
              <w:pStyle w:val="TableContents"/>
              <w:bidi w:val="0"/>
              <w:spacing w:before="0" w:after="283"/>
              <w:jc w:val="right"/>
              <w:rPr/>
            </w:pPr>
            <w:r>
              <w:rPr/>
              <w:t>1,468,818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581" w:type="dxa"/>
            <w:tcBorders/>
            <w:shd w:fill="FFFFFF" w:val="clear"/>
            <w:tcMar>
              <w:bottom w:w="0" w:type="dxa"/>
            </w:tcMar>
            <w:vAlign w:val="center"/>
          </w:tcPr>
          <w:p>
            <w:pPr>
              <w:pStyle w:val="TableContents"/>
              <w:bidi w:val="0"/>
              <w:spacing w:before="0" w:after="283"/>
              <w:jc w:val="left"/>
              <w:rPr/>
            </w:pPr>
            <w:r>
              <w:rPr/>
              <w:t>Jenne K. Britell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2400" w:type="dxa"/>
            <w:tcBorders/>
            <w:shd w:fill="FFFFFF" w:val="clear"/>
            <w:tcMar>
              <w:bottom w:w="0" w:type="dxa"/>
            </w:tcMar>
            <w:vAlign w:val="center"/>
          </w:tcPr>
          <w:p>
            <w:pPr>
              <w:pStyle w:val="TableContents"/>
              <w:bidi w:val="0"/>
              <w:spacing w:before="0" w:after="283"/>
              <w:jc w:val="right"/>
              <w:rPr/>
            </w:pPr>
            <w:r>
              <w:rPr/>
              <w:t>29,222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right"/>
              <w:rPr/>
            </w:pPr>
            <w:r>
              <w:rPr/>
              <w:t>789,286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2636" w:type="dxa"/>
            <w:tcBorders/>
            <w:shd w:fill="FFFFFF" w:val="clear"/>
            <w:tcMar>
              <w:bottom w:w="0" w:type="dxa"/>
            </w:tcMar>
            <w:vAlign w:val="center"/>
          </w:tcPr>
          <w:p>
            <w:pPr>
              <w:pStyle w:val="TableContents"/>
              <w:bidi w:val="0"/>
              <w:spacing w:before="0" w:after="283"/>
              <w:jc w:val="right"/>
              <w:rPr/>
            </w:pPr>
            <w:r>
              <w:rPr/>
              <w:t>1,367,590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581" w:type="dxa"/>
            <w:tcBorders/>
            <w:shd w:fill="CCEEFF" w:val="clear"/>
            <w:tcMar>
              <w:bottom w:w="0" w:type="dxa"/>
            </w:tcMar>
            <w:vAlign w:val="center"/>
          </w:tcPr>
          <w:p>
            <w:pPr>
              <w:pStyle w:val="TableContents"/>
              <w:bidi w:val="0"/>
              <w:spacing w:before="0" w:after="283"/>
              <w:jc w:val="left"/>
              <w:rPr/>
            </w:pPr>
            <w:r>
              <w:rPr/>
              <w:t>Jacques J. Busquet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2400" w:type="dxa"/>
            <w:tcBorders/>
            <w:shd w:fill="CCEEFF" w:val="clear"/>
            <w:tcMar>
              <w:bottom w:w="0" w:type="dxa"/>
            </w:tcMar>
            <w:vAlign w:val="center"/>
          </w:tcPr>
          <w:p>
            <w:pPr>
              <w:pStyle w:val="TableContents"/>
              <w:bidi w:val="0"/>
              <w:spacing w:before="0" w:after="283"/>
              <w:jc w:val="right"/>
              <w:rPr/>
            </w:pPr>
            <w:r>
              <w:rPr/>
              <w:t>40,218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right"/>
              <w:rPr/>
            </w:pPr>
            <w:r>
              <w:rPr/>
              <w:t>1,086,288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636" w:type="dxa"/>
            <w:tcBorders/>
            <w:shd w:fill="CCEEFF" w:val="clear"/>
            <w:tcMar>
              <w:bottom w:w="0" w:type="dxa"/>
            </w:tcMar>
            <w:vAlign w:val="center"/>
          </w:tcPr>
          <w:p>
            <w:pPr>
              <w:pStyle w:val="TableContents"/>
              <w:bidi w:val="0"/>
              <w:spacing w:before="0" w:after="283"/>
              <w:jc w:val="right"/>
              <w:rPr/>
            </w:pPr>
            <w:r>
              <w:rPr/>
              <w:t>1,882,202</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581" w:type="dxa"/>
            <w:tcBorders/>
            <w:shd w:fill="FFFFFF" w:val="clear"/>
            <w:tcMar>
              <w:bottom w:w="0" w:type="dxa"/>
            </w:tcMar>
            <w:vAlign w:val="center"/>
          </w:tcPr>
          <w:p>
            <w:pPr>
              <w:pStyle w:val="TableContents"/>
              <w:bidi w:val="0"/>
              <w:spacing w:before="0" w:after="283"/>
              <w:jc w:val="left"/>
              <w:rPr/>
            </w:pPr>
            <w:r>
              <w:rPr/>
              <w:t>Phyllis R. Caldwell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2400" w:type="dxa"/>
            <w:tcBorders/>
            <w:shd w:fill="FFFFFF" w:val="clear"/>
            <w:tcMar>
              <w:bottom w:w="0" w:type="dxa"/>
            </w:tcMar>
            <w:vAlign w:val="center"/>
          </w:tcPr>
          <w:p>
            <w:pPr>
              <w:pStyle w:val="TableContents"/>
              <w:bidi w:val="0"/>
              <w:spacing w:before="0" w:after="283"/>
              <w:jc w:val="right"/>
              <w:rPr/>
            </w:pPr>
            <w:r>
              <w:rPr/>
              <w:t>40,814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right"/>
              <w:rPr/>
            </w:pPr>
            <w:r>
              <w:rPr/>
              <w:t>1,102,386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2636" w:type="dxa"/>
            <w:tcBorders/>
            <w:shd w:fill="FFFFFF" w:val="clear"/>
            <w:tcMar>
              <w:bottom w:w="0" w:type="dxa"/>
            </w:tcMar>
            <w:vAlign w:val="center"/>
          </w:tcPr>
          <w:p>
            <w:pPr>
              <w:pStyle w:val="TableContents"/>
              <w:bidi w:val="0"/>
              <w:spacing w:before="0" w:after="283"/>
              <w:jc w:val="right"/>
              <w:rPr/>
            </w:pPr>
            <w:r>
              <w:rPr/>
              <w:t>1,910,095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581" w:type="dxa"/>
            <w:tcBorders/>
            <w:shd w:fill="CCEEFF" w:val="clear"/>
            <w:tcMar>
              <w:bottom w:w="0" w:type="dxa"/>
            </w:tcMar>
            <w:vAlign w:val="center"/>
          </w:tcPr>
          <w:p>
            <w:pPr>
              <w:pStyle w:val="TableContents"/>
              <w:bidi w:val="0"/>
              <w:spacing w:before="0" w:after="283"/>
              <w:jc w:val="left"/>
              <w:rPr/>
            </w:pPr>
            <w:r>
              <w:rPr/>
              <w:t>DeForest B. Soaries,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2400" w:type="dxa"/>
            <w:tcBorders/>
            <w:shd w:fill="CCEEFF" w:val="clear"/>
            <w:tcMar>
              <w:bottom w:w="0" w:type="dxa"/>
            </w:tcMar>
            <w:vAlign w:val="center"/>
          </w:tcPr>
          <w:p>
            <w:pPr>
              <w:pStyle w:val="TableContents"/>
              <w:bidi w:val="0"/>
              <w:spacing w:before="0" w:after="283"/>
              <w:jc w:val="right"/>
              <w:rPr/>
            </w:pPr>
            <w:r>
              <w:rPr/>
              <w:t>36,607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right"/>
              <w:rPr/>
            </w:pPr>
            <w:r>
              <w:rPr/>
              <w:t>988,755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636" w:type="dxa"/>
            <w:tcBorders/>
            <w:shd w:fill="CCEEFF" w:val="clear"/>
            <w:tcMar>
              <w:bottom w:w="0" w:type="dxa"/>
            </w:tcMar>
            <w:vAlign w:val="center"/>
          </w:tcPr>
          <w:p>
            <w:pPr>
              <w:pStyle w:val="TableContents"/>
              <w:bidi w:val="0"/>
              <w:spacing w:before="0" w:after="283"/>
              <w:jc w:val="right"/>
              <w:rPr/>
            </w:pPr>
            <w:r>
              <w:rPr/>
              <w:t>1,713,208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581" w:type="dxa"/>
            <w:tcBorders/>
            <w:shd w:fill="FFFFFF" w:val="clear"/>
            <w:tcMar>
              <w:bottom w:w="0" w:type="dxa"/>
            </w:tcMar>
            <w:vAlign w:val="center"/>
          </w:tcPr>
          <w:p>
            <w:pPr>
              <w:pStyle w:val="TableContents"/>
              <w:bidi w:val="0"/>
              <w:spacing w:before="0" w:after="283"/>
              <w:jc w:val="left"/>
              <w:rPr/>
            </w:pPr>
            <w:r>
              <w:rPr/>
              <w:t>Kevin Stein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2400" w:type="dxa"/>
            <w:tcBorders/>
            <w:shd w:fill="FFFFFF" w:val="clear"/>
            <w:tcMar>
              <w:bottom w:w="0" w:type="dxa"/>
            </w:tcMar>
            <w:vAlign w:val="center"/>
          </w:tcPr>
          <w:p>
            <w:pPr>
              <w:pStyle w:val="TableContents"/>
              <w:bidi w:val="0"/>
              <w:spacing w:before="0" w:after="283"/>
              <w:jc w:val="right"/>
              <w:rPr/>
            </w:pPr>
            <w:r>
              <w:rPr/>
              <w:t>29,222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right"/>
              <w:rPr/>
            </w:pPr>
            <w:r>
              <w:rPr/>
              <w:t>789,286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2636" w:type="dxa"/>
            <w:tcBorders/>
            <w:shd w:fill="FFFFFF" w:val="clear"/>
            <w:tcMar>
              <w:bottom w:w="0" w:type="dxa"/>
            </w:tcMar>
            <w:vAlign w:val="center"/>
          </w:tcPr>
          <w:p>
            <w:pPr>
              <w:pStyle w:val="TableContents"/>
              <w:bidi w:val="0"/>
              <w:spacing w:before="0" w:after="283"/>
              <w:jc w:val="right"/>
              <w:rPr/>
            </w:pPr>
            <w:r>
              <w:rPr/>
              <w:t>1,367,590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581"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2400" w:type="dxa"/>
            <w:tcBorders/>
            <w:shd w:fill="CCEEFF" w:val="clear"/>
            <w:tcMar>
              <w:bottom w:w="0" w:type="dxa"/>
            </w:tcMar>
            <w:vAlign w:val="center"/>
          </w:tcPr>
          <w:p>
            <w:pPr>
              <w:pStyle w:val="TableContents"/>
              <w:bidi w:val="0"/>
              <w:spacing w:before="0" w:after="283"/>
              <w:jc w:val="right"/>
              <w:rPr>
                <w:b/>
              </w:rPr>
            </w:pPr>
            <w:r>
              <w:rPr>
                <w:b/>
              </w:rPr>
              <w:t>207,468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right"/>
              <w:rPr>
                <w:b/>
              </w:rPr>
            </w:pPr>
            <w:r>
              <w:rPr>
                <w:b/>
              </w:rPr>
              <w:t>5,603,710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636" w:type="dxa"/>
            <w:tcBorders/>
            <w:shd w:fill="CCEEFF" w:val="clear"/>
            <w:tcMar>
              <w:bottom w:w="0" w:type="dxa"/>
            </w:tcMar>
            <w:vAlign w:val="center"/>
          </w:tcPr>
          <w:p>
            <w:pPr>
              <w:pStyle w:val="TableContents"/>
              <w:bidi w:val="0"/>
              <w:spacing w:before="0" w:after="283"/>
              <w:jc w:val="right"/>
              <w:rPr>
                <w:b/>
              </w:rPr>
            </w:pPr>
            <w:r>
              <w:rPr>
                <w:b/>
              </w:rPr>
              <w:t>9,709,503</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18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equity includes shares of common stock beneficially owned by each director serving on the Board of Directors at March 31, 2024 plus unvested restricted stock units. As noted above, restricted stock units valued at $120,000 are granted each year to our directors following our annual meeting of shareholders and vest on the first anniversary of the grant date, unless the director attended less than 75% of all meetings of the Board of Directors during that year, in which case the restricted stock units will be pro-rated based on the director’s actual attendance percentage, with the remainder forfeited. Accordingly, it is possible that all of the restricted stock units shown in the table above may not fully vest. </w:t>
            </w:r>
          </w:p>
        </w:tc>
      </w:tr>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1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Vested” represents shares beneficially owned and shares underlying restricted stock units that have vested and are subject to deferred delivery under our Deferral Plan for Directors, described above. “Shares Unvested” represent restricted stock units granted to a director that have not vested as of March 31, 2024. As of March 31, 2024, each of our directors held 4,424 unvested restricted stock units.</w:t>
            </w:r>
          </w:p>
        </w:tc>
      </w:tr>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 are based on share price as of March 28, 2024, the last closing price prior to March 31, 2024, and equity holdings as of March 31, 2024. Our future stock price may vary materially from the closing price shown in the table. The closing price per share of our common stock on April 11, 2024 was $24.40 per share.</w:t>
            </w:r>
          </w:p>
        </w:tc>
      </w:tr>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 are based on March 31, 2024 equity holdings and fully diluted book value per share. Fully diluted book value per share is calculated based on the Company’s most recent publicly reported book value of $401.8 million at December 31, 2023 and 9,230,269 shares, comprised of 7,784,253 shares outstanding and 1,446,016 warrants held by Oaktree as of March 31, 2024. See “Business Relationships and Related Transactions – Relationship with Oaktree”, below. Assumes cashless exercise of Oaktree warrants using 10-day average of Volume Weighted Average Price (10 days ending on preceding day of exercise) on March 31, 2024 of $25.54. Does not give effect to issuance of shares underlying vested and unvested restricted stock units shown in table or stock options with strike prices above current trading prices.</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shares owned and outstanding units granted to non-management directors as of March 31, 2024 represents 2.7% of the diluted weighted average number (7,635,584) of shares of the Company’s common stock issued and outstanding in the 2023 fiscal year.</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Deferral Plan for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pStyle w:val="TextBody"/>
        <w:bidi w:val="0"/>
        <w:spacing w:before="0" w:after="0"/>
        <w:ind w:left="0" w:right="0" w:hanging="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1760"/>
        <w:gridCol w:w="60"/>
        <w:gridCol w:w="560"/>
        <w:gridCol w:w="60"/>
        <w:gridCol w:w="5705"/>
      </w:tblGrid>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570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r>
              <w:rPr>
                <w:rFonts w:ascii="Times New Roman;Times;Serif" w:hAnsi="Times New Roman;Times;Serif"/>
                <w:b/>
                <w:i w:val="false"/>
                <w:caps w:val="false"/>
                <w:smallCaps w:val="false"/>
                <w:position w:val="7"/>
                <w:sz w:val="16"/>
                <w:sz w:val="20"/>
              </w:rPr>
              <w:t>(1)</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 A. Messina</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W. Anderson</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Servicing Officer</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Jenna D. Evans</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Risk and Compliance Officer</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Francois Grunenwald</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Accounting Officer</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O’Neil</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Vice President and Chief Financial Officer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Andrew Peach</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Originations and Chief Lending Officer</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J. Samarias</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Legal Officer and Company Secretary</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D. Wade</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Vice President and Chief Investment Officer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Zeleny</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tcMar>
              <w:bottom w:w="0" w:type="dxa"/>
            </w:tcMar>
            <w:vAlign w:val="center"/>
          </w:tcPr>
          <w:p>
            <w:pPr>
              <w:pStyle w:val="TableContents"/>
              <w:bidi w:val="0"/>
              <w:spacing w:before="0" w:after="283"/>
              <w:jc w:val="left"/>
              <w:rPr/>
            </w:pPr>
            <w:r>
              <w:rPr/>
              <w:t> </w:t>
            </w:r>
          </w:p>
        </w:tc>
        <w:tc>
          <w:tcPr>
            <w:tcW w:w="57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Vice President and Chief Administrative Officer </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230"/>
        <w:gridCol w:w="5810"/>
      </w:tblGrid>
      <w:tr>
        <w:trPr/>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age and position information set forth herein is as of April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occupation for at least the last five years, as well as certain other biographical information, for each of our executive officers who is not a director is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Scott W. Anderson.</w:t>
      </w:r>
      <w:r>
        <w:rPr>
          <w:rFonts w:ascii="Times New Roman;Times;Serif" w:hAnsi="Times New Roman;Times;Serif"/>
          <w:b w:val="false"/>
          <w:i w:val="false"/>
          <w:caps w:val="false"/>
          <w:smallCaps w:val="false"/>
          <w:sz w:val="20"/>
        </w:rPr>
        <w:t xml:space="preserve"> Mr. Anderson has served as Executive Vice President and Chief Servicing Officer since 2009, and his career with Ocwen has spanned over twenty years. Prior to his current role, he served as Senior Vice President, Residential Assets since November 2001. Prior to joining Ocwen in November 1993, Mr. Anderson was employed by CIGNA. He holds a Bachelor of Arts in Economics from Bowdoin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Jenna D. Evans</w:t>
      </w:r>
      <w:r>
        <w:rPr>
          <w:rFonts w:ascii="Times New Roman;Times;Serif" w:hAnsi="Times New Roman;Times;Serif"/>
          <w:b w:val="false"/>
          <w:i w:val="false"/>
          <w:caps w:val="false"/>
          <w:smallCaps w:val="false"/>
          <w:sz w:val="20"/>
        </w:rPr>
        <w:t>. Ms. Evans has served as Executive Vice President and Chief Risk and Compliance Officer since October 2022. She also continues to serve as Deputy General Counsel in charge of Regulatory Affairs, a role she has held since October 2016. Prior to joining Ocwen in February 2013, Ms. Evans served as in-house regulatory compliance counsel at GMAC Mortgage, LLC. Earlier in her career, she spent six years in private practice, during which she represented regional banks and other financial services companies. Ms. Evans also serves as the Executive Sponsor of the Ocwen Global Women’s Network, an affinity group aimed at supporting the development of female employees. She holds a Bachelor of Arts degree in Public Relations from Pennsylvania State University, a Juris Doctor from Temple University, and is licensed to practice law in both Pennsylvania and New Jersey.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Francois Grunenwald</w:t>
      </w:r>
      <w:r>
        <w:rPr>
          <w:rFonts w:ascii="Times New Roman;Times;Serif" w:hAnsi="Times New Roman;Times;Serif"/>
          <w:b w:val="false"/>
          <w:i w:val="false"/>
          <w:caps w:val="false"/>
          <w:smallCaps w:val="false"/>
          <w:sz w:val="20"/>
        </w:rPr>
        <w:t>. Mr. Grunenwald has served as our Senior Vice President and Chief Accounting Officer since August 2019. Prior to joining Ocwen, he spent the prior 20 years at PricewaterhouseCoopers, where he served in various accounting and financial advisory roles with a focus on financial services clients, including for the last 12 years as a Partner. Mr. Grunenwald is a Certified Public Accountant and holds a Master’s degree in Finance and Banking from the University of Paris II Panthéon-Assas.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Sean B. O’Neil</w:t>
      </w:r>
      <w:r>
        <w:rPr>
          <w:rFonts w:ascii="Times New Roman;Times;Serif" w:hAnsi="Times New Roman;Times;Serif"/>
          <w:b w:val="false"/>
          <w:i w:val="false"/>
          <w:caps w:val="false"/>
          <w:smallCaps w:val="false"/>
          <w:sz w:val="20"/>
        </w:rPr>
        <w:t>. Mr. O’Neil has served as Executive Vice President and Chief Financial Officer since June 2022. From 2015 until joining Ocwen, Mr. O’Neil served as Chief Financial Officer of Bayview Asset Management, LLC. Prior to 2015, he held a number of senior positions at financial institutions, including serving as Group Financial Officer for Wells Fargo, Eastern Community Bank and as Chief Financial Officer for Wachovia’s Wealth Management Group. Mr. O’Neil began his career as a submarine officer in the U.S. Navy. He holds a Master of Business Administration degree from Harvard University and a Bachelor of Science degree in Mechanical Engineering from Pennsylvania State University.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 Andrew Peach</w:t>
      </w:r>
      <w:r>
        <w:rPr>
          <w:rFonts w:ascii="Times New Roman;Times;Serif" w:hAnsi="Times New Roman;Times;Serif"/>
          <w:b w:val="false"/>
          <w:i w:val="false"/>
          <w:caps w:val="false"/>
          <w:smallCaps w:val="false"/>
          <w:sz w:val="20"/>
        </w:rPr>
        <w:t>. Mr. Peach has served as Executive Vice President, Originations and Chief Lending Officer since April 2024. From March 2021 through April 2024, he served as Senior Vice President, Correspondent Lending and Business-to-Business Lending, including serving as interim head of Originations from January 2024. Prior to joining Ocwen, Mr. Peach served as Senior Vice President, Correspondent Sales at Mr. Cooper Group from August 2020 through March 2021 and as President and Chief Executive Officer at Waterstone Mortgage Corporation from August 2019 through July 2020. Earlier, he held senior positions at Pacific Union Financial, JP Morgan Chase, Aurora Loan Services and Bank of America. He holds a Bachelor of Science degree in Finance and Marketing from the University of South Carolina.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J. Samarias</w:t>
      </w:r>
      <w:r>
        <w:rPr>
          <w:rFonts w:ascii="Times New Roman;Times;Serif" w:hAnsi="Times New Roman;Times;Serif"/>
          <w:b w:val="false"/>
          <w:i w:val="false"/>
          <w:caps w:val="false"/>
          <w:smallCaps w:val="false"/>
          <w:sz w:val="20"/>
        </w:rPr>
        <w:t>. Mr. Samarias has served as Executive Vice President and Chief Legal Officer since April 2019. He previously served as Senior Vice President, Deputy General Counsel of Ocwen since 2013. He also serves as the Company’s Chief Ethics Officer, and was appointed Company Secretary in April 2020. Prior to joining Ocwen,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Aaron D. Wade</w:t>
      </w:r>
      <w:r>
        <w:rPr>
          <w:rFonts w:ascii="Times New Roman;Times;Serif" w:hAnsi="Times New Roman;Times;Serif"/>
          <w:b w:val="false"/>
          <w:i w:val="false"/>
          <w:caps w:val="false"/>
          <w:smallCaps w:val="false"/>
          <w:sz w:val="20"/>
        </w:rPr>
        <w:t>. Mr. Wade has served as Executive Vice President, Chief Investment Officer since December 2022. Previously he served as Ocwen’s Executive Vice President, Capital Markets since April 2022. From October 2018 until joining Ocwen, Mr. Wade served as Managing Director for various Blackstone portfolio companies, where he was responsible for business development, due diligence, transaction management and servicer oversight for the residential division of Blackstone’s real estate debt business. From 2009 through 2018, he served as Executive Vice President of Mortgage and SBA Lending and Capital Markets for OneWest Bank. Earlier, he managed the capital markets function for IndyMac Bank and LaSalle Bank. Mr. Wade holds a Bachelor’s degree in Business Economics from University of California, Los Angeles.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Dennis Zeleny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Mr. Zeleny has served as Executive Vice President and Chief Administrative Officer since August 2019. In that capacity, he oversees Ocwen’s human resources, communications, information technologies, international operations, facilities, sourcing, enterprise project management office and diversity and inclusion programs. From January through August 2019, Mr. Zeleny served Ocwen as a human resources consultant. From 2012 through 2019, Mr. Zeleny provided executive Human Capital consulting services including as co-CEO of Center on Executive Compensation.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Bachelor of Science from Cornell University and a Master of Science from the Graduate School of Business at Columbia University.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RELATED SHAREHOLDER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our common stock as of April 12, 2024 by:</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director nominees;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named executive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current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Ocwen’s directors, director nominees and named executive officers may be reached through Ocwen Corporate Headquarters at 1661 Worthington Road, Suite 100, West Palm Beach, Florida 33409.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also sets forth information with respect to each person known by Ocwen to beneficially own more than five percent of the outstanding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is based upon information supplied to us by directors and executive officers and filings under the Securities Exchange Act of 1934, as amended, except where noted. We have based our calculation of the percentage of beneficial ownership on 7,809,618 shares of our common stock outstanding as of April 12, 2024.</w:t>
      </w:r>
    </w:p>
    <w:p>
      <w:pPr>
        <w:pStyle w:val="TextBody"/>
        <w:bidi w:val="0"/>
        <w:spacing w:before="0" w:after="0"/>
        <w:ind w:left="0" w:right="0" w:hanging="0"/>
        <w:jc w:val="both"/>
        <w:rPr>
          <w:caps w:val="false"/>
          <w:smallCaps w:val="false"/>
        </w:rPr>
      </w:pPr>
      <w:r>
        <w:rPr>
          <w:caps w:val="false"/>
          <w:smallCaps w:val="false"/>
        </w:rPr>
        <w:t> </w:t>
      </w:r>
    </w:p>
    <w:tbl>
      <w:tblPr>
        <w:tblW w:w="9723" w:type="dxa"/>
        <w:jc w:val="left"/>
        <w:tblInd w:w="0" w:type="dxa"/>
        <w:tblLayout w:type="fixed"/>
        <w:tblCellMar>
          <w:top w:w="0" w:type="dxa"/>
          <w:left w:w="0" w:type="dxa"/>
          <w:bottom w:w="28" w:type="dxa"/>
          <w:right w:w="0" w:type="dxa"/>
        </w:tblCellMar>
      </w:tblPr>
      <w:tblGrid>
        <w:gridCol w:w="5855"/>
        <w:gridCol w:w="60"/>
        <w:gridCol w:w="125"/>
        <w:gridCol w:w="1679"/>
        <w:gridCol w:w="60"/>
        <w:gridCol w:w="60"/>
        <w:gridCol w:w="260"/>
        <w:gridCol w:w="1394"/>
        <w:gridCol w:w="230"/>
      </w:tblGrid>
      <w:tr>
        <w:trPr/>
        <w:tc>
          <w:tcPr>
            <w:tcW w:w="9493" w:type="dxa"/>
            <w:gridSpan w:val="8"/>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 Owned</w:t>
            </w:r>
            <w:r>
              <w:rPr>
                <w:rFonts w:ascii="Times New Roman;Times;Serif" w:hAnsi="Times New Roman;Times;Serif"/>
                <w:b/>
                <w:position w:val="7"/>
                <w:sz w:val="16"/>
                <w:sz w:val="20"/>
              </w:rPr>
              <w:t>(1)</w:t>
            </w:r>
          </w:p>
        </w:tc>
        <w:tc>
          <w:tcPr>
            <w:tcW w:w="230" w:type="dxa"/>
            <w:tcBorders/>
            <w:tcMar>
              <w:bottom w:w="0" w:type="dxa"/>
            </w:tcMar>
            <w:vAlign w:val="center"/>
          </w:tcPr>
          <w:p>
            <w:pPr>
              <w:pStyle w:val="TableContents"/>
              <w:bidi w:val="0"/>
              <w:spacing w:before="0" w:after="283"/>
              <w:jc w:val="left"/>
              <w:rPr/>
            </w:pPr>
            <w:r>
              <w:rPr/>
              <w:t> </w:t>
            </w:r>
          </w:p>
        </w:tc>
      </w:tr>
      <w:tr>
        <w:trPr/>
        <w:tc>
          <w:tcPr>
            <w:tcW w:w="5855" w:type="dxa"/>
            <w:tcBorders>
              <w:bottom w:val="single" w:sz="12" w:space="0" w:color="000000"/>
            </w:tcBorders>
            <w:vAlign w:val="center"/>
          </w:tcPr>
          <w:p>
            <w:pPr>
              <w:pStyle w:val="TableContents"/>
              <w:bidi w:val="0"/>
              <w:spacing w:before="0" w:after="283"/>
              <w:jc w:val="left"/>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Beneficial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12" w:space="0" w:color="000000"/>
            </w:tcBorders>
            <w:vAlign w:val="center"/>
          </w:tcPr>
          <w:p>
            <w:pPr>
              <w:pStyle w:val="TableContents"/>
              <w:bidi w:val="0"/>
              <w:spacing w:before="0" w:after="283"/>
              <w:jc w:val="center"/>
              <w:rPr>
                <w:b/>
              </w:rPr>
            </w:pPr>
            <w:r>
              <w:rPr>
                <w:b/>
              </w:rPr>
              <w:t>Percent of Class</w:t>
            </w:r>
          </w:p>
        </w:tc>
        <w:tc>
          <w:tcPr>
            <w:tcW w:w="230" w:type="dxa"/>
            <w:tcBorders/>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Holdings, LLC</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858,105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9.9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Focus Capital Management, LLC</w:t>
            </w:r>
            <w:r>
              <w:rPr>
                <w:rFonts w:ascii="Times New Roman;Times;Serif" w:hAnsi="Times New Roman;Times;Serif"/>
                <w:b w:val="false"/>
                <w:i w:val="false"/>
                <w:caps w:val="false"/>
                <w:smallCaps w:val="false"/>
                <w:position w:val="7"/>
                <w:sz w:val="16"/>
                <w:sz w:val="20"/>
              </w:rPr>
              <w:t>(3)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 Calle Del Parque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A&amp;M Tower, 8th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Juan, PR 00912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652,088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8.3</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Amster</w:t>
            </w:r>
            <w:r>
              <w:rPr>
                <w:rFonts w:ascii="Times New Roman;Times;Serif" w:hAnsi="Times New Roman;Times;Serif"/>
                <w:b w:val="false"/>
                <w:i w:val="false"/>
                <w:caps w:val="false"/>
                <w:smallCaps w:val="false"/>
                <w:position w:val="7"/>
                <w:sz w:val="16"/>
                <w:sz w:val="20"/>
              </w:rPr>
              <w:t>(4)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7681 Olympia Drive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616,706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7.9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 Park Road Management Company, LP</w:t>
            </w:r>
            <w:r>
              <w:rPr>
                <w:rFonts w:ascii="Times New Roman;Times;Serif" w:hAnsi="Times New Roman;Times;Serif"/>
                <w:b w:val="false"/>
                <w:i w:val="false"/>
                <w:caps w:val="false"/>
                <w:smallCaps w:val="false"/>
                <w:position w:val="7"/>
                <w:sz w:val="16"/>
                <w:sz w:val="20"/>
              </w:rPr>
              <w:t>(5)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 Bangtail Way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Steamboat Springs, CO 80487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577,921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7.4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BlackRock Inc.</w:t>
            </w:r>
            <w:r>
              <w:rPr>
                <w:rFonts w:ascii="Times New Roman;Times;Serif" w:hAnsi="Times New Roman;Times;Serif"/>
                <w:b w:val="false"/>
                <w:i w:val="false"/>
                <w:caps w:val="false"/>
                <w:smallCaps w:val="false"/>
                <w:position w:val="7"/>
                <w:sz w:val="16"/>
                <w:sz w:val="20"/>
              </w:rPr>
              <w:t>(6)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Hudson Yards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482,146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6.2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Roberto Marco Sella</w:t>
            </w:r>
            <w:r>
              <w:rPr>
                <w:rFonts w:ascii="Times New Roman;Times;Serif" w:hAnsi="Times New Roman;Times;Serif"/>
                <w:b w:val="false"/>
                <w:i w:val="false"/>
                <w:caps w:val="false"/>
                <w:smallCaps w:val="false"/>
                <w:position w:val="7"/>
                <w:sz w:val="16"/>
                <w:sz w:val="20"/>
              </w:rPr>
              <w:t>(7)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 Market Street, Suite 3022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454,767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5.8</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5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bottom w:val="single" w:sz="12" w:space="0" w:color="000000"/>
            </w:tcBorders>
            <w:shd w:fill="FFFFFF" w:val="clear"/>
            <w:vAlign w:val="center"/>
          </w:tcPr>
          <w:p>
            <w:pPr>
              <w:pStyle w:val="TableContents"/>
              <w:bidi w:val="0"/>
              <w:spacing w:before="0" w:after="283"/>
              <w:jc w:val="left"/>
              <w:rPr>
                <w:b/>
              </w:rPr>
            </w:pPr>
            <w:r>
              <w:rPr>
                <w:b/>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W. Anderson</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29,598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Alan J. Bowers</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31,385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Jenne K. Britell</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29,222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Jacques J. Busquet</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40,218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Phyllis R. Caldwell</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34,007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T. Henley</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20,390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Claudia J. Merkle</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642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Glen A. Messina</w:t>
            </w:r>
            <w:r>
              <w:rPr>
                <w:rFonts w:ascii="Times New Roman;Times;Serif" w:hAnsi="Times New Roman;Times;Serif"/>
                <w:position w:val="7"/>
                <w:sz w:val="16"/>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299,277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3.8</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Sean B. O’Neil</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12,765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DeForest B. Soaries, Jr.</w:t>
            </w:r>
            <w:r>
              <w:rPr>
                <w:rFonts w:ascii="Times New Roman;Times;Serif" w:hAnsi="Times New Roman;Times;Serif"/>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31,626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Stein</w:t>
            </w:r>
            <w:r>
              <w:rPr>
                <w:rFonts w:ascii="Times New Roman;Times;Serif" w:hAnsi="Times New Roman;Times;Serif"/>
                <w:position w:val="7"/>
                <w:sz w:val="16"/>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29,222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Dennis Zeleny</w:t>
            </w:r>
            <w:r>
              <w:rPr>
                <w:rFonts w:ascii="Times New Roman;Times;Serif" w:hAnsi="Times New Roman;Times;Serif"/>
                <w:position w:val="7"/>
                <w:sz w:val="16"/>
                <w:sz w:val="20"/>
              </w:rPr>
              <w:t>(19)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13,646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Current Directors and Executive Officers as a Group (16 persons)</w:t>
            </w:r>
            <w:r>
              <w:rPr>
                <w:rFonts w:ascii="Times New Roman;Times;Serif" w:hAnsi="Times New Roman;Times;Serif"/>
                <w:position w:val="7"/>
                <w:sz w:val="16"/>
                <w:sz w:val="20"/>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679" w:type="dxa"/>
            <w:tcBorders/>
            <w:shd w:fill="CCEEFF" w:val="clear"/>
            <w:tcMar>
              <w:bottom w:w="0" w:type="dxa"/>
            </w:tcMar>
            <w:vAlign w:val="center"/>
          </w:tcPr>
          <w:p>
            <w:pPr>
              <w:pStyle w:val="TableContents"/>
              <w:bidi w:val="0"/>
              <w:spacing w:before="0" w:after="283"/>
              <w:jc w:val="right"/>
              <w:rPr/>
            </w:pPr>
            <w:r>
              <w:rPr/>
              <w:t>571,820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7.6</w:t>
            </w:r>
          </w:p>
        </w:tc>
        <w:tc>
          <w:tcPr>
            <w:tcW w:w="230" w:type="dxa"/>
            <w:tcBorders/>
            <w:shd w:fill="CCEEFF" w:val="clear"/>
            <w:tcMar>
              <w:bottom w:w="0" w:type="dxa"/>
            </w:tcMar>
            <w:vAlign w:val="center"/>
          </w:tcPr>
          <w:p>
            <w:pPr>
              <w:pStyle w:val="TableContents"/>
              <w:bidi w:val="0"/>
              <w:spacing w:before="0" w:after="283"/>
              <w:jc w:val="left"/>
              <w:rPr/>
            </w:pPr>
            <w:r>
              <w:rPr/>
              <w:t>%</w:t>
            </w:r>
          </w:p>
        </w:tc>
      </w:tr>
    </w:tbl>
    <w:tbl>
      <w:tblPr>
        <w:tblW w:w="1278" w:type="dxa"/>
        <w:jc w:val="left"/>
        <w:tblInd w:w="0" w:type="dxa"/>
        <w:tblLayout w:type="fixed"/>
        <w:tblCellMar>
          <w:top w:w="0" w:type="dxa"/>
          <w:left w:w="0" w:type="dxa"/>
          <w:bottom w:w="0" w:type="dxa"/>
          <w:right w:w="0" w:type="dxa"/>
        </w:tblCellMar>
      </w:tblPr>
      <w:tblGrid>
        <w:gridCol w:w="38"/>
        <w:gridCol w:w="125"/>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table, an individual is considered the beneficial owner of shares of common stock if he or she has the right to acquire such common stock within 60 days of April 12, 2024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tc>
      </w:tr>
    </w:tbl>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Holdings, LLC (Oaktree): On March 4, 2021, the Company issued 1,184,768 warrants to affiliates of Oaktree, and on May 3, 2021, the Company issued an additional 261,248 warrants to affiliates of Oaktree, pursuant to agreements between the Company and affiliates of Oaktree which provide that the warrants cannot be exercised to the extent that affiliates of Oaktree would beneficially own in excess of 9.9% of the Company’s outstanding stock following such issuance (the Ownership Cap) without 61 days advance notice. Oaktree’s beneficial ownership is reported in the table above as the Ownership Cap as of April 12, 2024, which is based on an aggregate of 8,667,723 shares of the Company, consisting of (i) 7,809,618 of the Company’s shares outstanding as of April 12, 2024 and (ii) warrants to purchase 858,105 of the Company’s shares. Oaktree Holdings, LLC jointly filed a Schedule 13G/A with the Securities and Exchange Commission on February 14, 2024, reporting securities deemed to be beneficially owned as of December 31, 2023, representing the number of shares it would own under the Ownership Cap based on the number of shares of common stock of the Company outstanding as of December 31, 2023, with the following Reporting Persons: Opps OCW Holdings, LLC, a Delaware limited liability company (Opps OCW Holdings), in its capacity as the direct owner of an aggregate of shares and warrants exercisable to the extent of the Ownership Cap; ROF8 OCW MAV PT, LLC, a Delaware limited partnership (ROF8), in its capacity as the direct owner of an aggregate of shares and warrants exercisable to the extent of the Ownership Cap; Oaktree Fund GP, LLC, a Delaware limited liability company (Fund GP), in its capacity as the manager of Opps OCW Holdings and ROF8; Oaktree Fund GP I, L.P., a Delaware limited partnership (GP I), in its capacity as the managing member of Fund GP;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Group, LLC, a Delaware limited liability company (OCG), in its capacity as the indirect manager of Opps OCW Holdings and ROF8; Oaktree Capital Group Holdings GP, LLC, a Delaware limited liability company (OCGH GP), in its capacity as the indirect owner of the class B units of OCG; Brookfield Corporation., an Ontario corporation (BAM), in its capacity as the indirect owner of the class A units of OCG; and BAM Partners Trust, a trust established under the laws of Ontario (BAM Partnership), in its capacity as the sole owner of Class B Limited Voting Shares of BAM. The principal business address of each of the Reporting Persons other than BAM, BAM Partnership and BAM Partners is 333 S. Grand Avenue, 28th Floor, Los Angeles, CA 90071. The principal business address of BAM, BAM Partnership and BAM Partners is Brookfield Place, Suite 300, 181 Bay Street, P.O. Box 762, Toronto, Ontario, Canada M5J 2T3.</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Focus Capital Management, LLC: Based solely on information contained in a Schedule 13G/A filed with the Securities and Exchange Commission on February 14, 2024 reporting securities beneficially owned as of December 31, 2023, by Long Focus Capital Management, LLC (LFCM LLC), a Delaware single member limited liability company; Long Focus Capital Master, LTD. (LFCM LTD), a Cayman Islands limited company; Condagua, LLC, a Delaware single member limited liability company; John B. Helmers, a United States citizen; and A. Glenn Helmers, a United States citizen, each of LFCM LLC and John B. Helmers reports shared voting and dispositive power of 652,088 shares, LFCM LTD reports shared voting and dispositive power of 309,964 shares, and each of Condagua, LLC and A. Glenn Helmers reports shared voting and dispositive power of 342,124 shares. LFCM LLC, John B. Helmers and A. Glenn Helmers directly own no common stock. Pursuant to an investment management agreement, LFCM LLC maintains investment and voting power with respect to the securities held by LFCM LTD. John B. Helmers controls LFCM, LLC, and has investment and voting power with respect to Condagua, LLC. A. Glenn Helmers controls Condagua,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Amster: Based solely on information contained in a Schedule 13D/A filed with the Securities and Exchange Commission on January 25, 2023 reporting securities beneficially owned as of January 17, 2023, Mr. Amster reports sole voting and dispositive power of 282,920 shares and shared voting and dispositive power of 333,786 shares, Pleasant Lake Skoien Investments LLC reports sole voting and dispositive power of 8,818 shares and shared voting and dispositive power of 607,888 shares; Pleasant Lake Apts. Limited Partnership reports sole voting and dispositive power of 31,700 shares and shared voting and dispositive power of 585,006 shares; Howard Amster 2019 Charitable Remainder Unitrust #1 reports sole voting and dispositive power of 1,692 shares and shared voting and dispositive power of 615,014 shares; Howard Amster 2019 Charitable Remainder Unitrust #2 reports sole voting and dispositive power of 439 shares and shared voting and dispositive power of 616,267 shares; Howard Amster 2019 Charitable Remainder Unitrust #5 reports sole voting and dispositive power of 5,635 shares and shared voting and dispositive power of 611,071 shares; Amster Limited Partnership reports sole voting and dispositive power of 13,650 shares and shared voting and dispositive power of 603,056 shares; Laughlin Holdings LLC reports sole voting and dispositive power of 38,377 shares and shared voting and dispositive power of 578,329 shares; Ramat Securities Ltd. reports sole voting and dispositive power of 199,007 shares and shared voting and dispositive power of 417,699 shares; Pleasant Lakes Apartments Corp. reports sole voting and dispositive power of 157 shares and shared voting and dispositive power of 616,549 shares; Howard Amster 2019 Charitable Remainder Unitrust #3 reports sole voting and dispositive power of 34,262 shares and shared voting and dispositive power of 582,444 shares; and Howard Amster Charitable Remainder Unitrust U/A DTD 04/22/1998 reports sole voting and dispositive power of 49 shares and shared voting and dispositive power of 616,657 shares.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 Park Road Management Company, LP: Based solely on information contained in a Schedule 13G/A filed with the Securities and Exchange Commission on February 14, 2024, reporting securities deemed to be beneficially owned as of December 31, 2023, by Deer Park Road Management Company, LP (Deer Park); Deer Park Road Management GP, LLC (DPRM); Deer Park Road Corporation (DPRC); Michael Craig-Scheckman; AgateCreek LLC (AgateCreek); and Scott Edward Burg, each of which reports shared voting and dispositive power of 577,921 shares held for the account of STS Master Fund, Ltd.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majority owner of DPRC. Mr. Burg is the Chief Investment Officer of Deer Park and the sole member of AgateCreek.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(6)</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BlackRock, Inc.: Based solely on information contained in a Schedule 13G filed with the Securities and Exchange Commission on February 6, 2024, reporting securities deemed to be beneficially owned as of December 31, 2023, by BlackRock, Inc. Pursuant to the Schedule 13G, BlackRock, Inc. has sole voting power of 473,456 shares and sole dispositive power of 482,146 shares and is reporting beneficial ownership of the shares as the parent holding company or control person of Aperio Group, LLC, BlackRock Advisors, LLC, BlackRock Fund Advisors, BlackRock Institutional Trust Company, National Association, BlackRock Financial Management, Inc. and BlackRock Investment Management, LLC.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Sella: Based solely on information contained in a Schedule 13G/A filed with the Securities and Exchange Commission on February 6, 2020 reporting securities beneficially owned as of December 31, 2019, Mr. Sella reports sole voting and dispositive power with respect to 432,028 shares, consisting of 409,289 shares held of record by Roberto Marco Sella and 22,739 shares held of record by LL Charitable Foundation, of which Mr. Sella serves as President. Mr. Sella reports shared voting and dispositive power with respect to 22,739 shares held of record by the Roberto Sella 2012 Family Trust (the Trust). Francine Sella, Mr. Sella’s spouse, and Mr. Sella’s minor children are beneficiaries of the Trust. Francine Sella is a co-trustee of the Trust and in such capacity, Francine Sella has voting power over and power to dispose of the 22,739 shares of Common Stock held by the Trust. Mr. Sella is not a beneficiary of the Trust.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(8)</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Anderson serves as Executive Vice President and Chief Servicing Officer. Includes shares underlying 3,685 options which are presently exercisable and 1,125 options which could become exercisable within 60 days of April 11, 2023.</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(9)</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Bowers serves as a director. Includes shares underlying 4,424 RSUs which will vest May 23, 2024 subject to certain conditions relating to the individual’s service as a director.</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(10)</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Britell serves as a director. Includes shares underlying 4,424 RSUs which will vest May 23, 2024 subject to certain conditions relating to the individual’s service as a director. Also includes 3,000 shares held by trust.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(11)</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Busquet serves as a director. Includes shares underlying 4,424 RSUs which will vest May 23, 2024 subject to certain conditions relating to the individual’s service as a director. Also includes 1,000 shares held jointly with spouse.</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(12)</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Caldwell serves as a director. Does not include shares underlying 2,383 vested RSUs and 4,424 RSUs which will vest May 23, 2024 subject to certain conditions, in each case which are not settleable until the six-month anniversary of the director’s termination of service. Ms. Caldwell is not standing for re-election.</w:t>
            </w:r>
          </w:p>
        </w:tc>
      </w:tr>
    </w:tbl>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(13)</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Henley served as Executive Vice President and Chief Growth Officer through December 31, 2023. All shares held jointly with spouse.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(14)</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Merkle serves as a director. Consists of shares underlying 642 RSUs which will vest May 23, 2024 subject to certain conditions relating to the individual’s service as a director. Ms. Merkle joined the Board April 1,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(15)</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Messina serves as Chair of the Board, President, and Chief Executive Officer. Includes shares underlying 17,799 options which are presently exercisable. Also includes 23,554 shares held jointly with spouse.</w:t>
            </w:r>
          </w:p>
        </w:tc>
      </w:tr>
    </w:tbl>
    <w:p>
      <w:pPr>
        <w:pStyle w:val="TextBody"/>
        <w:bidi w:val="0"/>
        <w:spacing w:before="0" w:after="0"/>
        <w:ind w:left="0" w:right="0" w:hanging="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35"/>
        <w:gridCol w:w="603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(16)</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O’Neil serves as Executive Vice President and Chief Financial Officer.</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(17)</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Soaries serves as a director. Includes shares underlying 4,424 RSUs which will vest May 23, 2024 subject to certain conditions relating to the individual’s service as a director. Does not include 4,981 shares underlying vested RSUs which are not settleable until the six-month anniversary of the director’s termination of service.</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(18)</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Stein serves as a director. Includes shares underlying 4,424 RSUs which will vest May 23, 2024 subject to certain conditions relating to the individual’s service as a director. Also includes 24,798 shares held by trust.</w:t>
            </w:r>
          </w:p>
        </w:tc>
      </w:tr>
    </w:tbl>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335"/>
        <w:gridCol w:w="651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(19)</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Zeleny serves as Executive Vice President and Chief Administrative Officer.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(20)</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19,484 shares and shares underlying 728 stock options which are presently exercisable held by Jenna D. Evans, Francois Grunenwald, J. Andrew Peach, Joseph J. Samarias, and Aaron Wade who are current executive officers but not Named Executive Officers. Does not include shares held by Mr. Henley.</w:t>
            </w:r>
          </w:p>
        </w:tc>
      </w:tr>
    </w:tbl>
    <w:p>
      <w:pPr>
        <w:pStyle w:val="TextBody"/>
        <w:bidi w:val="0"/>
        <w:spacing w:before="0" w:after="0"/>
        <w:ind w:left="36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97"/>
        <w:gridCol w:w="60"/>
        <w:gridCol w:w="120"/>
        <w:gridCol w:w="1622"/>
        <w:gridCol w:w="60"/>
        <w:gridCol w:w="60"/>
        <w:gridCol w:w="148"/>
        <w:gridCol w:w="1399"/>
        <w:gridCol w:w="60"/>
        <w:gridCol w:w="60"/>
        <w:gridCol w:w="128"/>
        <w:gridCol w:w="1714"/>
        <w:gridCol w:w="77"/>
      </w:tblGrid>
      <w:tr>
        <w:trPr/>
        <w:tc>
          <w:tcPr>
            <w:tcW w:w="4697" w:type="dxa"/>
            <w:tcBorders>
              <w:bottom w:val="single" w:sz="12" w:space="0" w:color="000000"/>
            </w:tcBorders>
            <w:vAlign w:val="center"/>
          </w:tcPr>
          <w:p>
            <w:pPr>
              <w:pStyle w:val="TableContents"/>
              <w:bidi w:val="0"/>
              <w:spacing w:before="0" w:after="283"/>
              <w:jc w:val="both"/>
              <w:rPr>
                <w:b/>
              </w:rPr>
            </w:pPr>
            <w:r>
              <w:rPr>
                <w:b/>
              </w:rPr>
              <w:t>Plan Category</w:t>
            </w:r>
          </w:p>
        </w:tc>
        <w:tc>
          <w:tcPr>
            <w:tcW w:w="60" w:type="dxa"/>
            <w:tcBorders/>
            <w:tcMar>
              <w:bottom w:w="0" w:type="dxa"/>
            </w:tcMar>
            <w:vAlign w:val="center"/>
          </w:tcPr>
          <w:p>
            <w:pPr>
              <w:pStyle w:val="TableContents"/>
              <w:bidi w:val="0"/>
              <w:spacing w:before="0" w:after="283"/>
              <w:jc w:val="center"/>
              <w:rPr/>
            </w:pPr>
            <w:r>
              <w:rPr/>
              <w:t> </w:t>
            </w:r>
          </w:p>
        </w:tc>
        <w:tc>
          <w:tcPr>
            <w:tcW w:w="174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to</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 issued upon 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outstanding 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47"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4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available for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issuance under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plans</w:t>
            </w:r>
            <w:r>
              <w:rPr>
                <w:rFonts w:ascii="Times New Roman;Times;Serif" w:hAnsi="Times New Roman;Times;Serif"/>
                <w:b w:val="false"/>
                <w:i w:val="false"/>
                <w:caps w:val="false"/>
                <w:smallCaps w:val="false"/>
                <w:position w:val="7"/>
                <w:sz w:val="16"/>
                <w:sz w:val="20"/>
              </w:rPr>
              <w:t>(3)</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center"/>
              <w:rPr/>
            </w:pPr>
            <w:r>
              <w:rPr/>
              <w:t> </w:t>
            </w:r>
          </w:p>
        </w:tc>
      </w:tr>
      <w:tr>
        <w:trPr/>
        <w:tc>
          <w:tcPr>
            <w:tcW w:w="4697"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22" w:type="dxa"/>
            <w:tcBorders/>
            <w:shd w:fill="CCEEFF" w:val="clear"/>
            <w:tcMar>
              <w:bottom w:w="0" w:type="dxa"/>
            </w:tcMar>
            <w:vAlign w:val="center"/>
          </w:tcPr>
          <w:p>
            <w:pPr>
              <w:pStyle w:val="TableContents"/>
              <w:bidi w:val="0"/>
              <w:spacing w:before="0" w:after="283"/>
              <w:jc w:val="right"/>
              <w:rPr/>
            </w:pPr>
            <w:r>
              <w:rPr/>
              <w:t>791,595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99" w:type="dxa"/>
            <w:tcBorders/>
            <w:shd w:fill="CCEEFF" w:val="clear"/>
            <w:tcMar>
              <w:bottom w:w="0" w:type="dxa"/>
            </w:tcMar>
            <w:vAlign w:val="center"/>
          </w:tcPr>
          <w:p>
            <w:pPr>
              <w:pStyle w:val="TableContents"/>
              <w:bidi w:val="0"/>
              <w:spacing w:before="0" w:after="283"/>
              <w:jc w:val="right"/>
              <w:rPr/>
            </w:pPr>
            <w:r>
              <w:rPr/>
              <w:t>94.46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pPr>
            <w:r>
              <w:rPr/>
              <w:t>334,763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697"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39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697"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22" w:type="dxa"/>
            <w:tcBorders/>
            <w:shd w:fill="CCEEFF" w:val="clear"/>
            <w:tcMar>
              <w:bottom w:w="0" w:type="dxa"/>
            </w:tcMar>
            <w:vAlign w:val="center"/>
          </w:tcPr>
          <w:p>
            <w:pPr>
              <w:pStyle w:val="TableContents"/>
              <w:bidi w:val="0"/>
              <w:spacing w:before="0" w:after="283"/>
              <w:jc w:val="right"/>
              <w:rPr/>
            </w:pPr>
            <w:r>
              <w:rPr/>
              <w:t>791,595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99" w:type="dxa"/>
            <w:tcBorders/>
            <w:shd w:fill="CCEEFF" w:val="clear"/>
            <w:tcMar>
              <w:bottom w:w="0" w:type="dxa"/>
            </w:tcMar>
            <w:vAlign w:val="center"/>
          </w:tcPr>
          <w:p>
            <w:pPr>
              <w:pStyle w:val="TableContents"/>
              <w:bidi w:val="0"/>
              <w:spacing w:before="0" w:after="283"/>
              <w:jc w:val="right"/>
              <w:rPr/>
            </w:pPr>
            <w:r>
              <w:rPr/>
              <w:t>94.46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pPr>
            <w:r>
              <w:rPr/>
              <w:t>334,763</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34,657 shares subject to outstanding stock option awards and 756,938 shares subject to outstanding restricted stock unit awards (including outstanding performance-based restricted stock unit awards, which are presented at their target level of performance).</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Calculated exclusive of outstanding restricted stock unit awards, which do not have an exercise price. </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shares available for new award grants under the 2021 Plan as of December 31, 2023. Each share issued under the 2021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2021 Plan, any shares subject to (1) restricted stock and restricted stock unit awards or (2) stock options granted under our 2007 Equity Incentive Plan and 2017 Performance Incentive Plan that are presently outstanding which are subsequently forfeited, terminated, canceled, or otherwise reacquired by the Company will increase the pool of shares available for new awards under the 2021 Plan at the rate of 1.2 shares or 1.0 shares, respectively. Long-term incentive awards issued in the form of cash-settled restricted stock units do not reduce available shares under the 2021 Plan. This table does not reflect the 350,000 additional shares that will be available for issuance under the 2021 Plan if shareholders approve the 2021 Plan Amendment.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FROM COMPENSATION COMMITTEE CHAIR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following Compensation Discussion and Analysis, we have provided the context and rationale that the Compensation and Human Capital Committee (Compensation Committee) used in crafting the framework for compensation analysis and determining the compensation for our named executive officers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mortgage environment in 2023 continued to be challenging due to elevated and volatile interest rates, turmoil in the financial sector and an uncertain economic climate, which required the management team and our entire employee population to respond to difficult market conditions with speed and agility. They have taken decisive action to further enhance our cost structure versus prior years while improving customer satisfaction and maintaining the highest standards of quality and service excellence. At the same time, they continue to drive capital-light growth in our servicing portfolio, expand capital partner relationships and create a strong foundation to accelerate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a business model and demonstrating the operational excellence and capabilities which will allow Ocwen to achieve GAAP profitability on a sustained basis regardless of mortgage cycle is the most important priority we hear from shareholders and potential investors. Our business and operational plan are designed each year to drive this strategy of long-term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in 2023, we set out to execute against our key objectives, each with appropriate metrics and targets as captured in our Corporate AIP scorecard:</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170"/>
        <w:gridCol w:w="9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Prudent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higher margin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cost leadership 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high-quality operational execution;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 engaged and productive workforce while continuing to make progress on diversity and inclusion;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customer and client satisfaction.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back, the strength of our balanced and diversified business model and management’s execution of our key objectives enabled us to deliver sequential quarter increases to adjusted pre-tax income in each quarter of 2023, excluding our asset recovery transaction in the second quarter. In 2023, we grew our average servicing portfolio to $292 billion, increased the number of MSR capital partners to five, doubled the UPB of MSR sales to our capital partners, built a robust subservicing opportunity pipeline, and increased the mix of higher-margin products to 39% of total originations volume. We continued to improve our servicing cost structure and built a significant cost advantage with a cost per loan favorable to large non-banks over twice our portfolio size, while delivering improved borrower and client satisfaction, all through investments in technology, process enhancements, and our global operating capability. Again, we were honored with Fannie Mae’s 2023 STAR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award for servicing excellence and achieved Housing and Urban Development (HUD) Tier 1 servicer ranking. We retired $15 million of corporate debt, consistent with our objective of de-levering the Company, and our total liquidity as of year-end increased 10.5% from 2022 to $242 billion, preserving capital for growth opportunities at high margin returns, as well as for additional opportunistic corporate debt retirement.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at what is expected to be a continued high interest rate environment, we have a solid foundation to create value through our broad originations capabilities and best-in-class servicing platform, which we believe positions us to deliver strong results in 2024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invite you to read the following Compensation Discussion and Analysis for further details on our decisions relating to 2023 compensation, and we look forward to further shareholder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Jacques Busquet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Compensation and Human Capital Committee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and the application of our executive compensation programs support organizational alignment around the achievement of Ocwen’s business plan and our performance against that plan. 2023 continued to be challenging year in which interest rates remained at historically high levels that significantly impacted mortgage originations. Our strong and scalable servicing platform delivered sustained income, including through our superior special servicing capabilities, while improving cost structure and customer satisfaction levels, delivering best-in-class operational performance, and maintaining robust risk and compliance metrics. Originations performed strongly despite continued market headwinds due to a focus on higher margin products and continued reduction in costs per loan despite lower volumes in both the consumer direct and reverse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business highlights that the management team delivered against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GAAP net loss of $64 million driven by $89 million reduction in unrealized MSR value change due to rates and assumptions, net of hedge, delivered $49 million full year adjusted pre-tax income and 10.1% adjusted pre-tax return on equity.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Grew FY 2023 average servicing UPB to $292 billion, an increase of over $10 billion from FY 2022. Built a strong and diverse network of MSR capital partner relationships from three to five to drive our capital light growth strategy and doubled the UPB of MSR sales to capital partners compared to 2022.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mix of higher-margin products, including consumer direct, reverse and correspondent GNMA, best efforts and non-delegated, from 21% in 2022 to 39% in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Delivered best-in-class operating performance within our servicing segment, earning Fannie Mae’s STAR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recognition and HUD Tier 1 servicer ranking, both for the third consecutive year, and was named the Affiliate Company of the Year by the National Association of Mortgage Bankers.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Maintained a highly competitive cost structure through technology enhancements, end-to-end process automation, leveraging our significant offshore workforce and a continuous focus on cost improvement, reducing operating expenses over $120 million, or 23%, from 2022, and consistently delivered lower delinquency levels than the industry average.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total liquidity, comprised of cash and borrowing capacity available under our debt facilities, by $23 million, or 10%, versus year-end 2022, even with $15 million senior corporate debt reduction, maintaining our agility to address market opportunities and risks, and retire additional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our use of non-GAAP financial measures such as adjusted pre-tax income and their reconciliation to the most comparable GAAP metric, please see the press release included as an exhibit to our Current Report on Form 8-K filed with the Securities and Exchange Commission on February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designed the 2023 executive compensation program to align with the organization’s efforts to achieve key strategic and operational objectives and to adhere to evolving compensation and governance best practices, including ensuring a rigorous link between compensation and performance and shareholder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features of our 2023 executive compensation program relating to pay decisions, program design and shareholder engagement are highlighted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Aligned the structure of our annual incentive plan (AIP) with key strategic objectives, including profitability, growth and operational execution, and continued to incorporate diversity, equity and inclusion (DE&amp;I) metrics to reinforce our commitment to effective human capital management practices.</w:t>
            </w:r>
          </w:p>
        </w:tc>
      </w:tr>
    </w:tbl>
    <w:p>
      <w:pPr>
        <w:pStyle w:val="TextBody"/>
        <w:bidi w:val="0"/>
        <w:spacing w:before="0" w:after="0"/>
        <w:ind w:left="765"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a service excellence modifier to the AIP to adjust results based on how we deliver on our commitments to our customers and clients, further promoting one of our core values.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Linked long-term equity awards to total shareholder return relative to a performance peer group to align with shareholder expectations, including special performance equity awards provided to recognize leadership and contributions as we navigate the volatile market, and provided for awards to settle in shares of common stock to build executive stock ownership in the Company.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certain executives’ target compensation in recognition of performance and criticality to delivering on strategic priorities and as a result of an evaluation of labor market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(NEOs) for 2023, whose compensation we will discuss in detail below, are as follows:</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28" w:type="dxa"/>
          <w:right w:w="0" w:type="dxa"/>
        </w:tblCellMar>
      </w:tblPr>
      <w:tblGrid>
        <w:gridCol w:w="1670"/>
        <w:gridCol w:w="60"/>
        <w:gridCol w:w="4775"/>
      </w:tblGrid>
      <w:tr>
        <w:trPr/>
        <w:tc>
          <w:tcPr>
            <w:tcW w:w="167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7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6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 A. Messina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6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 O’Neil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r>
        <w:trPr/>
        <w:tc>
          <w:tcPr>
            <w:tcW w:w="16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Scott W. Anderson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Servicing Officer</w:t>
            </w:r>
          </w:p>
        </w:tc>
      </w:tr>
      <w:tr>
        <w:trPr/>
        <w:tc>
          <w:tcPr>
            <w:tcW w:w="16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Zeleny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Administrative Officer</w:t>
            </w:r>
          </w:p>
        </w:tc>
      </w:tr>
      <w:tr>
        <w:trPr/>
        <w:tc>
          <w:tcPr>
            <w:tcW w:w="16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 Henley</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Executive Vice President and Chief Growth Officer</w:t>
            </w:r>
          </w:p>
        </w:tc>
      </w:tr>
    </w:tbl>
    <w:p>
      <w:pPr>
        <w:pStyle w:val="TextBody"/>
        <w:bidi w:val="0"/>
        <w:spacing w:before="0" w:after="0"/>
        <w:ind w:left="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3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Henley departed this role as of December 31,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Philosophy and Objectives of Our Executive Compensation Program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Equally important, our compensation programs are designed to communicate our goals and reinforce our standards as they relate to risk, compliance and leadership, not only to our senior management team, but across our entire employee population. We employ a variety of cash and equity-based programs based on business objectives, including annual incentive grants towards the achievement of short- and long-term objectives, sign-on and retention awards to encourage employee commitment to the Company, and recognition programs for exceptional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this context, we believe our executive compensation programs enable us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Retain and hire top-caliber experienced executives</w:t>
            </w:r>
            <w:r>
              <w:rPr>
                <w:rFonts w:ascii="Times New Roman;Times;Serif" w:hAnsi="Times New Roman;Times;Serif"/>
                <w:b w:val="false"/>
                <w:i w:val="false"/>
                <w:caps w:val="false"/>
                <w:smallCaps w:val="false"/>
                <w:sz w:val="20"/>
              </w:rPr>
              <w:t>: In a tight labor market and volatile industry, we believe it is critical that we offer compensation opportunities that allow us to attract and retain strong, proven executive talent.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 for performance</w:t>
            </w:r>
            <w:r>
              <w:rPr>
                <w:rFonts w:ascii="Times New Roman;Times;Serif" w:hAnsi="Times New Roman;Times;Serif"/>
                <w:b w:val="false"/>
                <w:i w:val="false"/>
                <w:caps w:val="false"/>
                <w:smallCaps w:val="false"/>
                <w:sz w:val="20"/>
              </w:rPr>
              <w:t xml:space="preserve">: A significant portion of our annual target executive compensation (the sum of base salary, annual target bonus, and target value of annual equity program awards) – 85% for the President and Chief Executive Officer (CEO) and 69% for other NEOs on average – was dependent on the Company’s business performance and our executive officers’ contribution to that performance, and the performance of our stock (described further below in Variable Pay and Incentive Programs).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Align compensation with shareholder interests</w:t>
            </w:r>
            <w:r>
              <w:rPr>
                <w:rFonts w:ascii="Times New Roman;Times;Serif" w:hAnsi="Times New Roman;Times;Serif"/>
                <w:b w:val="false"/>
                <w:i w:val="false"/>
                <w:caps w:val="false"/>
                <w:smallCaps w:val="false"/>
                <w:sz w:val="20"/>
              </w:rPr>
              <w:t>: A consequential portion of our annual target executive compensation – 62% for the CEO and 37% for other NEOs on average – was directly tied to total shareholder return or stock price. An additional portion of annual target executive compensation – 23% for the CEO and 31% for other NEOs on average – was tied to net income, return on equity, and other profitability and operating excellence objectives, emphasizing our focus on shareholder value creation (further described below under “Pay Measures”).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Reinforce a commitment to serve all stakeholders</w:t>
            </w:r>
            <w:r>
              <w:rPr>
                <w:rFonts w:ascii="Times New Roman;Times;Serif" w:hAnsi="Times New Roman;Times;Serif"/>
                <w:b w:val="false"/>
                <w:i w:val="false"/>
                <w:caps w:val="false"/>
                <w:smallCaps w:val="false"/>
                <w:sz w:val="20"/>
              </w:rPr>
              <w:t xml:space="preserve">: We believe that taking all stakeholders’ opinions into account leads to long-term shareholder value creation. As such, annual incentive compensation awards were subject to a 20% adjustment – positive or negative – based on customer satisfaction and process quality results, demonstrating our continued commitment to supporting our borrowers. Those awards are also determined by an assessment of performance in promoting a culture of appropriate risk management and compliance, as well as demonstrating strong leadership behaviors. </w:t>
            </w:r>
          </w:p>
        </w:tc>
      </w:tr>
    </w:tbl>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Variable Pay and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create a strong link between our incentive compensation opportunities and our short-term and long-term objectives, we use two specific programs: our Annual Incentive Plan (AIP) and the grant of long-term incentive awards (LTIP awards) under our 2021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illustrates the portions of our NEOs’ annual target executive compensation that are delivered through our incentive programs. The Committee determines target compensation amounts after consideration of multiple factors, including comparative data from our peer group and general survey data provided by its independent compensation consultant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86"/>
        <w:gridCol w:w="60"/>
        <w:gridCol w:w="4886"/>
        <w:gridCol w:w="60"/>
        <w:gridCol w:w="1676"/>
        <w:gridCol w:w="60"/>
        <w:gridCol w:w="1877"/>
      </w:tblGrid>
      <w:tr>
        <w:trPr/>
        <w:tc>
          <w:tcPr>
            <w:tcW w:w="1586"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 of Annual Target Compensation</w:t>
            </w:r>
            <w:r>
              <w:rPr>
                <w:rFonts w:ascii="Times New Roman;Times;Serif" w:hAnsi="Times New Roman;Times;Serif"/>
                <w:b/>
                <w:i w:val="false"/>
                <w:caps w:val="false"/>
                <w:smallCaps w:val="false"/>
                <w:position w:val="7"/>
                <w:sz w:val="16"/>
                <w:sz w:val="20"/>
              </w:rPr>
              <w:t>(a)</w:t>
            </w:r>
          </w:p>
        </w:tc>
        <w:tc>
          <w:tcPr>
            <w:tcW w:w="60" w:type="dxa"/>
            <w:tcBorders/>
            <w:tcMar>
              <w:bottom w:w="0" w:type="dxa"/>
            </w:tcMar>
            <w:vAlign w:val="center"/>
          </w:tcPr>
          <w:p>
            <w:pPr>
              <w:pStyle w:val="TableContents"/>
              <w:bidi w:val="0"/>
              <w:spacing w:before="0" w:after="283"/>
              <w:jc w:val="left"/>
              <w:rPr/>
            </w:pPr>
            <w:r>
              <w:rPr/>
              <w:t> </w:t>
            </w:r>
          </w:p>
        </w:tc>
        <w:tc>
          <w:tcPr>
            <w:tcW w:w="4886"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67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of CEO Total Annual Target Compensation</w:t>
            </w:r>
            <w:r>
              <w:rPr>
                <w:rFonts w:ascii="Times New Roman;Times;Serif" w:hAnsi="Times New Roman;Times;Serif"/>
                <w:b/>
                <w:i w:val="false"/>
                <w:caps w:val="false"/>
                <w:smallCaps w:val="false"/>
                <w:position w:val="7"/>
                <w:sz w:val="16"/>
                <w:sz w:val="20"/>
              </w:rPr>
              <w:t>(b)</w:t>
            </w:r>
          </w:p>
        </w:tc>
        <w:tc>
          <w:tcPr>
            <w:tcW w:w="60" w:type="dxa"/>
            <w:tcBorders/>
            <w:tcMar>
              <w:bottom w:w="0" w:type="dxa"/>
            </w:tcMar>
            <w:vAlign w:val="center"/>
          </w:tcPr>
          <w:p>
            <w:pPr>
              <w:pStyle w:val="TableContents"/>
              <w:bidi w:val="0"/>
              <w:spacing w:before="0" w:after="283"/>
              <w:jc w:val="left"/>
              <w:rPr/>
            </w:pPr>
            <w:r>
              <w:rPr/>
              <w:t> </w:t>
            </w:r>
          </w:p>
        </w:tc>
        <w:tc>
          <w:tcPr>
            <w:tcW w:w="187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Percent of non-CEO NEO Total Annual Target Compensation</w:t>
            </w:r>
            <w:r>
              <w:rPr>
                <w:rFonts w:ascii="Times New Roman;Times;Serif" w:hAnsi="Times New Roman;Times;Serif"/>
                <w:b/>
                <w:i w:val="false"/>
                <w:caps w:val="false"/>
                <w:smallCaps w:val="false"/>
                <w:position w:val="7"/>
                <w:sz w:val="16"/>
                <w:sz w:val="20"/>
              </w:rPr>
              <w:t>(b)</w:t>
            </w:r>
          </w:p>
        </w:tc>
      </w:tr>
      <w:tr>
        <w:trPr/>
        <w:tc>
          <w:tcPr>
            <w:tcW w:w="158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are the only element of total target compensation that is not at risk based on short- or long-term performance.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r>
      <w:tr>
        <w:trPr/>
        <w:tc>
          <w:tcPr>
            <w:tcW w:w="158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AIP</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for our annual short-term incentive program is linked to performance against key priorities of the Company, which is adjusted according to customer satisfaction and quality scores. Individual awards are further modified by the executive’s overall performance.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r>
      <w:tr>
        <w:trPr/>
        <w:tc>
          <w:tcPr>
            <w:tcW w:w="158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LTIP Awards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Half of the award is in the form of Restricted Stock Units (RSUs) that vest annually over three years in equal tranches. The other half is in the form of Performance-Restricted Stock Units (PRSUs) that cliff vest at the end of three years provided minimum total shareholder return (TSR) level has been achieved relative to a performance peer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compensation that is available to all of our U.S. employees includes medical, dental and life insurance benefit programs. 401(k) matching contributions account for less than 0.1% of our NEOs’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Annual Target Compensation percentages do not include special awards.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programs are designed to align the interests of our executives with the interests of our shareholders, and therefore link the drivers of short-term and long-term value creation with our executive compensation performance metrics. The performance metrics used in our incentive programs directly link Company performance to the compensation earned by each executive, with total shareholder return being the greatest link to compensation actually paid, as illustrated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77"/>
        <w:gridCol w:w="60"/>
        <w:gridCol w:w="4471"/>
        <w:gridCol w:w="60"/>
        <w:gridCol w:w="1782"/>
        <w:gridCol w:w="60"/>
        <w:gridCol w:w="2095"/>
      </w:tblGrid>
      <w:tr>
        <w:trPr/>
        <w:tc>
          <w:tcPr>
            <w:tcW w:w="167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Measure</w:t>
            </w:r>
          </w:p>
        </w:tc>
        <w:tc>
          <w:tcPr>
            <w:tcW w:w="60" w:type="dxa"/>
            <w:tcBorders/>
            <w:tcMar>
              <w:bottom w:w="0" w:type="dxa"/>
            </w:tcMar>
            <w:vAlign w:val="center"/>
          </w:tcPr>
          <w:p>
            <w:pPr>
              <w:pStyle w:val="TableContents"/>
              <w:bidi w:val="0"/>
              <w:spacing w:before="0" w:after="283"/>
              <w:jc w:val="left"/>
              <w:rPr/>
            </w:pPr>
            <w:r>
              <w:rPr/>
              <w:t> </w:t>
            </w:r>
          </w:p>
        </w:tc>
        <w:tc>
          <w:tcPr>
            <w:tcW w:w="4471"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78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of CEO 2023 Total Target Compensation</w:t>
            </w:r>
          </w:p>
        </w:tc>
        <w:tc>
          <w:tcPr>
            <w:tcW w:w="60" w:type="dxa"/>
            <w:tcBorders/>
            <w:tcMar>
              <w:bottom w:w="0" w:type="dxa"/>
            </w:tcMar>
            <w:vAlign w:val="center"/>
          </w:tcPr>
          <w:p>
            <w:pPr>
              <w:pStyle w:val="TableContents"/>
              <w:bidi w:val="0"/>
              <w:spacing w:before="0" w:after="283"/>
              <w:jc w:val="left"/>
              <w:rPr/>
            </w:pPr>
            <w:r>
              <w:rPr/>
              <w:t> </w:t>
            </w:r>
          </w:p>
        </w:tc>
        <w:tc>
          <w:tcPr>
            <w:tcW w:w="20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Percent of non-CEO NEO 2023 Total Target Compensation</w:t>
            </w:r>
          </w:p>
        </w:tc>
      </w:tr>
      <w:tr>
        <w:trPr/>
        <w:tc>
          <w:tcPr>
            <w:tcW w:w="167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 w:name="xdx_902_eecd--MeasureName_c20230101__202"/>
            <w:bookmarkEnd w:id="4"/>
            <w:r>
              <w:rPr>
                <w:rFonts w:ascii="Times New Roman;Times;Serif" w:hAnsi="Times New Roman;Times;Serif"/>
                <w:b/>
                <w:i w:val="false"/>
                <w:caps w:val="false"/>
                <w:smallCaps w:val="false"/>
                <w:sz w:val="20"/>
              </w:rPr>
              <w:t>Absolute (and Relative) Total Shareholder Return</w:t>
            </w:r>
          </w:p>
        </w:tc>
        <w:tc>
          <w:tcPr>
            <w:tcW w:w="60" w:type="dxa"/>
            <w:tcBorders/>
            <w:tcMar>
              <w:bottom w:w="0" w:type="dxa"/>
            </w:tcMar>
            <w:vAlign w:val="center"/>
          </w:tcPr>
          <w:p>
            <w:pPr>
              <w:pStyle w:val="TableContents"/>
              <w:bidi w:val="0"/>
              <w:spacing w:before="0" w:after="283"/>
              <w:jc w:val="left"/>
              <w:rPr/>
            </w:pPr>
            <w:r>
              <w:rPr/>
              <w:t> </w:t>
            </w:r>
          </w:p>
        </w:tc>
        <w:tc>
          <w:tcPr>
            <w:tcW w:w="44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incentive program grants equity-based awards with half of target value as time-vested restricted stock units and half as performance-based units determined by TSR performance relative to a peer group.</w:t>
            </w:r>
          </w:p>
        </w:tc>
        <w:tc>
          <w:tcPr>
            <w:tcW w:w="60" w:type="dxa"/>
            <w:tcBorders/>
            <w:tcMar>
              <w:bottom w:w="0" w:type="dxa"/>
            </w:tcMar>
            <w:vAlign w:val="center"/>
          </w:tcPr>
          <w:p>
            <w:pPr>
              <w:pStyle w:val="TableContents"/>
              <w:bidi w:val="0"/>
              <w:spacing w:before="0" w:after="283"/>
              <w:jc w:val="left"/>
              <w:rPr/>
            </w:pPr>
            <w:r>
              <w:rPr/>
              <w:t> </w:t>
            </w:r>
          </w:p>
        </w:tc>
        <w:tc>
          <w:tcPr>
            <w:tcW w:w="178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(31%)</w:t>
            </w:r>
          </w:p>
        </w:tc>
        <w:tc>
          <w:tcPr>
            <w:tcW w:w="60" w:type="dxa"/>
            <w:tcBorders/>
            <w:tcMar>
              <w:bottom w:w="0" w:type="dxa"/>
            </w:tcMar>
            <w:vAlign w:val="center"/>
          </w:tcPr>
          <w:p>
            <w:pPr>
              <w:pStyle w:val="TableContents"/>
              <w:bidi w:val="0"/>
              <w:spacing w:before="0" w:after="283"/>
              <w:jc w:val="left"/>
              <w:rPr/>
            </w:pPr>
            <w:r>
              <w:rPr/>
              <w:t> </w:t>
            </w:r>
          </w:p>
        </w:tc>
        <w:tc>
          <w:tcPr>
            <w:tcW w:w="2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(19%)</w:t>
            </w:r>
          </w:p>
        </w:tc>
      </w:tr>
      <w:tr>
        <w:trPr/>
        <w:tc>
          <w:tcPr>
            <w:tcW w:w="167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 w:name="xdx_90B_eecd--MeasureName_c20230101__202"/>
            <w:bookmarkEnd w:id="5"/>
            <w:r>
              <w:rPr>
                <w:rFonts w:ascii="Times New Roman;Times;Serif" w:hAnsi="Times New Roman;Times;Serif"/>
                <w:b/>
                <w:i w:val="false"/>
                <w:caps w:val="false"/>
                <w:smallCaps w:val="false"/>
                <w:sz w:val="20"/>
              </w:rPr>
              <w:t>Net Income</w:t>
            </w:r>
          </w:p>
        </w:tc>
        <w:tc>
          <w:tcPr>
            <w:tcW w:w="60" w:type="dxa"/>
            <w:tcBorders/>
            <w:tcMar>
              <w:bottom w:w="0" w:type="dxa"/>
            </w:tcMar>
            <w:vAlign w:val="center"/>
          </w:tcPr>
          <w:p>
            <w:pPr>
              <w:pStyle w:val="TableContents"/>
              <w:bidi w:val="0"/>
              <w:spacing w:before="0" w:after="283"/>
              <w:jc w:val="left"/>
              <w:rPr/>
            </w:pPr>
            <w:r>
              <w:rPr/>
              <w:t> </w:t>
            </w:r>
          </w:p>
        </w:tc>
        <w:tc>
          <w:tcPr>
            <w:tcW w:w="44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Full-year GAAP net income and full-year adjusted pre-tax income combined accounted for 36.8% of the total weight of our AIP Scorecard.</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78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tcMar>
              <w:bottom w:w="0" w:type="dxa"/>
            </w:tcMar>
            <w:vAlign w:val="center"/>
          </w:tcPr>
          <w:p>
            <w:pPr>
              <w:pStyle w:val="TableContents"/>
              <w:bidi w:val="0"/>
              <w:spacing w:before="0" w:after="283"/>
              <w:jc w:val="left"/>
              <w:rPr/>
            </w:pPr>
            <w:r>
              <w:rPr/>
              <w:t> </w:t>
            </w:r>
          </w:p>
        </w:tc>
        <w:tc>
          <w:tcPr>
            <w:tcW w:w="2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67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6" w:name="xdx_90E_eecd--MeasureName_c20230101__202"/>
            <w:bookmarkEnd w:id="6"/>
            <w:r>
              <w:rPr>
                <w:rFonts w:ascii="Times New Roman;Times;Serif" w:hAnsi="Times New Roman;Times;Serif"/>
                <w:b/>
                <w:i w:val="false"/>
                <w:caps w:val="false"/>
                <w:smallCaps w:val="false"/>
                <w:sz w:val="20"/>
              </w:rPr>
              <w:t>Return on Equity</w:t>
            </w:r>
          </w:p>
        </w:tc>
        <w:tc>
          <w:tcPr>
            <w:tcW w:w="60" w:type="dxa"/>
            <w:tcBorders/>
            <w:tcMar>
              <w:bottom w:w="0" w:type="dxa"/>
            </w:tcMar>
            <w:vAlign w:val="center"/>
          </w:tcPr>
          <w:p>
            <w:pPr>
              <w:pStyle w:val="TableContents"/>
              <w:bidi w:val="0"/>
              <w:spacing w:before="0" w:after="283"/>
              <w:jc w:val="left"/>
              <w:rPr/>
            </w:pPr>
            <w:r>
              <w:rPr/>
              <w:t> </w:t>
            </w:r>
          </w:p>
        </w:tc>
        <w:tc>
          <w:tcPr>
            <w:tcW w:w="44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Second-half after-tax return on equity (ROE), excluding notables, represented 21.1% of the total weight of our AIP Scorecard.</w:t>
            </w:r>
          </w:p>
        </w:tc>
        <w:tc>
          <w:tcPr>
            <w:tcW w:w="60" w:type="dxa"/>
            <w:tcBorders/>
            <w:tcMar>
              <w:bottom w:w="0" w:type="dxa"/>
            </w:tcMar>
            <w:vAlign w:val="center"/>
          </w:tcPr>
          <w:p>
            <w:pPr>
              <w:pStyle w:val="TableContents"/>
              <w:bidi w:val="0"/>
              <w:spacing w:before="0" w:after="283"/>
              <w:jc w:val="left"/>
              <w:rPr/>
            </w:pPr>
            <w:r>
              <w:rPr/>
              <w:t> </w:t>
            </w:r>
          </w:p>
        </w:tc>
        <w:tc>
          <w:tcPr>
            <w:tcW w:w="178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pPr>
            <w:r>
              <w:rPr/>
              <w:t> </w:t>
            </w:r>
          </w:p>
        </w:tc>
        <w:tc>
          <w:tcPr>
            <w:tcW w:w="2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67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7" w:name="xdx_903_eecd--MeasureName_c20230101__202"/>
            <w:bookmarkEnd w:id="7"/>
            <w:r>
              <w:rPr>
                <w:rFonts w:ascii="Times New Roman;Times;Serif" w:hAnsi="Times New Roman;Times;Serif"/>
                <w:b/>
                <w:i w:val="false"/>
                <w:caps w:val="false"/>
                <w:smallCaps w:val="false"/>
                <w:sz w:val="20"/>
              </w:rPr>
              <w:t>Growth</w:t>
            </w:r>
          </w:p>
        </w:tc>
        <w:tc>
          <w:tcPr>
            <w:tcW w:w="60" w:type="dxa"/>
            <w:tcBorders/>
            <w:tcMar>
              <w:bottom w:w="0" w:type="dxa"/>
            </w:tcMar>
            <w:vAlign w:val="center"/>
          </w:tcPr>
          <w:p>
            <w:pPr>
              <w:pStyle w:val="TableContents"/>
              <w:bidi w:val="0"/>
              <w:spacing w:before="0" w:after="283"/>
              <w:jc w:val="left"/>
              <w:rPr/>
            </w:pPr>
            <w:r>
              <w:rPr/>
              <w:t> </w:t>
            </w:r>
          </w:p>
        </w:tc>
        <w:tc>
          <w:tcPr>
            <w:tcW w:w="44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UPB growth and cash yields on owned servicing originations accounted for 26.3% of the total weight of our AIP Scorecard.</w:t>
            </w:r>
          </w:p>
        </w:tc>
        <w:tc>
          <w:tcPr>
            <w:tcW w:w="60" w:type="dxa"/>
            <w:tcBorders/>
            <w:tcMar>
              <w:bottom w:w="0" w:type="dxa"/>
            </w:tcMar>
            <w:vAlign w:val="center"/>
          </w:tcPr>
          <w:p>
            <w:pPr>
              <w:pStyle w:val="TableContents"/>
              <w:bidi w:val="0"/>
              <w:spacing w:before="0" w:after="283"/>
              <w:jc w:val="left"/>
              <w:rPr/>
            </w:pPr>
            <w:r>
              <w:rPr/>
              <w:t> </w:t>
            </w:r>
          </w:p>
        </w:tc>
        <w:tc>
          <w:tcPr>
            <w:tcW w:w="178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pPr>
            <w:r>
              <w:rPr/>
              <w:t> </w:t>
            </w:r>
          </w:p>
        </w:tc>
        <w:tc>
          <w:tcPr>
            <w:tcW w:w="2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67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8" w:name="xdx_908_eecd--MeasureName_c20230101__202"/>
            <w:bookmarkEnd w:id="8"/>
            <w:r>
              <w:rPr>
                <w:rFonts w:ascii="Times New Roman;Times;Serif" w:hAnsi="Times New Roman;Times;Serif"/>
                <w:b/>
                <w:i w:val="false"/>
                <w:caps w:val="false"/>
                <w:smallCaps w:val="false"/>
                <w:sz w:val="20"/>
              </w:rPr>
              <w:t>Productivity</w:t>
            </w:r>
          </w:p>
        </w:tc>
        <w:tc>
          <w:tcPr>
            <w:tcW w:w="60" w:type="dxa"/>
            <w:tcBorders/>
            <w:tcMar>
              <w:bottom w:w="0" w:type="dxa"/>
            </w:tcMar>
            <w:vAlign w:val="center"/>
          </w:tcPr>
          <w:p>
            <w:pPr>
              <w:pStyle w:val="TableContents"/>
              <w:bidi w:val="0"/>
              <w:spacing w:before="0" w:after="283"/>
              <w:jc w:val="left"/>
              <w:rPr/>
            </w:pPr>
            <w:r>
              <w:rPr/>
              <w:t> </w:t>
            </w:r>
          </w:p>
        </w:tc>
        <w:tc>
          <w:tcPr>
            <w:tcW w:w="44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 a percentage of either revenue or UPB accounted for 10.5% of the total weight of our 2022 AIP Scorecard.</w:t>
            </w:r>
          </w:p>
        </w:tc>
        <w:tc>
          <w:tcPr>
            <w:tcW w:w="60" w:type="dxa"/>
            <w:tcBorders/>
            <w:tcMar>
              <w:bottom w:w="0" w:type="dxa"/>
            </w:tcMar>
            <w:vAlign w:val="center"/>
          </w:tcPr>
          <w:p>
            <w:pPr>
              <w:pStyle w:val="TableContents"/>
              <w:bidi w:val="0"/>
              <w:spacing w:before="0" w:after="283"/>
              <w:jc w:val="left"/>
              <w:rPr/>
            </w:pPr>
            <w:r>
              <w:rPr/>
              <w:t> </w:t>
            </w:r>
          </w:p>
        </w:tc>
        <w:tc>
          <w:tcPr>
            <w:tcW w:w="178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2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67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9" w:name="xdx_90A_eecd--MeasureName_c20230101__202"/>
            <w:bookmarkEnd w:id="9"/>
            <w:r>
              <w:rPr>
                <w:rFonts w:ascii="Times New Roman;Times;Serif" w:hAnsi="Times New Roman;Times;Serif"/>
                <w:b/>
                <w:i w:val="false"/>
                <w:caps w:val="false"/>
                <w:smallCaps w:val="false"/>
                <w:sz w:val="20"/>
              </w:rPr>
              <w:t>Diversity, Equity &amp; Inclusion</w:t>
            </w:r>
          </w:p>
        </w:tc>
        <w:tc>
          <w:tcPr>
            <w:tcW w:w="60" w:type="dxa"/>
            <w:tcBorders/>
            <w:tcMar>
              <w:bottom w:w="0" w:type="dxa"/>
            </w:tcMar>
            <w:vAlign w:val="center"/>
          </w:tcPr>
          <w:p>
            <w:pPr>
              <w:pStyle w:val="TableContents"/>
              <w:bidi w:val="0"/>
              <w:spacing w:before="0" w:after="283"/>
              <w:jc w:val="left"/>
              <w:rPr/>
            </w:pPr>
            <w:r>
              <w:rPr/>
              <w:t> </w:t>
            </w:r>
          </w:p>
        </w:tc>
        <w:tc>
          <w:tcPr>
            <w:tcW w:w="44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Executing objectives in our DE&amp;I road map accounted for 5.3% of the total weight of our AIP Scorecard.</w:t>
            </w:r>
          </w:p>
        </w:tc>
        <w:tc>
          <w:tcPr>
            <w:tcW w:w="60" w:type="dxa"/>
            <w:tcBorders/>
            <w:tcMar>
              <w:bottom w:w="0" w:type="dxa"/>
            </w:tcMar>
            <w:vAlign w:val="center"/>
          </w:tcPr>
          <w:p>
            <w:pPr>
              <w:pStyle w:val="TableContents"/>
              <w:bidi w:val="0"/>
              <w:spacing w:before="0" w:after="283"/>
              <w:jc w:val="left"/>
              <w:rPr/>
            </w:pPr>
            <w:r>
              <w:rPr/>
              <w:t> </w:t>
            </w:r>
          </w:p>
        </w:tc>
        <w:tc>
          <w:tcPr>
            <w:tcW w:w="178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2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how we measure pre-tax income before notable items and a reconciliation to financial measures prepared under GAAP, please see our Current Report on Form 8-K filed with the Securities and Exchange Commission on February 27, 2024.</w:t>
            </w:r>
          </w:p>
        </w:tc>
      </w:tr>
    </w:tbl>
    <w:p>
      <w:pPr>
        <w:pStyle w:val="TextBody"/>
        <w:bidi w:val="0"/>
        <w:spacing w:before="0" w:after="0"/>
        <w:ind w:left="0" w:right="0" w:hanging="0"/>
        <w:jc w:val="both"/>
        <w:rPr>
          <w:caps w:val="false"/>
          <w:smallCaps w:val="false"/>
        </w:rPr>
      </w:pPr>
      <w:bookmarkStart w:id="10" w:name="xdx_8AC_zJnIUe0x55bh"/>
      <w:bookmarkEnd w:id="1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Versus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variable pay programs, particularly our LTIP awards, have created strong alignment between our NEOs’ total compensation and long-term shareholder value creation. As required by Item 402(v) of Regulation S-K, the table below illustrates the relationship between “Compensation Actually Paid” and certain financial performance measures of the Company.</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1" w:name="xdx_889_eecd--PvpTableTextBlock_zfhQoq2g"/>
      <w:bookmarkStart w:id="12" w:name="xdx_889_eecd--PvpTableTextBlock_zfhQoq2g"/>
      <w:bookmarkEnd w:id="12"/>
    </w:p>
    <w:tbl>
      <w:tblPr>
        <w:tblW w:w="10765" w:type="dxa"/>
        <w:jc w:val="left"/>
        <w:tblInd w:w="0" w:type="dxa"/>
        <w:tblLayout w:type="fixed"/>
        <w:tblCellMar>
          <w:top w:w="0" w:type="dxa"/>
          <w:left w:w="0" w:type="dxa"/>
          <w:bottom w:w="28" w:type="dxa"/>
          <w:right w:w="0" w:type="dxa"/>
        </w:tblCellMar>
      </w:tblPr>
      <w:tblGrid>
        <w:gridCol w:w="515"/>
        <w:gridCol w:w="60"/>
        <w:gridCol w:w="71"/>
        <w:gridCol w:w="1164"/>
        <w:gridCol w:w="60"/>
        <w:gridCol w:w="60"/>
        <w:gridCol w:w="63"/>
        <w:gridCol w:w="1172"/>
        <w:gridCol w:w="60"/>
        <w:gridCol w:w="60"/>
        <w:gridCol w:w="71"/>
        <w:gridCol w:w="1164"/>
        <w:gridCol w:w="60"/>
        <w:gridCol w:w="60"/>
        <w:gridCol w:w="85"/>
        <w:gridCol w:w="1405"/>
        <w:gridCol w:w="60"/>
        <w:gridCol w:w="60"/>
        <w:gridCol w:w="145"/>
        <w:gridCol w:w="925"/>
        <w:gridCol w:w="60"/>
        <w:gridCol w:w="60"/>
        <w:gridCol w:w="145"/>
        <w:gridCol w:w="925"/>
        <w:gridCol w:w="60"/>
        <w:gridCol w:w="60"/>
        <w:gridCol w:w="109"/>
        <w:gridCol w:w="601"/>
        <w:gridCol w:w="95"/>
        <w:gridCol w:w="60"/>
        <w:gridCol w:w="202"/>
        <w:gridCol w:w="838"/>
        <w:gridCol w:w="230"/>
      </w:tblGrid>
      <w:tr>
        <w:trPr/>
        <w:tc>
          <w:tcPr>
            <w:tcW w:w="51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w:t>
            </w:r>
            <w:r>
              <w:rPr>
                <w:rFonts w:ascii="Times New Roman;Times;Serif" w:hAnsi="Times New Roman;Times;Serif"/>
                <w:b/>
                <w:sz w:val="20"/>
              </w:rPr>
              <w:t>r</w:t>
            </w:r>
          </w:p>
        </w:tc>
        <w:tc>
          <w:tcPr>
            <w:tcW w:w="60" w:type="dxa"/>
            <w:tcBorders/>
            <w:tcMar>
              <w:bottom w:w="0" w:type="dxa"/>
            </w:tcMar>
            <w:vAlign w:val="center"/>
          </w:tcPr>
          <w:p>
            <w:pPr>
              <w:pStyle w:val="TableContents"/>
              <w:bidi w:val="0"/>
              <w:spacing w:before="0" w:after="283"/>
              <w:jc w:val="center"/>
              <w:rPr/>
            </w:pPr>
            <w:r>
              <w:rPr/>
              <w:t> </w:t>
            </w:r>
            <w:bookmarkStart w:id="13" w:name="xdx_48D_eecd--PeoTotalCompAmt_zemqJwlu3t"/>
            <w:bookmarkEnd w:id="13"/>
          </w:p>
        </w:tc>
        <w:tc>
          <w:tcPr>
            <w:tcW w:w="1235"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Total for CEO</w:t>
            </w:r>
            <w:r>
              <w:rPr>
                <w:rFonts w:ascii="Times New Roman;Times;Serif" w:hAnsi="Times New Roman;Times;Serif"/>
                <w:b/>
                <w:i w:val="false"/>
                <w:caps w:val="false"/>
                <w:smallCaps w:val="false"/>
                <w:position w:val="7"/>
                <w:sz w:val="16"/>
                <w:sz w:val="20"/>
              </w:rPr>
              <w:t>(1)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14" w:name="xdx_48C_eecd--PeoActuallyPaidCompAmt_zDH"/>
            <w:bookmarkEnd w:id="14"/>
          </w:p>
        </w:tc>
        <w:tc>
          <w:tcPr>
            <w:tcW w:w="1235"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 to CEO</w:t>
            </w:r>
            <w:r>
              <w:rPr>
                <w:rFonts w:ascii="Times New Roman;Times;Serif" w:hAnsi="Times New Roman;Times;Serif"/>
                <w:b/>
                <w:i w:val="false"/>
                <w:caps w:val="false"/>
                <w:smallCaps w:val="false"/>
                <w:position w:val="7"/>
                <w:sz w:val="16"/>
                <w:sz w:val="20"/>
              </w:rPr>
              <w:t>(2)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15" w:name="xdx_48A_eecd--NonPeoNeoAvgTotalCompAmt_z"/>
            <w:bookmarkEnd w:id="15"/>
          </w:p>
        </w:tc>
        <w:tc>
          <w:tcPr>
            <w:tcW w:w="1235"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Table Total for non-CEO NEOs</w:t>
            </w:r>
            <w:r>
              <w:rPr>
                <w:rFonts w:ascii="Times New Roman;Times;Serif" w:hAnsi="Times New Roman;Times;Serif"/>
                <w:b/>
                <w:i w:val="false"/>
                <w:caps w:val="false"/>
                <w:smallCaps w:val="false"/>
                <w:position w:val="7"/>
                <w:sz w:val="16"/>
                <w:sz w:val="20"/>
              </w:rPr>
              <w:t>(1)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16" w:name="xdx_48D_eecd--NonPeoNeoAvgCompActuallyPa"/>
            <w:bookmarkEnd w:id="16"/>
          </w:p>
        </w:tc>
        <w:tc>
          <w:tcPr>
            <w:tcW w:w="1490" w:type="dxa"/>
            <w:gridSpan w:val="2"/>
            <w:tcBorders>
              <w:bottom w:val="single" w:sz="12" w:space="0" w:color="000000"/>
            </w:tcBorders>
            <w:vAlign w:val="center"/>
          </w:tcPr>
          <w:p>
            <w:pPr>
              <w:pStyle w:val="TableContents"/>
              <w:bidi w:val="0"/>
              <w:spacing w:before="0" w:after="283"/>
              <w:jc w:val="center"/>
              <w:rPr>
                <w:b/>
              </w:rPr>
            </w:pPr>
            <w:r>
              <w:rPr>
                <w:b/>
              </w:rPr>
              <w:t xml:space="preserve">Average Compensation Actually </w:t>
            </w:r>
            <w:r>
              <w:rPr>
                <w:rFonts w:ascii="Times New Roman;Times;Serif" w:hAnsi="Times New Roman;Times;Serif"/>
                <w:b/>
                <w:sz w:val="20"/>
              </w:rPr>
              <w:t>Paid to non-CEO NEOs</w:t>
            </w:r>
            <w:r>
              <w:rPr>
                <w:rFonts w:ascii="Times New Roman;Times;Serif" w:hAnsi="Times New Roman;Times;Serif"/>
                <w:b/>
                <w:position w:val="7"/>
                <w:sz w:val="16"/>
                <w:sz w:val="20"/>
              </w:rPr>
              <w:t>(2)</w:t>
            </w:r>
            <w:r>
              <w:rPr>
                <w:rFonts w:ascii="Times New Roman;Times;Serif" w:hAnsi="Times New Roman;Times;Serif"/>
                <w:b/>
                <w:sz w:val="20"/>
              </w:rPr>
              <w:t xml:space="preserve">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17" w:name="xdx_48E_eecd--TotalShareholderRtnAmt_zaF"/>
            <w:bookmarkEnd w:id="17"/>
          </w:p>
        </w:tc>
        <w:tc>
          <w:tcPr>
            <w:tcW w:w="107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 Return</w:t>
            </w:r>
            <w:r>
              <w:rPr>
                <w:rFonts w:ascii="Times New Roman;Times;Serif" w:hAnsi="Times New Roman;Times;Serif"/>
                <w:b/>
                <w:i w:val="false"/>
                <w:caps w:val="false"/>
                <w:smallCaps w:val="false"/>
                <w:position w:val="7"/>
                <w:sz w:val="16"/>
                <w:sz w:val="20"/>
              </w:rPr>
              <w:t>(3)</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18" w:name="xdx_487_eecd--PeerGroupTotalShareholderR"/>
            <w:bookmarkEnd w:id="18"/>
          </w:p>
        </w:tc>
        <w:tc>
          <w:tcPr>
            <w:tcW w:w="107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Peer Group Total Shareholder Return</w:t>
            </w:r>
            <w:r>
              <w:rPr>
                <w:rFonts w:ascii="Times New Roman;Times;Serif" w:hAnsi="Times New Roman;Times;Serif"/>
                <w:b/>
                <w:i w:val="false"/>
                <w:caps w:val="false"/>
                <w:smallCaps w:val="false"/>
                <w:position w:val="7"/>
                <w:sz w:val="16"/>
                <w:sz w:val="20"/>
              </w:rPr>
              <w:t>(4)</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19" w:name="xdx_48A_eus-gaap--NetIncomeLoss_pn5n6_zK"/>
            <w:bookmarkEnd w:id="19"/>
          </w:p>
        </w:tc>
        <w:tc>
          <w:tcPr>
            <w:tcW w:w="71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Net Income(5)</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($MM)</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 w:name="xdx_48A_eecd--CoSelectedMeasureAmt_pid_u"/>
            <w:bookmarkEnd w:id="20"/>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Return On Equity (ROE), excluding notables</w:t>
            </w:r>
            <w:r>
              <w:rPr>
                <w:rFonts w:ascii="Times New Roman;Times;Serif" w:hAnsi="Times New Roman;Times;Serif"/>
                <w:b/>
                <w:position w:val="7"/>
                <w:sz w:val="16"/>
                <w:sz w:val="20"/>
              </w:rPr>
              <w:t>(6)</w:t>
            </w:r>
          </w:p>
        </w:tc>
        <w:tc>
          <w:tcPr>
            <w:tcW w:w="230" w:type="dxa"/>
            <w:tcBorders/>
            <w:tcMar>
              <w:bottom w:w="0" w:type="dxa"/>
            </w:tcMar>
            <w:vAlign w:val="center"/>
          </w:tcPr>
          <w:p>
            <w:pPr>
              <w:pStyle w:val="TableContents"/>
              <w:bidi w:val="0"/>
              <w:spacing w:before="0" w:after="283"/>
              <w:jc w:val="center"/>
              <w:rPr/>
            </w:pPr>
            <w:r>
              <w:rPr/>
              <w:t> </w:t>
            </w:r>
          </w:p>
        </w:tc>
      </w:tr>
      <w:tr>
        <w:trPr/>
        <w:tc>
          <w:tcPr>
            <w:tcW w:w="5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tcMar>
              <w:bottom w:w="0" w:type="dxa"/>
            </w:tcMar>
            <w:vAlign w:val="center"/>
          </w:tcPr>
          <w:p>
            <w:pPr>
              <w:pStyle w:val="TableContents"/>
              <w:bidi w:val="0"/>
              <w:spacing w:before="0" w:after="283"/>
              <w:jc w:val="center"/>
              <w:rPr>
                <w:b/>
              </w:rPr>
            </w:pPr>
            <w:r>
              <w:rPr>
                <w:b/>
              </w:rPr>
              <w:t xml:space="preserve">Average Summary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260" w:type="dxa"/>
            <w:gridSpan w:val="6"/>
            <w:tcBorders>
              <w:bottom w:val="single" w:sz="12" w:space="0" w:color="000000"/>
            </w:tcBorders>
            <w:vAlign w:val="center"/>
          </w:tcPr>
          <w:p>
            <w:pPr>
              <w:pStyle w:val="TableContents"/>
              <w:bidi w:val="0"/>
              <w:spacing w:before="0" w:after="283"/>
              <w:jc w:val="center"/>
              <w:rPr>
                <w:b/>
              </w:rPr>
            </w:pPr>
            <w:r>
              <w:rPr>
                <w:b/>
              </w:rPr>
              <w:t>Value of Initial Fixed $100 Investment Based 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1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tcMar>
              <w:bottom w:w="0" w:type="dxa"/>
            </w:tcMar>
            <w:vAlign w:val="center"/>
          </w:tcPr>
          <w:p>
            <w:pPr>
              <w:pStyle w:val="TableContents"/>
              <w:bidi w:val="0"/>
              <w:spacing w:before="0" w:after="283"/>
              <w:jc w:val="center"/>
              <w:rPr>
                <w:b/>
              </w:rPr>
            </w:pPr>
            <w:r>
              <w:rPr>
                <w:b/>
              </w:rPr>
              <w:t xml:space="preserve">After-Tax </w:t>
            </w:r>
          </w:p>
        </w:tc>
        <w:tc>
          <w:tcPr>
            <w:tcW w:w="230" w:type="dxa"/>
            <w:tcBorders/>
            <w:tcMar>
              <w:bottom w:w="0" w:type="dxa"/>
            </w:tcMar>
            <w:vAlign w:val="center"/>
          </w:tcPr>
          <w:p>
            <w:pPr>
              <w:pStyle w:val="TableContents"/>
              <w:bidi w:val="0"/>
              <w:spacing w:before="0" w:after="283"/>
              <w:jc w:val="center"/>
              <w:rPr/>
            </w:pPr>
            <w:r>
              <w:rPr/>
              <w:t> </w:t>
            </w:r>
          </w:p>
        </w:tc>
      </w:tr>
      <w:tr>
        <w:trPr/>
        <w:tc>
          <w:tcPr>
            <w:tcW w:w="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Total for CEO</w:t>
            </w:r>
            <w:r>
              <w:rPr>
                <w:rFonts w:ascii="Times New Roman;Times;Serif" w:hAnsi="Times New Roman;Times;Serif"/>
                <w:b/>
                <w:i w:val="false"/>
                <w:caps w:val="false"/>
                <w:smallCaps w:val="false"/>
                <w:position w:val="7"/>
                <w:sz w:val="16"/>
                <w:sz w:val="20"/>
              </w:rPr>
              <w:t>(1)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 to CEO</w:t>
            </w:r>
            <w:r>
              <w:rPr>
                <w:rFonts w:ascii="Times New Roman;Times;Serif" w:hAnsi="Times New Roman;Times;Serif"/>
                <w:b/>
                <w:i w:val="false"/>
                <w:caps w:val="false"/>
                <w:smallCaps w:val="false"/>
                <w:position w:val="7"/>
                <w:sz w:val="16"/>
                <w:sz w:val="20"/>
              </w:rPr>
              <w:t>(2)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Table Total for non-CEO NEOs</w:t>
            </w:r>
            <w:r>
              <w:rPr>
                <w:rFonts w:ascii="Times New Roman;Times;Serif" w:hAnsi="Times New Roman;Times;Serif"/>
                <w:b/>
                <w:i w:val="false"/>
                <w:caps w:val="false"/>
                <w:smallCaps w:val="false"/>
                <w:position w:val="7"/>
                <w:sz w:val="16"/>
                <w:sz w:val="20"/>
              </w:rPr>
              <w:t>(1)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Compensation Actually Paid to non-CEO NEOs</w:t>
            </w:r>
            <w:r>
              <w:rPr>
                <w:rFonts w:ascii="Times New Roman;Times;Serif" w:hAnsi="Times New Roman;Times;Serif"/>
                <w:b/>
                <w:position w:val="7"/>
                <w:sz w:val="16"/>
                <w:sz w:val="20"/>
              </w:rPr>
              <w:t>(2)</w:t>
            </w:r>
            <w:r>
              <w:rPr>
                <w:rFonts w:ascii="Times New Roman;Times;Serif" w:hAnsi="Times New Roman;Times;Serif"/>
                <w:b/>
                <w:sz w:val="20"/>
              </w:rPr>
              <w:t xml:space="preserve">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 Return</w:t>
            </w:r>
            <w:r>
              <w:rPr>
                <w:rFonts w:ascii="Times New Roman;Times;Serif" w:hAnsi="Times New Roman;Times;Serif"/>
                <w:b/>
                <w:i w:val="false"/>
                <w:caps w:val="false"/>
                <w:smallCaps w:val="false"/>
                <w:position w:val="7"/>
                <w:sz w:val="16"/>
                <w:sz w:val="20"/>
              </w:rPr>
              <w:t>(3)</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Peer Group Total Shareholder Return</w:t>
            </w:r>
            <w:r>
              <w:rPr>
                <w:rFonts w:ascii="Times New Roman;Times;Serif" w:hAnsi="Times New Roman;Times;Serif"/>
                <w:b/>
                <w:i w:val="false"/>
                <w:caps w:val="false"/>
                <w:smallCaps w:val="false"/>
                <w:position w:val="7"/>
                <w:sz w:val="16"/>
                <w:sz w:val="20"/>
              </w:rPr>
              <w:t>(4)</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1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i w:val="false"/>
                <w:caps w:val="false"/>
                <w:smallCaps w:val="false"/>
                <w:position w:val="7"/>
                <w:sz w:val="16"/>
                <w:sz w:val="20"/>
              </w:rPr>
              <w:t>(5)</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($MM)</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Return On Equity (ROE), excluding notables</w:t>
            </w:r>
            <w:r>
              <w:rPr>
                <w:rFonts w:ascii="Times New Roman;Times;Serif" w:hAnsi="Times New Roman;Times;Serif"/>
                <w:b/>
                <w:position w:val="7"/>
                <w:sz w:val="16"/>
                <w:sz w:val="20"/>
              </w:rPr>
              <w:t>(6)</w:t>
            </w:r>
          </w:p>
        </w:tc>
        <w:tc>
          <w:tcPr>
            <w:tcW w:w="230" w:type="dxa"/>
            <w:tcBorders/>
            <w:tcMar>
              <w:bottom w:w="0" w:type="dxa"/>
            </w:tcMar>
            <w:vAlign w:val="center"/>
          </w:tcPr>
          <w:p>
            <w:pPr>
              <w:pStyle w:val="TableContents"/>
              <w:bidi w:val="0"/>
              <w:spacing w:before="0" w:after="283"/>
              <w:jc w:val="center"/>
              <w:rPr/>
            </w:pPr>
            <w:r>
              <w:rPr/>
              <w:t> </w:t>
            </w:r>
            <w:bookmarkStart w:id="21" w:name="xdx_41B_20230101__20231231_zcIgdYNZKywe"/>
            <w:bookmarkEnd w:id="21"/>
          </w:p>
        </w:tc>
      </w:tr>
      <w:tr>
        <w:trPr/>
        <w:tc>
          <w:tcPr>
            <w:tcW w:w="51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8,153,781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4,818,659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2,345,570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right"/>
              <w:rPr/>
            </w:pPr>
            <w:r>
              <w:rPr/>
              <w:t>1,622,072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(63.7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8.8</w:t>
            </w:r>
          </w:p>
        </w:tc>
        <w:tc>
          <w:tcPr>
            <w:tcW w:w="230" w:type="dxa"/>
            <w:tcBorders/>
            <w:shd w:fill="CCEEFF" w:val="clear"/>
            <w:tcMar>
              <w:bottom w:w="0" w:type="dxa"/>
            </w:tcMar>
            <w:vAlign w:val="center"/>
          </w:tcPr>
          <w:p>
            <w:pPr>
              <w:pStyle w:val="TableContents"/>
              <w:bidi w:val="0"/>
              <w:spacing w:before="0" w:after="283"/>
              <w:jc w:val="left"/>
              <w:rPr/>
            </w:pPr>
            <w:r>
              <w:rPr/>
              <w:t>%</w:t>
            </w:r>
            <w:bookmarkStart w:id="22" w:name="xdx_412_20220101__20221231_z0pbnu047h86"/>
            <w:bookmarkEnd w:id="22"/>
          </w:p>
        </w:tc>
      </w:tr>
      <w:tr>
        <w:trPr/>
        <w:tc>
          <w:tcPr>
            <w:tcW w:w="515" w:type="dxa"/>
            <w:tcBorders/>
            <w:shd w:fill="FFFFFF" w:val="clear"/>
            <w:tcMar>
              <w:bottom w:w="0" w:type="dxa"/>
            </w:tcMar>
            <w:vAlign w:val="center"/>
          </w:tcPr>
          <w:p>
            <w:pPr>
              <w:pStyle w:val="TableContents"/>
              <w:bidi w:val="0"/>
              <w:spacing w:before="0" w:after="283"/>
              <w:jc w:val="center"/>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pPr>
            <w:r>
              <w:rPr/>
              <w:t>6,029,718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2,722,635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pPr>
            <w:r>
              <w:rPr/>
              <w:t>1,739,912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405" w:type="dxa"/>
            <w:tcBorders/>
            <w:shd w:fill="FFFFFF" w:val="clear"/>
            <w:tcMar>
              <w:bottom w:w="0" w:type="dxa"/>
            </w:tcMar>
            <w:vAlign w:val="center"/>
          </w:tcPr>
          <w:p>
            <w:pPr>
              <w:pStyle w:val="TableContents"/>
              <w:bidi w:val="0"/>
              <w:spacing w:before="0" w:after="283"/>
              <w:jc w:val="right"/>
              <w:rPr/>
            </w:pPr>
            <w:r>
              <w:rPr/>
              <w:t>1,223,474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149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right"/>
              <w:rPr/>
            </w:pPr>
            <w:r>
              <w:rPr/>
              <w:t>25.7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838" w:type="dxa"/>
            <w:tcBorders/>
            <w:shd w:fill="FFFFFF" w:val="clear"/>
            <w:tcMar>
              <w:bottom w:w="0" w:type="dxa"/>
            </w:tcMar>
            <w:vAlign w:val="center"/>
          </w:tcPr>
          <w:p>
            <w:pPr>
              <w:pStyle w:val="TableContents"/>
              <w:bidi w:val="0"/>
              <w:spacing w:before="0" w:after="283"/>
              <w:jc w:val="right"/>
              <w:rPr/>
            </w:pPr>
            <w:r>
              <w:rPr/>
              <w:t>(11.1</w:t>
            </w:r>
          </w:p>
        </w:tc>
        <w:tc>
          <w:tcPr>
            <w:tcW w:w="230" w:type="dxa"/>
            <w:tcBorders/>
            <w:shd w:fill="FFFFFF" w:val="clear"/>
            <w:tcMar>
              <w:bottom w:w="0" w:type="dxa"/>
            </w:tcMar>
            <w:vAlign w:val="center"/>
          </w:tcPr>
          <w:p>
            <w:pPr>
              <w:pStyle w:val="TableContents"/>
              <w:bidi w:val="0"/>
              <w:spacing w:before="0" w:after="283"/>
              <w:jc w:val="left"/>
              <w:rPr/>
            </w:pPr>
            <w:r>
              <w:rPr/>
              <w:t>)%</w:t>
            </w:r>
            <w:bookmarkStart w:id="23" w:name="xdx_41E_20210101__20211231_zSRGdNevkf61"/>
            <w:bookmarkEnd w:id="23"/>
          </w:p>
        </w:tc>
      </w:tr>
      <w:tr>
        <w:trPr/>
        <w:tc>
          <w:tcPr>
            <w:tcW w:w="515" w:type="dxa"/>
            <w:tcBorders/>
            <w:shd w:fill="CCEEFF" w:val="clear"/>
            <w:tcMar>
              <w:bottom w:w="0" w:type="dxa"/>
            </w:tcMar>
            <w:vAlign w:val="center"/>
          </w:tcPr>
          <w:p>
            <w:pPr>
              <w:pStyle w:val="TableContents"/>
              <w:bidi w:val="0"/>
              <w:spacing w:before="0" w:after="283"/>
              <w:jc w:val="center"/>
              <w:rPr/>
            </w:pPr>
            <w:r>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6,627,653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10,670,774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1,644,825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right"/>
              <w:rPr/>
            </w:pPr>
            <w:r>
              <w:rPr/>
              <w:t>1,837,428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18.1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16.8</w:t>
            </w:r>
          </w:p>
        </w:tc>
        <w:tc>
          <w:tcPr>
            <w:tcW w:w="230" w:type="dxa"/>
            <w:tcBorders/>
            <w:shd w:fill="CCEEFF" w:val="clear"/>
            <w:tcMar>
              <w:bottom w:w="0" w:type="dxa"/>
            </w:tcMar>
            <w:vAlign w:val="center"/>
          </w:tcPr>
          <w:p>
            <w:pPr>
              <w:pStyle w:val="TableContents"/>
              <w:bidi w:val="0"/>
              <w:spacing w:before="0" w:after="283"/>
              <w:jc w:val="left"/>
              <w:rPr/>
            </w:pPr>
            <w:r>
              <w:rPr/>
              <w:t>%</w:t>
            </w:r>
            <w:bookmarkStart w:id="24" w:name="xdx_414_20200101__20201231_zm0XFVlXetf8"/>
            <w:bookmarkEnd w:id="24"/>
          </w:p>
        </w:tc>
      </w:tr>
      <w:tr>
        <w:trPr/>
        <w:tc>
          <w:tcPr>
            <w:tcW w:w="515" w:type="dxa"/>
            <w:tcBorders/>
            <w:shd w:fill="FFFFFF" w:val="clear"/>
            <w:tcMar>
              <w:bottom w:w="0" w:type="dxa"/>
            </w:tcMar>
            <w:vAlign w:val="center"/>
          </w:tcPr>
          <w:p>
            <w:pPr>
              <w:pStyle w:val="TableContents"/>
              <w:bidi w:val="0"/>
              <w:spacing w:before="0" w:after="283"/>
              <w:jc w:val="center"/>
              <w:rPr/>
            </w:pPr>
            <w:r>
              <w:rPr/>
              <w:t>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pPr>
            <w:r>
              <w:rPr/>
              <w:t>4,587,915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9,451,692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pPr>
            <w:r>
              <w:rPr/>
              <w:t>1,511,467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405" w:type="dxa"/>
            <w:tcBorders/>
            <w:shd w:fill="FFFFFF" w:val="clear"/>
            <w:tcMar>
              <w:bottom w:w="0" w:type="dxa"/>
            </w:tcMar>
            <w:vAlign w:val="center"/>
          </w:tcPr>
          <w:p>
            <w:pPr>
              <w:pStyle w:val="TableContents"/>
              <w:bidi w:val="0"/>
              <w:spacing w:before="0" w:after="283"/>
              <w:jc w:val="right"/>
              <w:rPr/>
            </w:pPr>
            <w:r>
              <w:rPr/>
              <w:t>2,283,997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141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right"/>
              <w:rPr/>
            </w:pPr>
            <w:r>
              <w:rPr/>
              <w:t>(40.2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838" w:type="dxa"/>
            <w:tcBorders/>
            <w:shd w:fill="FFFFFF" w:val="clear"/>
            <w:tcMar>
              <w:bottom w:w="0" w:type="dxa"/>
            </w:tcMar>
            <w:vAlign w:val="center"/>
          </w:tcPr>
          <w:p>
            <w:pPr>
              <w:pStyle w:val="TableContents"/>
              <w:bidi w:val="0"/>
              <w:spacing w:before="0" w:after="283"/>
              <w:jc w:val="right"/>
              <w:rPr/>
            </w:pPr>
            <w:r>
              <w:rPr/>
              <w:t>22.8</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25" w:name="xdx_89A_eecd--NamedExecutiveOfficersFnTe"/>
      <w:bookmarkEnd w:id="25"/>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dollar amounts reported are the amounts of total compensation reported for each corresponding year in the “Total” column of the Summary Compensation Table (below for 2023) for our CEO and non-CEO NEOs as a group. Our CEO was </w:t>
            </w:r>
            <w:bookmarkStart w:id="26" w:name="xdx_90D_eecd--PeoName_c20230101__2023123"/>
            <w:bookmarkEnd w:id="26"/>
            <w:r>
              <w:rPr>
                <w:rFonts w:ascii="Times New Roman;Times;Serif" w:hAnsi="Times New Roman;Times;Serif"/>
                <w:b w:val="false"/>
                <w:i w:val="false"/>
                <w:caps w:val="false"/>
                <w:smallCaps w:val="false"/>
                <w:sz w:val="20"/>
              </w:rPr>
              <w:t>Glen Messina. Our NEOs for each applicable year were as follows: (i) for 2023, Scott W. Anderson, George T. Henley, Sean B. O’Neil, Dennis Zeleny,(ii) for 2022, Scott W. Anderson, George T. Henley, Sean B. O’Neil, Dennis Zeleny, June C. Campbell and Albert J. Celini; (iii) for 2021, Scott W. Anderson, June C. Campbell, George T. Henley, Dennis Zeleny and Timothy J. Yanoti; and (iv) for 2020, Scott W. Anderson, John V. Britti, June C. Campbell and Dennis Zeleny.</w:t>
            </w:r>
          </w:p>
        </w:tc>
      </w:tr>
    </w:tbl>
    <w:p>
      <w:pPr>
        <w:pStyle w:val="TextBody"/>
        <w:bidi w:val="0"/>
        <w:spacing w:before="0" w:after="283"/>
        <w:jc w:val="left"/>
        <w:rPr/>
      </w:pPr>
      <w:bookmarkStart w:id="27" w:name="xdx_8AA_zGaRdhvU9aSj"/>
      <w:bookmarkEnd w:id="27"/>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28" w:name="xdx_899_eecd--AdjToNonPeoNeoCompFnTextBl"/>
      <w:bookmarkEnd w:id="28"/>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as “compensation actually paid” do not reflect the actual amount of compensation earned by or paid to our CEO and non-CEO NEOs as a group during the applicable year. In accordance with the requirements of Item 402(v) of Regulation S-K, the following adjustments were made to total compensation for each year to determine the “compensation actually paid”:</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7"/>
        <w:gridCol w:w="60"/>
        <w:gridCol w:w="60"/>
        <w:gridCol w:w="500"/>
        <w:gridCol w:w="60"/>
        <w:gridCol w:w="60"/>
        <w:gridCol w:w="129"/>
        <w:gridCol w:w="2118"/>
        <w:gridCol w:w="60"/>
        <w:gridCol w:w="60"/>
        <w:gridCol w:w="93"/>
        <w:gridCol w:w="1649"/>
        <w:gridCol w:w="95"/>
        <w:gridCol w:w="60"/>
        <w:gridCol w:w="92"/>
        <w:gridCol w:w="1525"/>
        <w:gridCol w:w="60"/>
        <w:gridCol w:w="60"/>
        <w:gridCol w:w="85"/>
        <w:gridCol w:w="1583"/>
        <w:gridCol w:w="79"/>
      </w:tblGrid>
      <w:tr>
        <w:trPr/>
        <w:tc>
          <w:tcPr>
            <w:tcW w:w="1717" w:type="dxa"/>
            <w:tcBorders>
              <w:bottom w:val="single" w:sz="12" w:space="0" w:color="000000"/>
            </w:tcBorders>
            <w:vAlign w:val="center"/>
          </w:tcPr>
          <w:p>
            <w:pPr>
              <w:pStyle w:val="TableContents"/>
              <w:bidi w:val="0"/>
              <w:spacing w:before="0" w:after="283"/>
              <w:jc w:val="center"/>
              <w:rPr>
                <w:b/>
              </w:rPr>
            </w:pPr>
            <w:r>
              <w:rPr>
                <w:b/>
              </w:rPr>
              <w:t>Executive(s)</w:t>
            </w:r>
          </w:p>
        </w:tc>
        <w:tc>
          <w:tcPr>
            <w:tcW w:w="60" w:type="dxa"/>
            <w:tcBorders/>
            <w:tcMar>
              <w:bottom w:w="0" w:type="dxa"/>
            </w:tcMar>
            <w:vAlign w:val="center"/>
          </w:tcPr>
          <w:p>
            <w:pPr>
              <w:pStyle w:val="TableContents"/>
              <w:bidi w:val="0"/>
              <w:spacing w:before="0" w:after="283"/>
              <w:jc w:val="center"/>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247"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Reported Summary Compensation Table Total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Value of Equity 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7"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Award Adjustments</w:t>
            </w:r>
            <w:bookmarkStart w:id="29" w:name="xdx_F5C_zv5AKGMp294g"/>
            <w:bookmarkEnd w:id="29"/>
            <w:r>
              <w:rPr>
                <w:rFonts w:ascii="Times New Roman;Times;Serif" w:hAnsi="Times New Roman;Times;Serif"/>
                <w:b/>
                <w:i w:val="false"/>
                <w:caps w:val="false"/>
                <w:smallCaps w:val="false"/>
                <w:sz w:val="20"/>
              </w:rPr>
              <w:t>(a)</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68"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tcMar>
              <w:bottom w:w="0" w:type="dxa"/>
            </w:tcMar>
            <w:vAlign w:val="center"/>
          </w:tcPr>
          <w:p>
            <w:pPr>
              <w:pStyle w:val="TableContents"/>
              <w:bidi w:val="0"/>
              <w:spacing w:before="0" w:after="283"/>
              <w:jc w:val="center"/>
              <w:rPr/>
            </w:pPr>
            <w:r>
              <w:rPr/>
              <w:t> </w:t>
            </w:r>
          </w:p>
        </w:tc>
      </w:tr>
      <w:tr>
        <w:trPr/>
        <w:tc>
          <w:tcPr>
            <w:tcW w:w="1717" w:type="dxa"/>
            <w:tcBorders/>
            <w:shd w:fill="CCEEFF" w:val="clear"/>
            <w:tcMar>
              <w:bottom w:w="0" w:type="dxa"/>
            </w:tcMar>
            <w:vAlign w:val="center"/>
          </w:tcPr>
          <w:p>
            <w:pPr>
              <w:pStyle w:val="TableContents"/>
              <w:bidi w:val="0"/>
              <w:spacing w:before="0" w:after="283"/>
              <w:jc w:val="left"/>
              <w:rPr/>
            </w:pPr>
            <w:r>
              <w:rPr/>
              <w:t>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bookmarkStart w:id="30" w:name="xdx_98B_eecd--PeoTotalCompAmt_c20230101_"/>
            <w:bookmarkEnd w:id="30"/>
          </w:p>
        </w:tc>
        <w:tc>
          <w:tcPr>
            <w:tcW w:w="2118" w:type="dxa"/>
            <w:tcBorders/>
            <w:shd w:fill="CCEEFF" w:val="clear"/>
            <w:tcMar>
              <w:bottom w:w="0" w:type="dxa"/>
            </w:tcMar>
            <w:vAlign w:val="center"/>
          </w:tcPr>
          <w:p>
            <w:pPr>
              <w:pStyle w:val="TableContents"/>
              <w:bidi w:val="0"/>
              <w:spacing w:before="0" w:after="283"/>
              <w:jc w:val="right"/>
              <w:rPr/>
            </w:pPr>
            <w:r>
              <w:rPr/>
              <w:t>8,153,781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bookmarkStart w:id="31" w:name="xdx_98B_eecd--AdjToCompAmt_c20230101__20"/>
            <w:bookmarkEnd w:id="31"/>
          </w:p>
        </w:tc>
        <w:tc>
          <w:tcPr>
            <w:tcW w:w="1649" w:type="dxa"/>
            <w:tcBorders/>
            <w:shd w:fill="CCEEFF" w:val="clear"/>
            <w:tcMar>
              <w:bottom w:w="0" w:type="dxa"/>
            </w:tcMar>
            <w:vAlign w:val="center"/>
          </w:tcPr>
          <w:p>
            <w:pPr>
              <w:pStyle w:val="TableContents"/>
              <w:bidi w:val="0"/>
              <w:spacing w:before="0" w:after="283"/>
              <w:jc w:val="right"/>
              <w:rPr/>
            </w:pPr>
            <w:r>
              <w:rPr/>
              <w:t>(5,563,820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bookmarkStart w:id="32" w:name="xdx_98D_eecd--AdjToCompAmt_c20230101__20"/>
            <w:bookmarkEnd w:id="32"/>
          </w:p>
        </w:tc>
        <w:tc>
          <w:tcPr>
            <w:tcW w:w="1525" w:type="dxa"/>
            <w:tcBorders/>
            <w:shd w:fill="CCEEFF" w:val="clear"/>
            <w:tcMar>
              <w:bottom w:w="0" w:type="dxa"/>
            </w:tcMar>
            <w:vAlign w:val="center"/>
          </w:tcPr>
          <w:p>
            <w:pPr>
              <w:pStyle w:val="TableContents"/>
              <w:bidi w:val="0"/>
              <w:spacing w:before="0" w:after="283"/>
              <w:jc w:val="right"/>
              <w:rPr/>
            </w:pPr>
            <w:r>
              <w:rPr/>
              <w:t>2,228,698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bookmarkStart w:id="33" w:name="xdx_981_eecd--PeoActuallyPaidCompAmt_c20"/>
            <w:bookmarkEnd w:id="33"/>
          </w:p>
        </w:tc>
        <w:tc>
          <w:tcPr>
            <w:tcW w:w="1583" w:type="dxa"/>
            <w:tcBorders/>
            <w:shd w:fill="CCEEFF" w:val="clear"/>
            <w:tcMar>
              <w:bottom w:w="0" w:type="dxa"/>
            </w:tcMar>
            <w:vAlign w:val="center"/>
          </w:tcPr>
          <w:p>
            <w:pPr>
              <w:pStyle w:val="TableContents"/>
              <w:bidi w:val="0"/>
              <w:spacing w:before="0" w:after="283"/>
              <w:jc w:val="right"/>
              <w:rPr/>
            </w:pPr>
            <w:r>
              <w:rPr/>
              <w:t>4,818,659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bookmarkStart w:id="34" w:name="xdx_981_eecd--PeoTotalCompAmt_c20220101_"/>
            <w:bookmarkEnd w:id="34"/>
          </w:p>
        </w:tc>
        <w:tc>
          <w:tcPr>
            <w:tcW w:w="2118" w:type="dxa"/>
            <w:tcBorders/>
            <w:shd w:fill="CCEEFF" w:val="clear"/>
            <w:tcMar>
              <w:bottom w:w="0" w:type="dxa"/>
            </w:tcMar>
            <w:vAlign w:val="center"/>
          </w:tcPr>
          <w:p>
            <w:pPr>
              <w:pStyle w:val="TableContents"/>
              <w:bidi w:val="0"/>
              <w:spacing w:before="0" w:after="283"/>
              <w:jc w:val="right"/>
              <w:rPr/>
            </w:pPr>
            <w:r>
              <w:rPr/>
              <w:t>6,029,718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bookmarkStart w:id="35" w:name="xdx_98D_eecd--AdjToCompAmt_c20220101__20"/>
            <w:bookmarkEnd w:id="35"/>
          </w:p>
        </w:tc>
        <w:tc>
          <w:tcPr>
            <w:tcW w:w="1649" w:type="dxa"/>
            <w:tcBorders/>
            <w:shd w:fill="CCEEFF" w:val="clear"/>
            <w:tcMar>
              <w:bottom w:w="0" w:type="dxa"/>
            </w:tcMar>
            <w:vAlign w:val="center"/>
          </w:tcPr>
          <w:p>
            <w:pPr>
              <w:pStyle w:val="TableContents"/>
              <w:bidi w:val="0"/>
              <w:spacing w:before="0" w:after="283"/>
              <w:jc w:val="right"/>
              <w:rPr/>
            </w:pPr>
            <w:r>
              <w:rPr/>
              <w:t>(4,233,065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bookmarkStart w:id="36" w:name="xdx_98C_eecd--AdjToCompAmt_c20220101__20"/>
            <w:bookmarkEnd w:id="36"/>
          </w:p>
        </w:tc>
        <w:tc>
          <w:tcPr>
            <w:tcW w:w="1525" w:type="dxa"/>
            <w:tcBorders/>
            <w:shd w:fill="CCEEFF" w:val="clear"/>
            <w:tcMar>
              <w:bottom w:w="0" w:type="dxa"/>
            </w:tcMar>
            <w:vAlign w:val="center"/>
          </w:tcPr>
          <w:p>
            <w:pPr>
              <w:pStyle w:val="TableContents"/>
              <w:bidi w:val="0"/>
              <w:spacing w:before="0" w:after="283"/>
              <w:jc w:val="right"/>
              <w:rPr/>
            </w:pPr>
            <w:r>
              <w:rPr/>
              <w:t>925,981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bookmarkStart w:id="37" w:name="xdx_98B_eecd--PeoActuallyPaidCompAmt_c20"/>
            <w:bookmarkEnd w:id="37"/>
          </w:p>
        </w:tc>
        <w:tc>
          <w:tcPr>
            <w:tcW w:w="1583" w:type="dxa"/>
            <w:tcBorders/>
            <w:shd w:fill="CCEEFF" w:val="clear"/>
            <w:tcMar>
              <w:bottom w:w="0" w:type="dxa"/>
            </w:tcMar>
            <w:vAlign w:val="center"/>
          </w:tcPr>
          <w:p>
            <w:pPr>
              <w:pStyle w:val="TableContents"/>
              <w:bidi w:val="0"/>
              <w:spacing w:before="0" w:after="283"/>
              <w:jc w:val="right"/>
              <w:rPr/>
            </w:pPr>
            <w:r>
              <w:rPr/>
              <w:t>2,722,635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bookmarkStart w:id="38" w:name="xdx_986_eecd--PeoTotalCompAmt_c20210101_"/>
            <w:bookmarkEnd w:id="38"/>
          </w:p>
        </w:tc>
        <w:tc>
          <w:tcPr>
            <w:tcW w:w="2118" w:type="dxa"/>
            <w:tcBorders/>
            <w:shd w:fill="CCEEFF" w:val="clear"/>
            <w:tcMar>
              <w:bottom w:w="0" w:type="dxa"/>
            </w:tcMar>
            <w:vAlign w:val="center"/>
          </w:tcPr>
          <w:p>
            <w:pPr>
              <w:pStyle w:val="TableContents"/>
              <w:bidi w:val="0"/>
              <w:spacing w:before="0" w:after="283"/>
              <w:jc w:val="right"/>
              <w:rPr/>
            </w:pPr>
            <w:r>
              <w:rPr/>
              <w:t>6,627,653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bookmarkStart w:id="39" w:name="xdx_982_eecd--AdjToCompAmt_c20210101__20"/>
            <w:bookmarkEnd w:id="39"/>
          </w:p>
        </w:tc>
        <w:tc>
          <w:tcPr>
            <w:tcW w:w="1649" w:type="dxa"/>
            <w:tcBorders/>
            <w:shd w:fill="CCEEFF" w:val="clear"/>
            <w:tcMar>
              <w:bottom w:w="0" w:type="dxa"/>
            </w:tcMar>
            <w:vAlign w:val="center"/>
          </w:tcPr>
          <w:p>
            <w:pPr>
              <w:pStyle w:val="TableContents"/>
              <w:bidi w:val="0"/>
              <w:spacing w:before="0" w:after="283"/>
              <w:jc w:val="right"/>
              <w:rPr/>
            </w:pPr>
            <w:r>
              <w:rPr/>
              <w:t>(3,914,160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bookmarkStart w:id="40" w:name="xdx_98A_eecd--AdjToCompAmt_c20210101__20"/>
            <w:bookmarkEnd w:id="40"/>
          </w:p>
        </w:tc>
        <w:tc>
          <w:tcPr>
            <w:tcW w:w="1525" w:type="dxa"/>
            <w:tcBorders/>
            <w:shd w:fill="CCEEFF" w:val="clear"/>
            <w:tcMar>
              <w:bottom w:w="0" w:type="dxa"/>
            </w:tcMar>
            <w:vAlign w:val="center"/>
          </w:tcPr>
          <w:p>
            <w:pPr>
              <w:pStyle w:val="TableContents"/>
              <w:bidi w:val="0"/>
              <w:spacing w:before="0" w:after="283"/>
              <w:jc w:val="right"/>
              <w:rPr/>
            </w:pPr>
            <w:r>
              <w:rPr/>
              <w:t>7,957,281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bookmarkStart w:id="41" w:name="xdx_98C_eecd--PeoActuallyPaidCompAmt_c20"/>
            <w:bookmarkEnd w:id="41"/>
          </w:p>
        </w:tc>
        <w:tc>
          <w:tcPr>
            <w:tcW w:w="1583" w:type="dxa"/>
            <w:tcBorders/>
            <w:shd w:fill="CCEEFF" w:val="clear"/>
            <w:tcMar>
              <w:bottom w:w="0" w:type="dxa"/>
            </w:tcMar>
            <w:vAlign w:val="center"/>
          </w:tcPr>
          <w:p>
            <w:pPr>
              <w:pStyle w:val="TableContents"/>
              <w:bidi w:val="0"/>
              <w:spacing w:before="0" w:after="283"/>
              <w:jc w:val="right"/>
              <w:rPr/>
            </w:pPr>
            <w:r>
              <w:rPr/>
              <w:t>10,670,774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bookmarkStart w:id="42" w:name="xdx_984_eecd--PeoTotalCompAmt_c20200101_"/>
            <w:bookmarkEnd w:id="42"/>
          </w:p>
        </w:tc>
        <w:tc>
          <w:tcPr>
            <w:tcW w:w="2118" w:type="dxa"/>
            <w:tcBorders/>
            <w:shd w:fill="CCEEFF" w:val="clear"/>
            <w:tcMar>
              <w:bottom w:w="0" w:type="dxa"/>
            </w:tcMar>
            <w:vAlign w:val="center"/>
          </w:tcPr>
          <w:p>
            <w:pPr>
              <w:pStyle w:val="TableContents"/>
              <w:bidi w:val="0"/>
              <w:spacing w:before="0" w:after="283"/>
              <w:jc w:val="right"/>
              <w:rPr/>
            </w:pPr>
            <w:r>
              <w:rPr/>
              <w:t>4,587,915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bookmarkStart w:id="43" w:name="xdx_98B_eecd--AdjToCompAmt_c20200101__20"/>
            <w:bookmarkEnd w:id="43"/>
          </w:p>
        </w:tc>
        <w:tc>
          <w:tcPr>
            <w:tcW w:w="1649" w:type="dxa"/>
            <w:tcBorders/>
            <w:shd w:fill="CCEEFF" w:val="clear"/>
            <w:tcMar>
              <w:bottom w:w="0" w:type="dxa"/>
            </w:tcMar>
            <w:vAlign w:val="center"/>
          </w:tcPr>
          <w:p>
            <w:pPr>
              <w:pStyle w:val="TableContents"/>
              <w:bidi w:val="0"/>
              <w:spacing w:before="0" w:after="283"/>
              <w:jc w:val="right"/>
              <w:rPr/>
            </w:pPr>
            <w:r>
              <w:rPr/>
              <w:t>(1,316,250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bookmarkStart w:id="44" w:name="xdx_988_eecd--AdjToCompAmt_c20200101__20"/>
            <w:bookmarkEnd w:id="44"/>
          </w:p>
        </w:tc>
        <w:tc>
          <w:tcPr>
            <w:tcW w:w="1525" w:type="dxa"/>
            <w:tcBorders/>
            <w:shd w:fill="CCEEFF" w:val="clear"/>
            <w:tcMar>
              <w:bottom w:w="0" w:type="dxa"/>
            </w:tcMar>
            <w:vAlign w:val="center"/>
          </w:tcPr>
          <w:p>
            <w:pPr>
              <w:pStyle w:val="TableContents"/>
              <w:bidi w:val="0"/>
              <w:spacing w:before="0" w:after="283"/>
              <w:jc w:val="right"/>
              <w:rPr/>
            </w:pPr>
            <w:r>
              <w:rPr/>
              <w:t>6,180,028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bookmarkStart w:id="45" w:name="xdx_983_eecd--PeoActuallyPaidCompAmt_c20"/>
            <w:bookmarkEnd w:id="45"/>
          </w:p>
        </w:tc>
        <w:tc>
          <w:tcPr>
            <w:tcW w:w="1583" w:type="dxa"/>
            <w:tcBorders/>
            <w:shd w:fill="CCEEFF" w:val="clear"/>
            <w:tcMar>
              <w:bottom w:w="0" w:type="dxa"/>
            </w:tcMar>
            <w:vAlign w:val="center"/>
          </w:tcPr>
          <w:p>
            <w:pPr>
              <w:pStyle w:val="TableContents"/>
              <w:bidi w:val="0"/>
              <w:spacing w:before="0" w:after="283"/>
              <w:jc w:val="right"/>
              <w:rPr/>
            </w:pPr>
            <w:r>
              <w:rPr/>
              <w:t>9,451,692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17" w:type="dxa"/>
            <w:tcBorders/>
            <w:shd w:fill="FFFFFF" w:val="clear"/>
            <w:tcMar>
              <w:bottom w:w="0" w:type="dxa"/>
            </w:tcMar>
            <w:vAlign w:val="center"/>
          </w:tcPr>
          <w:p>
            <w:pPr>
              <w:pStyle w:val="TableContents"/>
              <w:bidi w:val="0"/>
              <w:spacing w:before="0" w:after="283"/>
              <w:jc w:val="left"/>
              <w:rPr/>
            </w:pPr>
            <w:r>
              <w:rPr/>
              <w:t>Average of Non-CEO NEOs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bookmarkStart w:id="46" w:name="xdx_98A_eecd--NonPeoNeoAvgTotalCompAmt_c"/>
            <w:bookmarkEnd w:id="46"/>
          </w:p>
        </w:tc>
        <w:tc>
          <w:tcPr>
            <w:tcW w:w="2118" w:type="dxa"/>
            <w:tcBorders/>
            <w:shd w:fill="FFFFFF" w:val="clear"/>
            <w:tcMar>
              <w:bottom w:w="0" w:type="dxa"/>
            </w:tcMar>
            <w:vAlign w:val="center"/>
          </w:tcPr>
          <w:p>
            <w:pPr>
              <w:pStyle w:val="TableContents"/>
              <w:bidi w:val="0"/>
              <w:spacing w:before="0" w:after="283"/>
              <w:jc w:val="right"/>
              <w:rPr/>
            </w:pPr>
            <w:r>
              <w:rPr/>
              <w:t>2,345,570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bookmarkStart w:id="47" w:name="xdx_982_eecd--AdjToCompAmt_c20230101__20"/>
            <w:bookmarkEnd w:id="47"/>
          </w:p>
        </w:tc>
        <w:tc>
          <w:tcPr>
            <w:tcW w:w="1649" w:type="dxa"/>
            <w:tcBorders/>
            <w:shd w:fill="FFFFFF" w:val="clear"/>
            <w:tcMar>
              <w:bottom w:w="0" w:type="dxa"/>
            </w:tcMar>
            <w:vAlign w:val="center"/>
          </w:tcPr>
          <w:p>
            <w:pPr>
              <w:pStyle w:val="TableContents"/>
              <w:bidi w:val="0"/>
              <w:spacing w:before="0" w:after="283"/>
              <w:jc w:val="right"/>
              <w:rPr/>
            </w:pPr>
            <w:r>
              <w:rPr/>
              <w:t>(1,034,798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bookmarkStart w:id="48" w:name="xdx_983_eecd--AdjToCompAmt_c20230101__20"/>
            <w:bookmarkEnd w:id="48"/>
          </w:p>
        </w:tc>
        <w:tc>
          <w:tcPr>
            <w:tcW w:w="1525" w:type="dxa"/>
            <w:tcBorders/>
            <w:shd w:fill="FFFFFF" w:val="clear"/>
            <w:tcMar>
              <w:bottom w:w="0" w:type="dxa"/>
            </w:tcMar>
            <w:vAlign w:val="center"/>
          </w:tcPr>
          <w:p>
            <w:pPr>
              <w:pStyle w:val="TableContents"/>
              <w:bidi w:val="0"/>
              <w:spacing w:before="0" w:after="283"/>
              <w:jc w:val="right"/>
              <w:rPr/>
            </w:pPr>
            <w:r>
              <w:rPr/>
              <w:t>311,300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bookmarkStart w:id="49" w:name="xdx_98E_eecd--NonPeoNeoAvgCompActuallyPa"/>
            <w:bookmarkEnd w:id="49"/>
          </w:p>
        </w:tc>
        <w:tc>
          <w:tcPr>
            <w:tcW w:w="1583" w:type="dxa"/>
            <w:tcBorders/>
            <w:shd w:fill="FFFFFF" w:val="clear"/>
            <w:tcMar>
              <w:bottom w:w="0" w:type="dxa"/>
            </w:tcMar>
            <w:vAlign w:val="center"/>
          </w:tcPr>
          <w:p>
            <w:pPr>
              <w:pStyle w:val="TableContents"/>
              <w:bidi w:val="0"/>
              <w:spacing w:before="0" w:after="283"/>
              <w:jc w:val="right"/>
              <w:rPr/>
            </w:pPr>
            <w:r>
              <w:rPr/>
              <w:t>1,622,072</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7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bookmarkStart w:id="50" w:name="xdx_98F_eecd--NonPeoNeoAvgTotalCompAmt_c"/>
            <w:bookmarkEnd w:id="50"/>
          </w:p>
        </w:tc>
        <w:tc>
          <w:tcPr>
            <w:tcW w:w="2118" w:type="dxa"/>
            <w:tcBorders/>
            <w:shd w:fill="FFFFFF" w:val="clear"/>
            <w:tcMar>
              <w:bottom w:w="0" w:type="dxa"/>
            </w:tcMar>
            <w:vAlign w:val="center"/>
          </w:tcPr>
          <w:p>
            <w:pPr>
              <w:pStyle w:val="TableContents"/>
              <w:bidi w:val="0"/>
              <w:spacing w:before="0" w:after="283"/>
              <w:jc w:val="right"/>
              <w:rPr/>
            </w:pPr>
            <w:r>
              <w:rPr/>
              <w:t>1,739,912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bookmarkStart w:id="51" w:name="xdx_980_eecd--AdjToCompAmt_c20220101__20"/>
            <w:bookmarkEnd w:id="51"/>
          </w:p>
        </w:tc>
        <w:tc>
          <w:tcPr>
            <w:tcW w:w="1649" w:type="dxa"/>
            <w:tcBorders/>
            <w:shd w:fill="FFFFFF" w:val="clear"/>
            <w:tcMar>
              <w:bottom w:w="0" w:type="dxa"/>
            </w:tcMar>
            <w:vAlign w:val="center"/>
          </w:tcPr>
          <w:p>
            <w:pPr>
              <w:pStyle w:val="TableContents"/>
              <w:bidi w:val="0"/>
              <w:spacing w:before="0" w:after="283"/>
              <w:jc w:val="right"/>
              <w:rPr/>
            </w:pPr>
            <w:r>
              <w:rPr/>
              <w:t>(692,544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bookmarkStart w:id="52" w:name="xdx_985_eecd--AdjToCompAmt_c20220101__20"/>
            <w:bookmarkEnd w:id="52"/>
          </w:p>
        </w:tc>
        <w:tc>
          <w:tcPr>
            <w:tcW w:w="1525" w:type="dxa"/>
            <w:tcBorders/>
            <w:shd w:fill="FFFFFF" w:val="clear"/>
            <w:tcMar>
              <w:bottom w:w="0" w:type="dxa"/>
            </w:tcMar>
            <w:vAlign w:val="center"/>
          </w:tcPr>
          <w:p>
            <w:pPr>
              <w:pStyle w:val="TableContents"/>
              <w:bidi w:val="0"/>
              <w:spacing w:before="0" w:after="283"/>
              <w:jc w:val="right"/>
              <w:rPr/>
            </w:pPr>
            <w:r>
              <w:rPr/>
              <w:t>176,106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bookmarkStart w:id="53" w:name="xdx_98D_eecd--NonPeoNeoAvgCompActuallyPa"/>
            <w:bookmarkEnd w:id="53"/>
          </w:p>
        </w:tc>
        <w:tc>
          <w:tcPr>
            <w:tcW w:w="1583" w:type="dxa"/>
            <w:tcBorders/>
            <w:shd w:fill="FFFFFF" w:val="clear"/>
            <w:tcMar>
              <w:bottom w:w="0" w:type="dxa"/>
            </w:tcMar>
            <w:vAlign w:val="center"/>
          </w:tcPr>
          <w:p>
            <w:pPr>
              <w:pStyle w:val="TableContents"/>
              <w:bidi w:val="0"/>
              <w:spacing w:before="0" w:after="283"/>
              <w:jc w:val="right"/>
              <w:rPr/>
            </w:pPr>
            <w:r>
              <w:rPr/>
              <w:t>1,223,474</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7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bookmarkStart w:id="54" w:name="xdx_985_eecd--NonPeoNeoAvgTotalCompAmt_c"/>
            <w:bookmarkEnd w:id="54"/>
          </w:p>
        </w:tc>
        <w:tc>
          <w:tcPr>
            <w:tcW w:w="2118" w:type="dxa"/>
            <w:tcBorders/>
            <w:shd w:fill="FFFFFF" w:val="clear"/>
            <w:tcMar>
              <w:bottom w:w="0" w:type="dxa"/>
            </w:tcMar>
            <w:vAlign w:val="center"/>
          </w:tcPr>
          <w:p>
            <w:pPr>
              <w:pStyle w:val="TableContents"/>
              <w:bidi w:val="0"/>
              <w:spacing w:before="0" w:after="283"/>
              <w:jc w:val="right"/>
              <w:rPr/>
            </w:pPr>
            <w:r>
              <w:rPr/>
              <w:t>1,644,825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bookmarkStart w:id="55" w:name="xdx_989_eecd--AdjToCompAmt_c20210101__20"/>
            <w:bookmarkEnd w:id="55"/>
          </w:p>
        </w:tc>
        <w:tc>
          <w:tcPr>
            <w:tcW w:w="1649" w:type="dxa"/>
            <w:tcBorders/>
            <w:shd w:fill="FFFFFF" w:val="clear"/>
            <w:tcMar>
              <w:bottom w:w="0" w:type="dxa"/>
            </w:tcMar>
            <w:vAlign w:val="center"/>
          </w:tcPr>
          <w:p>
            <w:pPr>
              <w:pStyle w:val="TableContents"/>
              <w:bidi w:val="0"/>
              <w:spacing w:before="0" w:after="283"/>
              <w:jc w:val="right"/>
              <w:rPr/>
            </w:pPr>
            <w:r>
              <w:rPr/>
              <w:t>(406,315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bookmarkStart w:id="56" w:name="xdx_986_eecd--AdjToCompAmt_c20210101__20"/>
            <w:bookmarkEnd w:id="56"/>
          </w:p>
        </w:tc>
        <w:tc>
          <w:tcPr>
            <w:tcW w:w="1525" w:type="dxa"/>
            <w:tcBorders/>
            <w:shd w:fill="FFFFFF" w:val="clear"/>
            <w:tcMar>
              <w:bottom w:w="0" w:type="dxa"/>
            </w:tcMar>
            <w:vAlign w:val="center"/>
          </w:tcPr>
          <w:p>
            <w:pPr>
              <w:pStyle w:val="TableContents"/>
              <w:bidi w:val="0"/>
              <w:spacing w:before="0" w:after="283"/>
              <w:jc w:val="right"/>
              <w:rPr/>
            </w:pPr>
            <w:r>
              <w:rPr/>
              <w:t>598,919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bookmarkStart w:id="57" w:name="xdx_984_eecd--NonPeoNeoAvgCompActuallyPa"/>
            <w:bookmarkEnd w:id="57"/>
          </w:p>
        </w:tc>
        <w:tc>
          <w:tcPr>
            <w:tcW w:w="1583" w:type="dxa"/>
            <w:tcBorders/>
            <w:shd w:fill="FFFFFF" w:val="clear"/>
            <w:tcMar>
              <w:bottom w:w="0" w:type="dxa"/>
            </w:tcMar>
            <w:vAlign w:val="center"/>
          </w:tcPr>
          <w:p>
            <w:pPr>
              <w:pStyle w:val="TableContents"/>
              <w:bidi w:val="0"/>
              <w:spacing w:before="0" w:after="283"/>
              <w:jc w:val="right"/>
              <w:rPr/>
            </w:pPr>
            <w:r>
              <w:rPr/>
              <w:t>1,837,428</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7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bookmarkStart w:id="58" w:name="xdx_987_eecd--NonPeoNeoAvgTotalCompAmt_c"/>
            <w:bookmarkEnd w:id="58"/>
          </w:p>
        </w:tc>
        <w:tc>
          <w:tcPr>
            <w:tcW w:w="2118" w:type="dxa"/>
            <w:tcBorders/>
            <w:shd w:fill="FFFFFF" w:val="clear"/>
            <w:tcMar>
              <w:bottom w:w="0" w:type="dxa"/>
            </w:tcMar>
            <w:vAlign w:val="center"/>
          </w:tcPr>
          <w:p>
            <w:pPr>
              <w:pStyle w:val="TableContents"/>
              <w:bidi w:val="0"/>
              <w:spacing w:before="0" w:after="283"/>
              <w:jc w:val="right"/>
              <w:rPr/>
            </w:pPr>
            <w:r>
              <w:rPr/>
              <w:t>1,511,467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bookmarkStart w:id="59" w:name="xdx_986_eecd--AdjToCompAmt_c20200101__20"/>
            <w:bookmarkEnd w:id="59"/>
          </w:p>
        </w:tc>
        <w:tc>
          <w:tcPr>
            <w:tcW w:w="1649" w:type="dxa"/>
            <w:tcBorders/>
            <w:shd w:fill="FFFFFF" w:val="clear"/>
            <w:tcMar>
              <w:bottom w:w="0" w:type="dxa"/>
            </w:tcMar>
            <w:vAlign w:val="center"/>
          </w:tcPr>
          <w:p>
            <w:pPr>
              <w:pStyle w:val="TableContents"/>
              <w:bidi w:val="0"/>
              <w:spacing w:before="0" w:after="283"/>
              <w:jc w:val="right"/>
              <w:rPr/>
            </w:pPr>
            <w:r>
              <w:rPr/>
              <w:t>(321,086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bookmarkStart w:id="60" w:name="xdx_989_eecd--AdjToCompAmt_c20200101__20"/>
            <w:bookmarkEnd w:id="60"/>
          </w:p>
        </w:tc>
        <w:tc>
          <w:tcPr>
            <w:tcW w:w="1525" w:type="dxa"/>
            <w:tcBorders/>
            <w:shd w:fill="FFFFFF" w:val="clear"/>
            <w:tcMar>
              <w:bottom w:w="0" w:type="dxa"/>
            </w:tcMar>
            <w:vAlign w:val="center"/>
          </w:tcPr>
          <w:p>
            <w:pPr>
              <w:pStyle w:val="TableContents"/>
              <w:bidi w:val="0"/>
              <w:spacing w:before="0" w:after="283"/>
              <w:jc w:val="right"/>
              <w:rPr/>
            </w:pPr>
            <w:r>
              <w:rPr/>
              <w:t>1,093,616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bookmarkStart w:id="61" w:name="xdx_984_eecd--NonPeoNeoAvgCompActuallyPa"/>
            <w:bookmarkEnd w:id="61"/>
          </w:p>
        </w:tc>
        <w:tc>
          <w:tcPr>
            <w:tcW w:w="1583" w:type="dxa"/>
            <w:tcBorders/>
            <w:shd w:fill="FFFFFF" w:val="clear"/>
            <w:tcMar>
              <w:bottom w:w="0" w:type="dxa"/>
            </w:tcMar>
            <w:vAlign w:val="center"/>
          </w:tcPr>
          <w:p>
            <w:pPr>
              <w:pStyle w:val="TableContents"/>
              <w:bidi w:val="0"/>
              <w:spacing w:before="0" w:after="283"/>
              <w:jc w:val="right"/>
              <w:rPr/>
            </w:pPr>
            <w:r>
              <w:rPr/>
              <w:t>2,283,997</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the amount equal to the fair value at the end of the prior fiscal year. The valuation assumptions used to calculate fair values did not materially differ from those disclosed at the time of grant . The amounts deducted or added in calculating the equity award adjustments are as follows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tc>
      </w:tr>
    </w:tbl>
    <w:p>
      <w:pPr>
        <w:pStyle w:val="TextBody"/>
        <w:bidi w:val="0"/>
        <w:spacing w:before="0" w:after="0"/>
        <w:ind w:left="9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6"/>
        <w:gridCol w:w="60"/>
        <w:gridCol w:w="60"/>
        <w:gridCol w:w="500"/>
        <w:gridCol w:w="60"/>
        <w:gridCol w:w="60"/>
        <w:gridCol w:w="69"/>
        <w:gridCol w:w="1127"/>
        <w:gridCol w:w="60"/>
        <w:gridCol w:w="60"/>
        <w:gridCol w:w="74"/>
        <w:gridCol w:w="1309"/>
        <w:gridCol w:w="95"/>
        <w:gridCol w:w="60"/>
        <w:gridCol w:w="79"/>
        <w:gridCol w:w="895"/>
        <w:gridCol w:w="60"/>
        <w:gridCol w:w="60"/>
        <w:gridCol w:w="76"/>
        <w:gridCol w:w="1336"/>
        <w:gridCol w:w="95"/>
        <w:gridCol w:w="60"/>
        <w:gridCol w:w="76"/>
        <w:gridCol w:w="1350"/>
        <w:gridCol w:w="95"/>
        <w:gridCol w:w="60"/>
        <w:gridCol w:w="63"/>
        <w:gridCol w:w="1059"/>
        <w:gridCol w:w="81"/>
      </w:tblGrid>
      <w:tr>
        <w:trPr/>
        <w:tc>
          <w:tcPr>
            <w:tcW w:w="1166" w:type="dxa"/>
            <w:tcBorders>
              <w:bottom w:val="single" w:sz="12" w:space="0" w:color="000000"/>
            </w:tcBorders>
            <w:vAlign w:val="center"/>
          </w:tcPr>
          <w:p>
            <w:pPr>
              <w:pStyle w:val="TableContents"/>
              <w:bidi w:val="0"/>
              <w:spacing w:before="0" w:after="283"/>
              <w:jc w:val="center"/>
              <w:rPr>
                <w:b/>
              </w:rPr>
            </w:pPr>
            <w:r>
              <w:rPr>
                <w:b/>
              </w:rPr>
              <w:t>Executive(s)</w:t>
            </w:r>
          </w:p>
        </w:tc>
        <w:tc>
          <w:tcPr>
            <w:tcW w:w="60" w:type="dxa"/>
            <w:tcBorders/>
            <w:tcMar>
              <w:bottom w:w="0" w:type="dxa"/>
            </w:tcMar>
            <w:vAlign w:val="center"/>
          </w:tcPr>
          <w:p>
            <w:pPr>
              <w:pStyle w:val="TableContents"/>
              <w:bidi w:val="0"/>
              <w:spacing w:before="0" w:after="283"/>
              <w:jc w:val="center"/>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 Fair Value of Equity Awards Granted in the Year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3"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over Year Change in Fair Value of Prior Year Outstanding and Unvested Equity Awards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7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as of Vesting Date of Equity Awards Granted and Vested in the Year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1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over Year Change in Fair Value of Equity Awards Granted in Prior Years that Vested in the Year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2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at the End of the Prior Year of Equity Awards that Failed to Meet Vesting Conditions in the Year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Award Adjustments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tcMar>
              <w:bottom w:w="0" w:type="dxa"/>
            </w:tcMar>
            <w:vAlign w:val="center"/>
          </w:tcPr>
          <w:p>
            <w:pPr>
              <w:pStyle w:val="TableContents"/>
              <w:bidi w:val="0"/>
              <w:spacing w:before="0" w:after="283"/>
              <w:jc w:val="center"/>
              <w:rPr/>
            </w:pPr>
            <w:r>
              <w:rPr/>
              <w:t> </w:t>
            </w:r>
          </w:p>
        </w:tc>
      </w:tr>
      <w:tr>
        <w:trPr/>
        <w:tc>
          <w:tcPr>
            <w:tcW w:w="1166" w:type="dxa"/>
            <w:tcBorders/>
            <w:shd w:fill="CCEEFF" w:val="clear"/>
            <w:tcMar>
              <w:bottom w:w="0" w:type="dxa"/>
            </w:tcMar>
            <w:vAlign w:val="center"/>
          </w:tcPr>
          <w:p>
            <w:pPr>
              <w:pStyle w:val="TableContents"/>
              <w:bidi w:val="0"/>
              <w:spacing w:before="0" w:after="283"/>
              <w:jc w:val="left"/>
              <w:rPr/>
            </w:pPr>
            <w:r>
              <w:rPr/>
              <w:t>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bookmarkStart w:id="62" w:name="xdx_98D_eecd--AdjToCompAmt_c20230101__20"/>
            <w:bookmarkEnd w:id="62"/>
          </w:p>
        </w:tc>
        <w:tc>
          <w:tcPr>
            <w:tcW w:w="1127" w:type="dxa"/>
            <w:tcBorders/>
            <w:shd w:fill="CCEEFF" w:val="clear"/>
            <w:tcMar>
              <w:bottom w:w="0" w:type="dxa"/>
            </w:tcMar>
            <w:vAlign w:val="center"/>
          </w:tcPr>
          <w:p>
            <w:pPr>
              <w:pStyle w:val="TableContents"/>
              <w:bidi w:val="0"/>
              <w:spacing w:before="0" w:after="283"/>
              <w:jc w:val="right"/>
              <w:rPr/>
            </w:pPr>
            <w:r>
              <w:rPr/>
              <w:t>4,955,391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bookmarkStart w:id="63" w:name="xdx_985_eecd--AdjToCompAmt_c20230101__20"/>
            <w:bookmarkEnd w:id="63"/>
          </w:p>
        </w:tc>
        <w:tc>
          <w:tcPr>
            <w:tcW w:w="1309" w:type="dxa"/>
            <w:tcBorders/>
            <w:shd w:fill="CCEEFF" w:val="clear"/>
            <w:tcMar>
              <w:bottom w:w="0" w:type="dxa"/>
            </w:tcMar>
            <w:vAlign w:val="center"/>
          </w:tcPr>
          <w:p>
            <w:pPr>
              <w:pStyle w:val="TableContents"/>
              <w:bidi w:val="0"/>
              <w:spacing w:before="0" w:after="283"/>
              <w:jc w:val="right"/>
              <w:rPr/>
            </w:pPr>
            <w:r>
              <w:rPr/>
              <w:t>(402,504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64" w:name="xdx_98F_eecd--AdjToCompAmt_c20230101__20"/>
            <w:bookmarkEnd w:id="64"/>
          </w:p>
        </w:tc>
        <w:tc>
          <w:tcPr>
            <w:tcW w:w="8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65" w:name="xdx_98F_eecd--AdjToCompAmt_c20230101__20"/>
            <w:bookmarkEnd w:id="65"/>
          </w:p>
        </w:tc>
        <w:tc>
          <w:tcPr>
            <w:tcW w:w="1336" w:type="dxa"/>
            <w:tcBorders/>
            <w:shd w:fill="CCEEFF" w:val="clear"/>
            <w:tcMar>
              <w:bottom w:w="0" w:type="dxa"/>
            </w:tcMar>
            <w:vAlign w:val="center"/>
          </w:tcPr>
          <w:p>
            <w:pPr>
              <w:pStyle w:val="TableContents"/>
              <w:bidi w:val="0"/>
              <w:spacing w:before="0" w:after="283"/>
              <w:jc w:val="right"/>
              <w:rPr/>
            </w:pPr>
            <w:r>
              <w:rPr/>
              <w:t>(2,324,188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66" w:name="xdx_986_eecd--AdjToCompAmt_c20230101__20"/>
            <w:bookmarkEnd w:id="66"/>
          </w:p>
        </w:tc>
        <w:tc>
          <w:tcPr>
            <w:tcW w:w="13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bookmarkStart w:id="67" w:name="xdx_98B_eecd--AdjToCompAmt_c20230101__20"/>
            <w:bookmarkEnd w:id="67"/>
          </w:p>
        </w:tc>
        <w:tc>
          <w:tcPr>
            <w:tcW w:w="1059" w:type="dxa"/>
            <w:tcBorders/>
            <w:shd w:fill="CCEEFF" w:val="clear"/>
            <w:tcMar>
              <w:bottom w:w="0" w:type="dxa"/>
            </w:tcMar>
            <w:vAlign w:val="center"/>
          </w:tcPr>
          <w:p>
            <w:pPr>
              <w:pStyle w:val="TableContents"/>
              <w:bidi w:val="0"/>
              <w:spacing w:before="0" w:after="283"/>
              <w:jc w:val="right"/>
              <w:rPr/>
            </w:pPr>
            <w:r>
              <w:rPr/>
              <w:t>2,228,698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6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bookmarkStart w:id="68" w:name="xdx_98D_eecd--AdjToCompAmt_c20220101__20"/>
            <w:bookmarkEnd w:id="68"/>
          </w:p>
        </w:tc>
        <w:tc>
          <w:tcPr>
            <w:tcW w:w="1127" w:type="dxa"/>
            <w:tcBorders/>
            <w:shd w:fill="CCEEFF" w:val="clear"/>
            <w:tcMar>
              <w:bottom w:w="0" w:type="dxa"/>
            </w:tcMar>
            <w:vAlign w:val="center"/>
          </w:tcPr>
          <w:p>
            <w:pPr>
              <w:pStyle w:val="TableContents"/>
              <w:bidi w:val="0"/>
              <w:spacing w:before="0" w:after="283"/>
              <w:jc w:val="right"/>
              <w:rPr/>
            </w:pPr>
            <w:r>
              <w:rPr/>
              <w:t>5,778,644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bookmarkStart w:id="69" w:name="xdx_98F_eecd--AdjToCompAmt_c20220101__20"/>
            <w:bookmarkEnd w:id="69"/>
          </w:p>
        </w:tc>
        <w:tc>
          <w:tcPr>
            <w:tcW w:w="1309" w:type="dxa"/>
            <w:tcBorders/>
            <w:shd w:fill="CCEEFF" w:val="clear"/>
            <w:tcMar>
              <w:bottom w:w="0" w:type="dxa"/>
            </w:tcMar>
            <w:vAlign w:val="center"/>
          </w:tcPr>
          <w:p>
            <w:pPr>
              <w:pStyle w:val="TableContents"/>
              <w:bidi w:val="0"/>
              <w:spacing w:before="0" w:after="283"/>
              <w:jc w:val="right"/>
              <w:rPr/>
            </w:pPr>
            <w:r>
              <w:rPr/>
              <w:t>(2,581,410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70" w:name="xdx_989_eecd--AdjToCompAmt_c20220101__20"/>
            <w:bookmarkEnd w:id="70"/>
          </w:p>
        </w:tc>
        <w:tc>
          <w:tcPr>
            <w:tcW w:w="8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71" w:name="xdx_980_eecd--AdjToCompAmt_c20220101__20"/>
            <w:bookmarkEnd w:id="71"/>
          </w:p>
        </w:tc>
        <w:tc>
          <w:tcPr>
            <w:tcW w:w="1336" w:type="dxa"/>
            <w:tcBorders/>
            <w:shd w:fill="CCEEFF" w:val="clear"/>
            <w:tcMar>
              <w:bottom w:w="0" w:type="dxa"/>
            </w:tcMar>
            <w:vAlign w:val="center"/>
          </w:tcPr>
          <w:p>
            <w:pPr>
              <w:pStyle w:val="TableContents"/>
              <w:bidi w:val="0"/>
              <w:spacing w:before="0" w:after="283"/>
              <w:jc w:val="right"/>
              <w:rPr/>
            </w:pPr>
            <w:r>
              <w:rPr/>
              <w:t>(864,643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72" w:name="xdx_989_eecd--AdjToCompAmt_c20220101__20"/>
            <w:bookmarkEnd w:id="72"/>
          </w:p>
        </w:tc>
        <w:tc>
          <w:tcPr>
            <w:tcW w:w="1350" w:type="dxa"/>
            <w:tcBorders/>
            <w:shd w:fill="CCEEFF" w:val="clear"/>
            <w:tcMar>
              <w:bottom w:w="0" w:type="dxa"/>
            </w:tcMar>
            <w:vAlign w:val="center"/>
          </w:tcPr>
          <w:p>
            <w:pPr>
              <w:pStyle w:val="TableContents"/>
              <w:bidi w:val="0"/>
              <w:spacing w:before="0" w:after="283"/>
              <w:jc w:val="right"/>
              <w:rPr/>
            </w:pPr>
            <w:r>
              <w:rPr/>
              <w:t>(1,406,610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bookmarkStart w:id="73" w:name="xdx_98F_eecd--AdjToCompAmt_c20220101__20"/>
            <w:bookmarkEnd w:id="73"/>
          </w:p>
        </w:tc>
        <w:tc>
          <w:tcPr>
            <w:tcW w:w="1059" w:type="dxa"/>
            <w:tcBorders/>
            <w:shd w:fill="CCEEFF" w:val="clear"/>
            <w:tcMar>
              <w:bottom w:w="0" w:type="dxa"/>
            </w:tcMar>
            <w:vAlign w:val="center"/>
          </w:tcPr>
          <w:p>
            <w:pPr>
              <w:pStyle w:val="TableContents"/>
              <w:bidi w:val="0"/>
              <w:spacing w:before="0" w:after="283"/>
              <w:jc w:val="right"/>
              <w:rPr/>
            </w:pPr>
            <w:r>
              <w:rPr/>
              <w:t>925,981</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6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bookmarkStart w:id="74" w:name="xdx_988_eecd--AdjToCompAmt_c20210101__20"/>
            <w:bookmarkEnd w:id="74"/>
          </w:p>
        </w:tc>
        <w:tc>
          <w:tcPr>
            <w:tcW w:w="1127" w:type="dxa"/>
            <w:tcBorders/>
            <w:shd w:fill="CCEEFF" w:val="clear"/>
            <w:tcMar>
              <w:bottom w:w="0" w:type="dxa"/>
            </w:tcMar>
            <w:vAlign w:val="center"/>
          </w:tcPr>
          <w:p>
            <w:pPr>
              <w:pStyle w:val="TableContents"/>
              <w:bidi w:val="0"/>
              <w:spacing w:before="0" w:after="283"/>
              <w:jc w:val="right"/>
              <w:rPr/>
            </w:pPr>
            <w:r>
              <w:rPr/>
              <w:t>5,873,834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bookmarkStart w:id="75" w:name="xdx_981_eecd--AdjToCompAmt_c20210101__20"/>
            <w:bookmarkEnd w:id="75"/>
          </w:p>
        </w:tc>
        <w:tc>
          <w:tcPr>
            <w:tcW w:w="1309" w:type="dxa"/>
            <w:tcBorders/>
            <w:shd w:fill="CCEEFF" w:val="clear"/>
            <w:tcMar>
              <w:bottom w:w="0" w:type="dxa"/>
            </w:tcMar>
            <w:vAlign w:val="center"/>
          </w:tcPr>
          <w:p>
            <w:pPr>
              <w:pStyle w:val="TableContents"/>
              <w:bidi w:val="0"/>
              <w:spacing w:before="0" w:after="283"/>
              <w:jc w:val="right"/>
              <w:rPr/>
            </w:pPr>
            <w:r>
              <w:rPr/>
              <w:t>2,146,897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76" w:name="xdx_985_eecd--AdjToCompAmt_c20210101__20"/>
            <w:bookmarkEnd w:id="76"/>
          </w:p>
        </w:tc>
        <w:tc>
          <w:tcPr>
            <w:tcW w:w="8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77" w:name="xdx_98B_eecd--AdjToCompAmt_c20210101__20"/>
            <w:bookmarkEnd w:id="77"/>
          </w:p>
        </w:tc>
        <w:tc>
          <w:tcPr>
            <w:tcW w:w="1336" w:type="dxa"/>
            <w:tcBorders/>
            <w:shd w:fill="CCEEFF" w:val="clear"/>
            <w:tcMar>
              <w:bottom w:w="0" w:type="dxa"/>
            </w:tcMar>
            <w:vAlign w:val="center"/>
          </w:tcPr>
          <w:p>
            <w:pPr>
              <w:pStyle w:val="TableContents"/>
              <w:bidi w:val="0"/>
              <w:spacing w:before="0" w:after="283"/>
              <w:jc w:val="right"/>
              <w:rPr/>
            </w:pPr>
            <w:r>
              <w:rPr/>
              <w:t>(42,840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78" w:name="xdx_984_eecd--AdjToCompAmt_c20210101__20"/>
            <w:bookmarkEnd w:id="78"/>
          </w:p>
        </w:tc>
        <w:tc>
          <w:tcPr>
            <w:tcW w:w="1350" w:type="dxa"/>
            <w:tcBorders/>
            <w:shd w:fill="CCEEFF" w:val="clear"/>
            <w:tcMar>
              <w:bottom w:w="0" w:type="dxa"/>
            </w:tcMar>
            <w:vAlign w:val="center"/>
          </w:tcPr>
          <w:p>
            <w:pPr>
              <w:pStyle w:val="TableContents"/>
              <w:bidi w:val="0"/>
              <w:spacing w:before="0" w:after="283"/>
              <w:jc w:val="right"/>
              <w:rPr/>
            </w:pPr>
            <w:r>
              <w:rPr/>
              <w:t>(20,610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bookmarkStart w:id="79" w:name="xdx_985_eecd--AdjToCompAmt_c20210101__20"/>
            <w:bookmarkEnd w:id="79"/>
          </w:p>
        </w:tc>
        <w:tc>
          <w:tcPr>
            <w:tcW w:w="1059" w:type="dxa"/>
            <w:tcBorders/>
            <w:shd w:fill="CCEEFF" w:val="clear"/>
            <w:tcMar>
              <w:bottom w:w="0" w:type="dxa"/>
            </w:tcMar>
            <w:vAlign w:val="center"/>
          </w:tcPr>
          <w:p>
            <w:pPr>
              <w:pStyle w:val="TableContents"/>
              <w:bidi w:val="0"/>
              <w:spacing w:before="0" w:after="283"/>
              <w:jc w:val="right"/>
              <w:rPr/>
            </w:pPr>
            <w:r>
              <w:rPr/>
              <w:t>7,957,281</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6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bookmarkStart w:id="80" w:name="xdx_983_eecd--AdjToCompAmt_c20200101__20"/>
            <w:bookmarkEnd w:id="80"/>
          </w:p>
        </w:tc>
        <w:tc>
          <w:tcPr>
            <w:tcW w:w="1127" w:type="dxa"/>
            <w:tcBorders/>
            <w:shd w:fill="CCEEFF" w:val="clear"/>
            <w:tcMar>
              <w:bottom w:w="0" w:type="dxa"/>
            </w:tcMar>
            <w:vAlign w:val="center"/>
          </w:tcPr>
          <w:p>
            <w:pPr>
              <w:pStyle w:val="TableContents"/>
              <w:bidi w:val="0"/>
              <w:spacing w:before="0" w:after="283"/>
              <w:jc w:val="right"/>
              <w:rPr/>
            </w:pPr>
            <w:r>
              <w:rPr/>
              <w:t>5,483,250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bookmarkStart w:id="81" w:name="xdx_989_eecd--AdjToCompAmt_c20200101__20"/>
            <w:bookmarkEnd w:id="81"/>
          </w:p>
        </w:tc>
        <w:tc>
          <w:tcPr>
            <w:tcW w:w="1309" w:type="dxa"/>
            <w:tcBorders/>
            <w:shd w:fill="CCEEFF" w:val="clear"/>
            <w:tcMar>
              <w:bottom w:w="0" w:type="dxa"/>
            </w:tcMar>
            <w:vAlign w:val="center"/>
          </w:tcPr>
          <w:p>
            <w:pPr>
              <w:pStyle w:val="TableContents"/>
              <w:bidi w:val="0"/>
              <w:spacing w:before="0" w:after="283"/>
              <w:jc w:val="right"/>
              <w:rPr/>
            </w:pPr>
            <w:r>
              <w:rPr/>
              <w:t>795,627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82" w:name="xdx_98E_eecd--AdjToCompAmt_c20200101__20"/>
            <w:bookmarkEnd w:id="82"/>
          </w:p>
        </w:tc>
        <w:tc>
          <w:tcPr>
            <w:tcW w:w="8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83" w:name="xdx_988_eecd--AdjToCompAmt_c20200101__20"/>
            <w:bookmarkEnd w:id="83"/>
          </w:p>
        </w:tc>
        <w:tc>
          <w:tcPr>
            <w:tcW w:w="1336" w:type="dxa"/>
            <w:tcBorders/>
            <w:shd w:fill="CCEEFF" w:val="clear"/>
            <w:tcMar>
              <w:bottom w:w="0" w:type="dxa"/>
            </w:tcMar>
            <w:vAlign w:val="center"/>
          </w:tcPr>
          <w:p>
            <w:pPr>
              <w:pStyle w:val="TableContents"/>
              <w:bidi w:val="0"/>
              <w:spacing w:before="0" w:after="283"/>
              <w:jc w:val="right"/>
              <w:rPr/>
            </w:pPr>
            <w:r>
              <w:rPr/>
              <w:t>(93,059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84" w:name="xdx_983_eecd--AdjToCompAmt_c20200101__20"/>
            <w:bookmarkEnd w:id="84"/>
          </w:p>
        </w:tc>
        <w:tc>
          <w:tcPr>
            <w:tcW w:w="1350" w:type="dxa"/>
            <w:tcBorders/>
            <w:shd w:fill="CCEEFF" w:val="clear"/>
            <w:tcMar>
              <w:bottom w:w="0" w:type="dxa"/>
            </w:tcMar>
            <w:vAlign w:val="center"/>
          </w:tcPr>
          <w:p>
            <w:pPr>
              <w:pStyle w:val="TableContents"/>
              <w:bidi w:val="0"/>
              <w:spacing w:before="0" w:after="283"/>
              <w:jc w:val="right"/>
              <w:rPr/>
            </w:pPr>
            <w:r>
              <w:rPr/>
              <w:t>(5,790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bookmarkStart w:id="85" w:name="xdx_986_eecd--AdjToCompAmt_c20200101__20"/>
            <w:bookmarkEnd w:id="85"/>
          </w:p>
        </w:tc>
        <w:tc>
          <w:tcPr>
            <w:tcW w:w="1059" w:type="dxa"/>
            <w:tcBorders/>
            <w:shd w:fill="CCEEFF" w:val="clear"/>
            <w:tcMar>
              <w:bottom w:w="0" w:type="dxa"/>
            </w:tcMar>
            <w:vAlign w:val="center"/>
          </w:tcPr>
          <w:p>
            <w:pPr>
              <w:pStyle w:val="TableContents"/>
              <w:bidi w:val="0"/>
              <w:spacing w:before="0" w:after="283"/>
              <w:jc w:val="right"/>
              <w:rPr/>
            </w:pPr>
            <w:r>
              <w:rPr/>
              <w:t>6,180,028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66" w:type="dxa"/>
            <w:tcBorders/>
            <w:shd w:fill="FFFFFF" w:val="clear"/>
            <w:tcMar>
              <w:bottom w:w="0" w:type="dxa"/>
            </w:tcMar>
            <w:vAlign w:val="center"/>
          </w:tcPr>
          <w:p>
            <w:pPr>
              <w:pStyle w:val="TableContents"/>
              <w:bidi w:val="0"/>
              <w:spacing w:before="0" w:after="283"/>
              <w:jc w:val="left"/>
              <w:rPr/>
            </w:pPr>
            <w:r>
              <w:rPr/>
              <w:t>Average of Non-CEO NEOs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bookmarkStart w:id="86" w:name="xdx_98C_eecd--AdjToCompAmt_c20230101__20"/>
            <w:bookmarkEnd w:id="86"/>
          </w:p>
        </w:tc>
        <w:tc>
          <w:tcPr>
            <w:tcW w:w="1127" w:type="dxa"/>
            <w:tcBorders/>
            <w:shd w:fill="FFFFFF" w:val="clear"/>
            <w:tcMar>
              <w:bottom w:w="0" w:type="dxa"/>
            </w:tcMar>
            <w:vAlign w:val="center"/>
          </w:tcPr>
          <w:p>
            <w:pPr>
              <w:pStyle w:val="TableContents"/>
              <w:bidi w:val="0"/>
              <w:spacing w:before="0" w:after="283"/>
              <w:jc w:val="right"/>
              <w:rPr/>
            </w:pPr>
            <w:r>
              <w:rPr/>
              <w:t>731,721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bookmarkStart w:id="87" w:name="xdx_988_eecd--AdjToCompAmt_c20230101__20"/>
            <w:bookmarkEnd w:id="87"/>
          </w:p>
        </w:tc>
        <w:tc>
          <w:tcPr>
            <w:tcW w:w="1309" w:type="dxa"/>
            <w:tcBorders/>
            <w:shd w:fill="FFFFFF" w:val="clear"/>
            <w:tcMar>
              <w:bottom w:w="0" w:type="dxa"/>
            </w:tcMar>
            <w:vAlign w:val="center"/>
          </w:tcPr>
          <w:p>
            <w:pPr>
              <w:pStyle w:val="TableContents"/>
              <w:bidi w:val="0"/>
              <w:spacing w:before="0" w:after="283"/>
              <w:jc w:val="right"/>
              <w:rPr/>
            </w:pPr>
            <w:r>
              <w:rPr/>
              <w:t>(257,444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bookmarkStart w:id="88" w:name="xdx_984_eecd--AdjToCompAmt_c20230101__20"/>
            <w:bookmarkEnd w:id="88"/>
          </w:p>
        </w:tc>
        <w:tc>
          <w:tcPr>
            <w:tcW w:w="895" w:type="dxa"/>
            <w:tcBorders/>
            <w:shd w:fill="FFFFFF" w:val="clear"/>
            <w:tcMar>
              <w:bottom w:w="0" w:type="dxa"/>
            </w:tcMar>
            <w:vAlign w:val="center"/>
          </w:tcPr>
          <w:p>
            <w:pPr>
              <w:pStyle w:val="TableContents"/>
              <w:bidi w:val="0"/>
              <w:spacing w:before="0" w:after="283"/>
              <w:jc w:val="right"/>
              <w:rPr/>
            </w:pPr>
            <w:r>
              <w:rPr/>
              <w:t>56,560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89" w:name="xdx_988_eecd--AdjToCompAmt_c20230101__20"/>
            <w:bookmarkEnd w:id="89"/>
          </w:p>
        </w:tc>
        <w:tc>
          <w:tcPr>
            <w:tcW w:w="1336" w:type="dxa"/>
            <w:tcBorders/>
            <w:shd w:fill="FFFFFF" w:val="clear"/>
            <w:tcMar>
              <w:bottom w:w="0" w:type="dxa"/>
            </w:tcMar>
            <w:vAlign w:val="center"/>
          </w:tcPr>
          <w:p>
            <w:pPr>
              <w:pStyle w:val="TableContents"/>
              <w:bidi w:val="0"/>
              <w:spacing w:before="0" w:after="283"/>
              <w:jc w:val="right"/>
              <w:rPr/>
            </w:pPr>
            <w:r>
              <w:rPr/>
              <w:t>(134,341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90" w:name="xdx_989_eecd--AdjToCompAmt_c20230101__20"/>
            <w:bookmarkEnd w:id="90"/>
          </w:p>
        </w:tc>
        <w:tc>
          <w:tcPr>
            <w:tcW w:w="1350" w:type="dxa"/>
            <w:tcBorders/>
            <w:shd w:fill="FFFFFF" w:val="clear"/>
            <w:tcMar>
              <w:bottom w:w="0" w:type="dxa"/>
            </w:tcMar>
            <w:vAlign w:val="center"/>
          </w:tcPr>
          <w:p>
            <w:pPr>
              <w:pStyle w:val="TableContents"/>
              <w:bidi w:val="0"/>
              <w:spacing w:before="0" w:after="283"/>
              <w:jc w:val="right"/>
              <w:rPr/>
            </w:pPr>
            <w:r>
              <w:rPr/>
              <w:t>(85,196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bookmarkStart w:id="91" w:name="xdx_98C_eecd--AdjToCompAmt_c20230101__20"/>
            <w:bookmarkEnd w:id="91"/>
          </w:p>
        </w:tc>
        <w:tc>
          <w:tcPr>
            <w:tcW w:w="1059" w:type="dxa"/>
            <w:tcBorders/>
            <w:shd w:fill="FFFFFF" w:val="clear"/>
            <w:tcMar>
              <w:bottom w:w="0" w:type="dxa"/>
            </w:tcMar>
            <w:vAlign w:val="center"/>
          </w:tcPr>
          <w:p>
            <w:pPr>
              <w:pStyle w:val="TableContents"/>
              <w:bidi w:val="0"/>
              <w:spacing w:before="0" w:after="283"/>
              <w:jc w:val="right"/>
              <w:rPr/>
            </w:pPr>
            <w:r>
              <w:rPr/>
              <w:t>311,300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bookmarkStart w:id="92" w:name="xdx_982_eecd--AdjToCompAmt_c20220101__20"/>
            <w:bookmarkEnd w:id="92"/>
          </w:p>
        </w:tc>
        <w:tc>
          <w:tcPr>
            <w:tcW w:w="1127" w:type="dxa"/>
            <w:tcBorders/>
            <w:shd w:fill="FFFFFF" w:val="clear"/>
            <w:tcMar>
              <w:bottom w:w="0" w:type="dxa"/>
            </w:tcMar>
            <w:vAlign w:val="center"/>
          </w:tcPr>
          <w:p>
            <w:pPr>
              <w:pStyle w:val="TableContents"/>
              <w:bidi w:val="0"/>
              <w:spacing w:before="0" w:after="283"/>
              <w:jc w:val="right"/>
              <w:rPr/>
            </w:pPr>
            <w:r>
              <w:rPr/>
              <w:t>783,097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bookmarkStart w:id="93" w:name="xdx_988_eecd--AdjToCompAmt_c20220101__20"/>
            <w:bookmarkEnd w:id="93"/>
          </w:p>
        </w:tc>
        <w:tc>
          <w:tcPr>
            <w:tcW w:w="1309" w:type="dxa"/>
            <w:tcBorders/>
            <w:shd w:fill="FFFFFF" w:val="clear"/>
            <w:tcMar>
              <w:bottom w:w="0" w:type="dxa"/>
            </w:tcMar>
            <w:vAlign w:val="center"/>
          </w:tcPr>
          <w:p>
            <w:pPr>
              <w:pStyle w:val="TableContents"/>
              <w:bidi w:val="0"/>
              <w:spacing w:before="0" w:after="283"/>
              <w:jc w:val="right"/>
              <w:rPr/>
            </w:pPr>
            <w:r>
              <w:rPr/>
              <w:t>(120,491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bookmarkStart w:id="94" w:name="xdx_980_eecd--AdjToCompAmt_c20220101__20"/>
            <w:bookmarkEnd w:id="94"/>
          </w:p>
        </w:tc>
        <w:tc>
          <w:tcPr>
            <w:tcW w:w="895" w:type="dxa"/>
            <w:tcBorders/>
            <w:shd w:fill="FFFFFF" w:val="clear"/>
            <w:tcMar>
              <w:bottom w:w="0" w:type="dxa"/>
            </w:tcMar>
            <w:vAlign w:val="center"/>
          </w:tcPr>
          <w:p>
            <w:pPr>
              <w:pStyle w:val="TableContents"/>
              <w:bidi w:val="0"/>
              <w:spacing w:before="0" w:after="283"/>
              <w:jc w:val="right"/>
              <w:rPr/>
            </w:pPr>
            <w:r>
              <w:rPr/>
              <w:t>6,852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95" w:name="xdx_98D_eecd--AdjToCompAmt_c20220101__20"/>
            <w:bookmarkEnd w:id="95"/>
          </w:p>
        </w:tc>
        <w:tc>
          <w:tcPr>
            <w:tcW w:w="1336" w:type="dxa"/>
            <w:tcBorders/>
            <w:shd w:fill="FFFFFF" w:val="clear"/>
            <w:tcMar>
              <w:bottom w:w="0" w:type="dxa"/>
            </w:tcMar>
            <w:vAlign w:val="center"/>
          </w:tcPr>
          <w:p>
            <w:pPr>
              <w:pStyle w:val="TableContents"/>
              <w:bidi w:val="0"/>
              <w:spacing w:before="0" w:after="283"/>
              <w:jc w:val="right"/>
              <w:rPr/>
            </w:pPr>
            <w:r>
              <w:rPr/>
              <w:t>(133,625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96" w:name="xdx_984_eecd--AdjToCompAmt_c20220101__20"/>
            <w:bookmarkEnd w:id="96"/>
          </w:p>
        </w:tc>
        <w:tc>
          <w:tcPr>
            <w:tcW w:w="1350" w:type="dxa"/>
            <w:tcBorders/>
            <w:shd w:fill="FFFFFF" w:val="clear"/>
            <w:tcMar>
              <w:bottom w:w="0" w:type="dxa"/>
            </w:tcMar>
            <w:vAlign w:val="center"/>
          </w:tcPr>
          <w:p>
            <w:pPr>
              <w:pStyle w:val="TableContents"/>
              <w:bidi w:val="0"/>
              <w:spacing w:before="0" w:after="283"/>
              <w:jc w:val="right"/>
              <w:rPr/>
            </w:pPr>
            <w:r>
              <w:rPr/>
              <w:t>(359,728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bookmarkStart w:id="97" w:name="xdx_988_eecd--AdjToCompAmt_c20220101__20"/>
            <w:bookmarkEnd w:id="97"/>
          </w:p>
        </w:tc>
        <w:tc>
          <w:tcPr>
            <w:tcW w:w="1059" w:type="dxa"/>
            <w:tcBorders/>
            <w:shd w:fill="FFFFFF" w:val="clear"/>
            <w:tcMar>
              <w:bottom w:w="0" w:type="dxa"/>
            </w:tcMar>
            <w:vAlign w:val="center"/>
          </w:tcPr>
          <w:p>
            <w:pPr>
              <w:pStyle w:val="TableContents"/>
              <w:bidi w:val="0"/>
              <w:spacing w:before="0" w:after="283"/>
              <w:jc w:val="right"/>
              <w:rPr/>
            </w:pPr>
            <w:r>
              <w:rPr/>
              <w:t>176,106</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bookmarkStart w:id="98" w:name="xdx_980_eecd--AdjToCompAmt_c20210101__20"/>
            <w:bookmarkEnd w:id="98"/>
          </w:p>
        </w:tc>
        <w:tc>
          <w:tcPr>
            <w:tcW w:w="1127" w:type="dxa"/>
            <w:tcBorders/>
            <w:shd w:fill="FFFFFF" w:val="clear"/>
            <w:tcMar>
              <w:bottom w:w="0" w:type="dxa"/>
            </w:tcMar>
            <w:vAlign w:val="center"/>
          </w:tcPr>
          <w:p>
            <w:pPr>
              <w:pStyle w:val="TableContents"/>
              <w:bidi w:val="0"/>
              <w:spacing w:before="0" w:after="283"/>
              <w:jc w:val="right"/>
              <w:rPr/>
            </w:pPr>
            <w:r>
              <w:rPr/>
              <w:t>598,919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bookmarkStart w:id="99" w:name="xdx_988_eecd--AdjToCompAmt_c20210101__20"/>
            <w:bookmarkEnd w:id="99"/>
          </w:p>
        </w:tc>
        <w:tc>
          <w:tcPr>
            <w:tcW w:w="1309" w:type="dxa"/>
            <w:tcBorders/>
            <w:shd w:fill="FFFFFF" w:val="clear"/>
            <w:tcMar>
              <w:bottom w:w="0" w:type="dxa"/>
            </w:tcMar>
            <w:vAlign w:val="center"/>
          </w:tcPr>
          <w:p>
            <w:pPr>
              <w:pStyle w:val="TableContents"/>
              <w:bidi w:val="0"/>
              <w:spacing w:before="0" w:after="283"/>
              <w:jc w:val="right"/>
              <w:rPr/>
            </w:pPr>
            <w:r>
              <w:rPr/>
              <w:t>281,960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bookmarkStart w:id="100" w:name="xdx_984_eecd--AdjToCompAmt_c20210101__20"/>
            <w:bookmarkEnd w:id="100"/>
          </w:p>
        </w:tc>
        <w:tc>
          <w:tcPr>
            <w:tcW w:w="8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101" w:name="xdx_985_eecd--AdjToCompAmt_c20210101__20"/>
            <w:bookmarkEnd w:id="101"/>
          </w:p>
        </w:tc>
        <w:tc>
          <w:tcPr>
            <w:tcW w:w="1336" w:type="dxa"/>
            <w:tcBorders/>
            <w:shd w:fill="FFFFFF" w:val="clear"/>
            <w:tcMar>
              <w:bottom w:w="0" w:type="dxa"/>
            </w:tcMar>
            <w:vAlign w:val="center"/>
          </w:tcPr>
          <w:p>
            <w:pPr>
              <w:pStyle w:val="TableContents"/>
              <w:bidi w:val="0"/>
              <w:spacing w:before="0" w:after="283"/>
              <w:jc w:val="right"/>
              <w:rPr/>
            </w:pPr>
            <w:r>
              <w:rPr/>
              <w:t>(6,938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102" w:name="xdx_988_eecd--AdjToCompAmt_c20210101__20"/>
            <w:bookmarkEnd w:id="102"/>
          </w:p>
        </w:tc>
        <w:tc>
          <w:tcPr>
            <w:tcW w:w="1350" w:type="dxa"/>
            <w:tcBorders/>
            <w:shd w:fill="FFFFFF" w:val="clear"/>
            <w:tcMar>
              <w:bottom w:w="0" w:type="dxa"/>
            </w:tcMar>
            <w:vAlign w:val="center"/>
          </w:tcPr>
          <w:p>
            <w:pPr>
              <w:pStyle w:val="TableContents"/>
              <w:bidi w:val="0"/>
              <w:spacing w:before="0" w:after="283"/>
              <w:jc w:val="right"/>
              <w:rPr/>
            </w:pPr>
            <w:r>
              <w:rPr/>
              <w:t>(275,022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bookmarkStart w:id="103" w:name="xdx_98E_eecd--AdjToCompAmt_c20210101__20"/>
            <w:bookmarkEnd w:id="103"/>
          </w:p>
        </w:tc>
        <w:tc>
          <w:tcPr>
            <w:tcW w:w="1059" w:type="dxa"/>
            <w:tcBorders/>
            <w:shd w:fill="FFFFFF" w:val="clear"/>
            <w:tcMar>
              <w:bottom w:w="0" w:type="dxa"/>
            </w:tcMar>
            <w:vAlign w:val="center"/>
          </w:tcPr>
          <w:p>
            <w:pPr>
              <w:pStyle w:val="TableContents"/>
              <w:bidi w:val="0"/>
              <w:spacing w:before="0" w:after="283"/>
              <w:jc w:val="right"/>
              <w:rPr/>
            </w:pPr>
            <w:r>
              <w:rPr/>
              <w:t>598,919</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bookmarkStart w:id="104" w:name="xdx_981_eecd--AdjToCompAmt_c20200101__20"/>
            <w:bookmarkEnd w:id="104"/>
          </w:p>
        </w:tc>
        <w:tc>
          <w:tcPr>
            <w:tcW w:w="1127" w:type="dxa"/>
            <w:tcBorders/>
            <w:shd w:fill="FFFFFF" w:val="clear"/>
            <w:tcMar>
              <w:bottom w:w="0" w:type="dxa"/>
            </w:tcMar>
            <w:vAlign w:val="center"/>
          </w:tcPr>
          <w:p>
            <w:pPr>
              <w:pStyle w:val="TableContents"/>
              <w:bidi w:val="0"/>
              <w:spacing w:before="0" w:after="283"/>
              <w:jc w:val="right"/>
              <w:rPr/>
            </w:pPr>
            <w:r>
              <w:rPr/>
              <w:t>1,027,903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bookmarkStart w:id="105" w:name="xdx_98D_eecd--AdjToCompAmt_c20200101__20"/>
            <w:bookmarkEnd w:id="105"/>
          </w:p>
        </w:tc>
        <w:tc>
          <w:tcPr>
            <w:tcW w:w="1309" w:type="dxa"/>
            <w:tcBorders/>
            <w:shd w:fill="FFFFFF" w:val="clear"/>
            <w:tcMar>
              <w:bottom w:w="0" w:type="dxa"/>
            </w:tcMar>
            <w:vAlign w:val="center"/>
          </w:tcPr>
          <w:p>
            <w:pPr>
              <w:pStyle w:val="TableContents"/>
              <w:bidi w:val="0"/>
              <w:spacing w:before="0" w:after="283"/>
              <w:jc w:val="right"/>
              <w:rPr/>
            </w:pPr>
            <w:r>
              <w:rPr/>
              <w:t>81,250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bookmarkStart w:id="106" w:name="xdx_98B_eecd--AdjToCompAmt_c20200101__20"/>
            <w:bookmarkEnd w:id="106"/>
          </w:p>
        </w:tc>
        <w:tc>
          <w:tcPr>
            <w:tcW w:w="8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107" w:name="xdx_984_eecd--AdjToCompAmt_c20200101__20"/>
            <w:bookmarkEnd w:id="107"/>
          </w:p>
        </w:tc>
        <w:tc>
          <w:tcPr>
            <w:tcW w:w="1336" w:type="dxa"/>
            <w:tcBorders/>
            <w:shd w:fill="FFFFFF" w:val="clear"/>
            <w:tcMar>
              <w:bottom w:w="0" w:type="dxa"/>
            </w:tcMar>
            <w:vAlign w:val="center"/>
          </w:tcPr>
          <w:p>
            <w:pPr>
              <w:pStyle w:val="TableContents"/>
              <w:bidi w:val="0"/>
              <w:spacing w:before="0" w:after="283"/>
              <w:jc w:val="right"/>
              <w:rPr/>
            </w:pPr>
            <w:r>
              <w:rPr/>
              <w:t>(10,969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108" w:name="xdx_989_eecd--AdjToCompAmt_c20200101__20"/>
            <w:bookmarkEnd w:id="108"/>
          </w:p>
        </w:tc>
        <w:tc>
          <w:tcPr>
            <w:tcW w:w="1350" w:type="dxa"/>
            <w:tcBorders/>
            <w:shd w:fill="FFFFFF" w:val="clear"/>
            <w:tcMar>
              <w:bottom w:w="0" w:type="dxa"/>
            </w:tcMar>
            <w:vAlign w:val="center"/>
          </w:tcPr>
          <w:p>
            <w:pPr>
              <w:pStyle w:val="TableContents"/>
              <w:bidi w:val="0"/>
              <w:spacing w:before="0" w:after="283"/>
              <w:jc w:val="right"/>
              <w:rPr/>
            </w:pPr>
            <w:r>
              <w:rPr/>
              <w:t>(4,568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bookmarkStart w:id="109" w:name="xdx_980_eecd--AdjToCompAmt_c20200101__20"/>
            <w:bookmarkEnd w:id="109"/>
          </w:p>
        </w:tc>
        <w:tc>
          <w:tcPr>
            <w:tcW w:w="1059" w:type="dxa"/>
            <w:tcBorders/>
            <w:shd w:fill="FFFFFF" w:val="clear"/>
            <w:tcMar>
              <w:bottom w:w="0" w:type="dxa"/>
            </w:tcMar>
            <w:vAlign w:val="center"/>
          </w:tcPr>
          <w:p>
            <w:pPr>
              <w:pStyle w:val="TableContents"/>
              <w:bidi w:val="0"/>
              <w:spacing w:before="0" w:after="283"/>
              <w:jc w:val="right"/>
              <w:rPr/>
            </w:pPr>
            <w:r>
              <w:rPr/>
              <w:t>1,093,616</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540" w:right="0" w:hanging="360"/>
        <w:jc w:val="both"/>
        <w:rPr>
          <w:caps w:val="false"/>
          <w:smallCaps w:val="false"/>
        </w:rPr>
      </w:pPr>
      <w:bookmarkStart w:id="110" w:name="xdx_8AB_z61jN6CZ1QB2"/>
      <w:bookmarkEnd w:id="110"/>
      <w:r>
        <w:rPr>
          <w:caps w:val="false"/>
          <w:smallCaps w:val="false"/>
        </w:rPr>
        <w:t> </w:t>
      </w:r>
    </w:p>
    <w:p>
      <w:pPr>
        <w:pStyle w:val="TextBody"/>
        <w:bidi w:val="0"/>
        <w:spacing w:before="0" w:after="0"/>
        <w:ind w:left="540" w:right="0" w:hanging="360"/>
        <w:jc w:val="both"/>
        <w:rPr>
          <w:caps w:val="false"/>
          <w:smallCaps w:val="false"/>
        </w:rPr>
      </w:pPr>
      <w:bookmarkStart w:id="111" w:name="xdx_895_eecd--Additional402vDisclosureTe"/>
      <w:bookmarkEnd w:id="111"/>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tc>
      </w:tr>
    </w:tbl>
    <w:p>
      <w:pPr>
        <w:pStyle w:val="TextBody"/>
        <w:bidi w:val="0"/>
        <w:spacing w:before="0" w:after="283"/>
        <w:jc w:val="left"/>
        <w:rPr/>
      </w:pPr>
      <w:bookmarkStart w:id="112" w:name="xdx_8A7_zz0zHOk0AxHj"/>
      <w:bookmarkEnd w:id="112"/>
      <w:r>
        <w:rPr/>
        <w:t> </w:t>
      </w:r>
    </w:p>
    <w:p>
      <w:pPr>
        <w:pStyle w:val="TextBody"/>
        <w:bidi w:val="0"/>
        <w:spacing w:before="0" w:after="283"/>
        <w:jc w:val="left"/>
        <w:rPr/>
      </w:pPr>
      <w:bookmarkStart w:id="113" w:name="xdx_89F_eecd--PeerGroupIssuersFnTextBloc"/>
      <w:bookmarkEnd w:id="113"/>
      <w:r>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TSR performance of our peer group is weighted by their respective market capitalization as of December 31, 2019. Our peer group is the same peer group described below in “Role of Compensation Committee”. Current peer group companies Guild Holdings Company, loanDepot and UWM Holdings are not included in the weighted average cumulative TSR calculation because they were publicly listed after the beginning of the four-year measurement period. Similarly, cumulative TSR performance of companies used in prior peer groups who have since been delisted are not included in the weighted average cumulative TSR calculation, including Black Knight, CenterState Bank, CoreLogic, Flagstar Bancorp, Home Point Capital and People’s United Financial. Peer Group Total Shareholder Return values for our peer group used in 2021-2023 would be $</w:t>
            </w:r>
            <w:bookmarkStart w:id="114" w:name="xdx_904_eecd--AdjToCompAmt_c20230101__20"/>
            <w:bookmarkEnd w:id="114"/>
            <w:r>
              <w:rPr>
                <w:rFonts w:ascii="Times New Roman;Times;Serif" w:hAnsi="Times New Roman;Times;Serif"/>
                <w:b w:val="false"/>
                <w:i w:val="false"/>
                <w:caps w:val="false"/>
                <w:smallCaps w:val="false"/>
                <w:sz w:val="20"/>
              </w:rPr>
              <w:t>134, $</w:t>
            </w:r>
            <w:bookmarkStart w:id="115" w:name="xdx_900_eecd--AdjToCompAmt_c20220101__20"/>
            <w:bookmarkEnd w:id="115"/>
            <w:r>
              <w:rPr>
                <w:rFonts w:ascii="Times New Roman;Times;Serif" w:hAnsi="Times New Roman;Times;Serif"/>
                <w:b w:val="false"/>
                <w:i w:val="false"/>
                <w:caps w:val="false"/>
                <w:smallCaps w:val="false"/>
                <w:sz w:val="20"/>
              </w:rPr>
              <w:t>105, $</w:t>
            </w:r>
            <w:bookmarkStart w:id="116" w:name="xdx_901_eecd--AdjToCompAmt_c20210101__20"/>
            <w:bookmarkEnd w:id="116"/>
            <w:r>
              <w:rPr>
                <w:rFonts w:ascii="Times New Roman;Times;Serif" w:hAnsi="Times New Roman;Times;Serif"/>
                <w:b w:val="false"/>
                <w:i w:val="false"/>
                <w:caps w:val="false"/>
                <w:smallCaps w:val="false"/>
                <w:sz w:val="20"/>
              </w:rPr>
              <w:t>125, and $</w:t>
            </w:r>
            <w:bookmarkStart w:id="117" w:name="xdx_90B_eecd--AdjToCompAmt_c20200101__20"/>
            <w:bookmarkEnd w:id="117"/>
            <w:r>
              <w:rPr>
                <w:rFonts w:ascii="Times New Roman;Times;Serif" w:hAnsi="Times New Roman;Times;Serif"/>
                <w:b w:val="false"/>
                <w:i w:val="false"/>
                <w:caps w:val="false"/>
                <w:smallCaps w:val="false"/>
                <w:sz w:val="20"/>
              </w:rPr>
              <w:t>102 for 2023, 2022, 2021 and 2020, respectively; for our peer group used in 2020-2021 would be $</w:t>
            </w:r>
            <w:bookmarkStart w:id="118" w:name="xdx_901_eecd--AdjToCompAmt_c20230101__20"/>
            <w:bookmarkEnd w:id="118"/>
            <w:r>
              <w:rPr>
                <w:rFonts w:ascii="Times New Roman;Times;Serif" w:hAnsi="Times New Roman;Times;Serif"/>
                <w:b w:val="false"/>
                <w:i w:val="false"/>
                <w:caps w:val="false"/>
                <w:smallCaps w:val="false"/>
                <w:sz w:val="20"/>
              </w:rPr>
              <w:t>109, $</w:t>
            </w:r>
            <w:bookmarkStart w:id="119" w:name="xdx_907_eecd--AdjToCompAmt_c20220101__20"/>
            <w:bookmarkEnd w:id="119"/>
            <w:r>
              <w:rPr>
                <w:rFonts w:ascii="Times New Roman;Times;Serif" w:hAnsi="Times New Roman;Times;Serif"/>
                <w:b w:val="false"/>
                <w:i w:val="false"/>
                <w:caps w:val="false"/>
                <w:smallCaps w:val="false"/>
                <w:sz w:val="20"/>
              </w:rPr>
              <w:t>108, $</w:t>
            </w:r>
            <w:bookmarkStart w:id="120" w:name="xdx_905_eecd--AdjToCompAmt_c20210101__20"/>
            <w:bookmarkEnd w:id="120"/>
            <w:r>
              <w:rPr>
                <w:rFonts w:ascii="Times New Roman;Times;Serif" w:hAnsi="Times New Roman;Times;Serif"/>
                <w:b w:val="false"/>
                <w:i w:val="false"/>
                <w:caps w:val="false"/>
                <w:smallCaps w:val="false"/>
                <w:sz w:val="20"/>
              </w:rPr>
              <w:t>125 and $</w:t>
            </w:r>
            <w:bookmarkStart w:id="121" w:name="xdx_903_eecd--AdjToCompAmt_c20200101__20"/>
            <w:bookmarkEnd w:id="121"/>
            <w:r>
              <w:rPr>
                <w:rFonts w:ascii="Times New Roman;Times;Serif" w:hAnsi="Times New Roman;Times;Serif"/>
                <w:b w:val="false"/>
                <w:i w:val="false"/>
                <w:caps w:val="false"/>
                <w:smallCaps w:val="false"/>
                <w:sz w:val="20"/>
              </w:rPr>
              <w:t>112 for 2023, 2022, 2021 and 2020, respectively, and for our peer group used in 2019-2020 would be $</w:t>
            </w:r>
            <w:bookmarkStart w:id="122" w:name="xdx_90D_eecd--AdjToCompAmt_c20230101__20"/>
            <w:bookmarkEnd w:id="122"/>
            <w:r>
              <w:rPr>
                <w:rFonts w:ascii="Times New Roman;Times;Serif" w:hAnsi="Times New Roman;Times;Serif"/>
                <w:b w:val="false"/>
                <w:i w:val="false"/>
                <w:caps w:val="false"/>
                <w:smallCaps w:val="false"/>
                <w:sz w:val="20"/>
              </w:rPr>
              <w:t>97, $</w:t>
            </w:r>
            <w:bookmarkStart w:id="123" w:name="xdx_903_eecd--AdjToCompAmt_c20220101__20"/>
            <w:bookmarkEnd w:id="123"/>
            <w:r>
              <w:rPr>
                <w:rFonts w:ascii="Times New Roman;Times;Serif" w:hAnsi="Times New Roman;Times;Serif"/>
                <w:b w:val="false"/>
                <w:i w:val="false"/>
                <w:caps w:val="false"/>
                <w:smallCaps w:val="false"/>
                <w:sz w:val="20"/>
              </w:rPr>
              <w:t>106, $</w:t>
            </w:r>
            <w:bookmarkStart w:id="124" w:name="xdx_90E_eecd--AdjToCompAmt_c20210101__20"/>
            <w:bookmarkEnd w:id="124"/>
            <w:r>
              <w:rPr>
                <w:rFonts w:ascii="Times New Roman;Times;Serif" w:hAnsi="Times New Roman;Times;Serif"/>
                <w:b w:val="false"/>
                <w:i w:val="false"/>
                <w:caps w:val="false"/>
                <w:smallCaps w:val="false"/>
                <w:sz w:val="20"/>
              </w:rPr>
              <w:t>141 and $</w:t>
            </w:r>
            <w:bookmarkStart w:id="125" w:name="xdx_907_eecd--AdjToCompAmt_c20200101__20"/>
            <w:bookmarkEnd w:id="125"/>
            <w:r>
              <w:rPr>
                <w:rFonts w:ascii="Times New Roman;Times;Serif" w:hAnsi="Times New Roman;Times;Serif"/>
                <w:b w:val="false"/>
                <w:i w:val="false"/>
                <w:caps w:val="false"/>
                <w:smallCaps w:val="false"/>
                <w:sz w:val="20"/>
              </w:rPr>
              <w:t>110 for 2023, 2022, 2021 and 2020, respectively. We revise our peer group from time to time to accommodate mergers and acquisitions activity within the previous peer group and the evolution of our business model, and to better reflect peers subject to similar regulatory oversight for performance and business practice benchmarking.</w:t>
            </w:r>
          </w:p>
        </w:tc>
      </w:tr>
    </w:tbl>
    <w:p>
      <w:pPr>
        <w:pStyle w:val="TextBody"/>
        <w:bidi w:val="0"/>
        <w:spacing w:before="0" w:after="0"/>
        <w:ind w:left="540" w:right="0" w:hanging="360"/>
        <w:jc w:val="both"/>
        <w:rPr>
          <w:caps w:val="false"/>
          <w:smallCaps w:val="false"/>
        </w:rPr>
      </w:pPr>
      <w:bookmarkStart w:id="126" w:name="xdx_8A4_zhkW1SEmrnPa"/>
      <w:bookmarkEnd w:id="12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dollar amounts reported represent the amount of net income (loss) reflected in the Company’s audited financial statements for the applicable year. </w:t>
            </w:r>
          </w:p>
        </w:tc>
      </w:tr>
    </w:tbl>
    <w:p>
      <w:pPr>
        <w:pStyle w:val="TextBody"/>
        <w:bidi w:val="0"/>
        <w:spacing w:before="0" w:after="283"/>
        <w:jc w:val="left"/>
        <w:rPr/>
      </w:pPr>
      <w:bookmarkStart w:id="127" w:name="xdx_896_eecd--NonGaapMeasureDescriptionT"/>
      <w:bookmarkEnd w:id="127"/>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8" w:name="xdx_900_eecd--CoSelectedMeasureName_c202"/>
            <w:bookmarkEnd w:id="128"/>
            <w:r>
              <w:rPr>
                <w:rFonts w:ascii="Times New Roman;Times;Serif" w:hAnsi="Times New Roman;Times;Serif"/>
                <w:b w:val="false"/>
                <w:i w:val="false"/>
                <w:caps w:val="false"/>
                <w:smallCaps w:val="false"/>
                <w:sz w:val="20"/>
              </w:rPr>
              <w:t>After-Tax Return On Equity (ROE) is calculated as net income divided by average total equity, excluding notables. For a discussion of how we measure pre-tax income before notable items and a reconciliation to financial measures prepared under GAAP, please see our Current Report on Form 8-K filed with the Securities and Exchange Commission on February 27, 2024.</w:t>
            </w:r>
          </w:p>
        </w:tc>
      </w:tr>
    </w:tbl>
    <w:p>
      <w:pPr>
        <w:pStyle w:val="TextBody"/>
        <w:bidi w:val="0"/>
        <w:spacing w:before="0" w:after="0"/>
        <w:ind w:left="0" w:right="0" w:hanging="0"/>
        <w:jc w:val="both"/>
        <w:rPr>
          <w:caps w:val="false"/>
          <w:smallCaps w:val="false"/>
        </w:rPr>
      </w:pPr>
      <w:bookmarkStart w:id="129" w:name="xdx_8AF_zzTKyeYKOVIb"/>
      <w:bookmarkEnd w:id="1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focus on long-term performance, we do not specifically align our performance measures with “compensation actually paid”. Nonetheless, in accordance with Item 402(v) of Regulation S-K, below are the relationships between compensation actually paid to the financial measures presented above:</w:t>
      </w:r>
    </w:p>
    <w:p>
      <w:pPr>
        <w:pStyle w:val="TextBody"/>
        <w:bidi w:val="0"/>
        <w:spacing w:before="0" w:after="0"/>
        <w:ind w:left="720" w:right="0" w:hanging="360"/>
        <w:jc w:val="both"/>
        <w:rPr>
          <w:caps w:val="false"/>
          <w:smallCaps w:val="false"/>
        </w:rPr>
      </w:pPr>
      <w:bookmarkStart w:id="130" w:name="xdx_890_eecd--CompActuallyPaidVsTotalSha"/>
      <w:bookmarkEnd w:id="130"/>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Company TSR and Compensation Actually Paid</w:t>
            </w:r>
            <w:r>
              <w:rPr>
                <w:rFonts w:ascii="Times New Roman;Times;Serif" w:hAnsi="Times New Roman;Times;Serif"/>
                <w:b w:val="false"/>
                <w:i w:val="false"/>
                <w:caps w:val="false"/>
                <w:smallCaps w:val="false"/>
                <w:sz w:val="20"/>
              </w:rPr>
              <w:t>: In 2020 and 2021, increases to our share price contributed to higher compensation actually paid values versus the Summary Compensation Table value. In 2022, the 23% decrease to our year-end closing share price, plus the forfeiture of our 2019 performance-restricted stock units due to unattained metrics, resulted in a significant reduction compensation actually paid compared to 2021. In 2023, the above-target achievement of our 2020 performance-restricted stock units resulted in an increase to compensation actually paid compared to 2022.</w:t>
            </w:r>
          </w:p>
        </w:tc>
      </w:tr>
    </w:tbl>
    <w:p>
      <w:pPr>
        <w:pStyle w:val="TextBody"/>
        <w:bidi w:val="0"/>
        <w:spacing w:before="0" w:after="283"/>
        <w:jc w:val="left"/>
        <w:rPr/>
      </w:pPr>
      <w:bookmarkStart w:id="131" w:name="xdx_8A7_z6qiyxD0UNr7"/>
      <w:bookmarkEnd w:id="131"/>
      <w:r>
        <w:rPr/>
        <w:t> </w:t>
      </w:r>
    </w:p>
    <w:p>
      <w:pPr>
        <w:pStyle w:val="TextBody"/>
        <w:bidi w:val="0"/>
        <w:spacing w:before="0" w:after="283"/>
        <w:jc w:val="left"/>
        <w:rPr/>
      </w:pPr>
      <w:bookmarkStart w:id="132" w:name="xdx_895_eecd--TotalShareholderRtnVsPeerG"/>
      <w:bookmarkEnd w:id="132"/>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Company TSR and Cumulative Peer Group TSR</w:t>
            </w:r>
            <w:r>
              <w:rPr>
                <w:rFonts w:ascii="Times New Roman;Times;Serif" w:hAnsi="Times New Roman;Times;Serif"/>
                <w:b w:val="false"/>
                <w:i w:val="false"/>
                <w:caps w:val="false"/>
                <w:smallCaps w:val="false"/>
                <w:sz w:val="20"/>
              </w:rPr>
              <w:t xml:space="preserve">: Our cumulative total shareholder return has been at least 19% higher than our peer group average in each of the last three years, which has rewarded our executives, as described below in “Performance Results of Long-Term Incentive Awards”. </w:t>
            </w:r>
          </w:p>
        </w:tc>
      </w:tr>
    </w:tbl>
    <w:p>
      <w:pPr>
        <w:pStyle w:val="TextBody"/>
        <w:bidi w:val="0"/>
        <w:spacing w:before="0" w:after="283"/>
        <w:jc w:val="left"/>
        <w:rPr/>
      </w:pPr>
      <w:bookmarkStart w:id="133" w:name="xdx_8A7_zWWDxYszL3Yl"/>
      <w:bookmarkEnd w:id="133"/>
      <w:r>
        <w:rPr/>
        <w:t> </w:t>
      </w:r>
    </w:p>
    <w:p>
      <w:pPr>
        <w:pStyle w:val="TextBody"/>
        <w:bidi w:val="0"/>
        <w:spacing w:before="0" w:after="283"/>
        <w:jc w:val="left"/>
        <w:rPr/>
      </w:pPr>
      <w:bookmarkStart w:id="134" w:name="xdx_897_eecd--CompActuallyPaidVsNetIncom"/>
      <w:bookmarkEnd w:id="134"/>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Income and Compensation Actually Paid</w:t>
            </w:r>
            <w:r>
              <w:rPr>
                <w:rFonts w:ascii="Times New Roman;Times;Serif" w:hAnsi="Times New Roman;Times;Serif"/>
                <w:b w:val="false"/>
                <w:i w:val="false"/>
                <w:caps w:val="false"/>
                <w:smallCaps w:val="false"/>
                <w:sz w:val="20"/>
              </w:rPr>
              <w:t xml:space="preserve">: Net Income was a metric included in our AIP scorecard each of the last four years. Performance was determined based on a percentage of target achieved in each respective year and reflected in final payout amounts. </w:t>
            </w:r>
          </w:p>
        </w:tc>
      </w:tr>
    </w:tbl>
    <w:p>
      <w:pPr>
        <w:pStyle w:val="TextBody"/>
        <w:bidi w:val="0"/>
        <w:spacing w:before="0" w:after="283"/>
        <w:jc w:val="left"/>
        <w:rPr/>
      </w:pPr>
      <w:bookmarkStart w:id="135" w:name="xdx_8AD_zywUEwYt1nT9"/>
      <w:bookmarkEnd w:id="135"/>
      <w:r>
        <w:rPr/>
        <w:t> </w:t>
      </w:r>
    </w:p>
    <w:p>
      <w:pPr>
        <w:pStyle w:val="TextBody"/>
        <w:bidi w:val="0"/>
        <w:spacing w:before="0" w:after="283"/>
        <w:jc w:val="left"/>
        <w:rPr/>
      </w:pPr>
      <w:bookmarkStart w:id="136" w:name="xdx_89F_eecd--CompActuallyPaidVsCoSelect"/>
      <w:bookmarkEnd w:id="136"/>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ROE and Compensation Actually Paid</w:t>
            </w:r>
            <w:r>
              <w:rPr>
                <w:rFonts w:ascii="Times New Roman;Times;Serif" w:hAnsi="Times New Roman;Times;Serif"/>
                <w:b w:val="false"/>
                <w:i w:val="false"/>
                <w:caps w:val="false"/>
                <w:smallCaps w:val="false"/>
                <w:sz w:val="20"/>
              </w:rPr>
              <w:t>: Return on Equity was a metric included in our AIP scorecard in 2021, 2022 and 2023. Performance was determined based on a percentage of target achieved in each respective year and reflected in final payout amounts.</w:t>
            </w:r>
          </w:p>
        </w:tc>
      </w:tr>
    </w:tbl>
    <w:p>
      <w:pPr>
        <w:pStyle w:val="TextBody"/>
        <w:bidi w:val="0"/>
        <w:spacing w:before="0" w:after="0"/>
        <w:ind w:left="0" w:right="0" w:hanging="0"/>
        <w:jc w:val="both"/>
        <w:rPr>
          <w:caps w:val="false"/>
          <w:smallCaps w:val="false"/>
        </w:rPr>
      </w:pPr>
      <w:bookmarkStart w:id="137" w:name="xdx_8A5_zt5GtqiFEWp"/>
      <w:bookmarkEnd w:id="13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 Has Created Strong Alignment with Shareholder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LTIP awards have created strong alignment between our NEOs’ total compensation and long-term shareholder value creation. These awards are a significant portion of total annual target pay for executives, and total outstanding award values place significant interest in long-term company share price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each NEO’s annual target cash compensation and total equity holdings, excluding stock options, as of March 31, 2024, including shares of common stock beneficially owned and unvested restricted stock units. The table provides the value of those shares and restricted stock units based on the share price of our stock on March 31, 2024 and an illustrative diluted book value per share based on our publicly reported book value as of December 31, 2023. For example, the value of our CEO’s shares would increase over 70% (an additional $12.1 million) if our shares were trading at fully diluted book value compared to the March 31, 2024 share price.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 of Equity Held by Named Executive Officers</w:t>
      </w:r>
      <w:r>
        <w:rPr>
          <w:rFonts w:ascii="Times New Roman;Times;Serif" w:hAnsi="Times New Roman;Times;Serif"/>
          <w:b/>
          <w:i/>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tbl>
      <w:tblPr>
        <w:tblW w:w="10820" w:type="dxa"/>
        <w:jc w:val="left"/>
        <w:tblInd w:w="0" w:type="dxa"/>
        <w:tblLayout w:type="fixed"/>
        <w:tblCellMar>
          <w:top w:w="0" w:type="dxa"/>
          <w:left w:w="0" w:type="dxa"/>
          <w:bottom w:w="0" w:type="dxa"/>
          <w:right w:w="0" w:type="dxa"/>
        </w:tblCellMar>
      </w:tblPr>
      <w:tblGrid>
        <w:gridCol w:w="740"/>
        <w:gridCol w:w="60"/>
        <w:gridCol w:w="85"/>
        <w:gridCol w:w="1060"/>
        <w:gridCol w:w="60"/>
        <w:gridCol w:w="60"/>
        <w:gridCol w:w="66"/>
        <w:gridCol w:w="674"/>
        <w:gridCol w:w="60"/>
        <w:gridCol w:w="60"/>
        <w:gridCol w:w="60"/>
        <w:gridCol w:w="605"/>
        <w:gridCol w:w="60"/>
        <w:gridCol w:w="60"/>
        <w:gridCol w:w="60"/>
        <w:gridCol w:w="830"/>
        <w:gridCol w:w="60"/>
        <w:gridCol w:w="60"/>
        <w:gridCol w:w="196"/>
        <w:gridCol w:w="949"/>
        <w:gridCol w:w="170"/>
        <w:gridCol w:w="60"/>
        <w:gridCol w:w="60"/>
        <w:gridCol w:w="830"/>
        <w:gridCol w:w="60"/>
        <w:gridCol w:w="60"/>
        <w:gridCol w:w="196"/>
        <w:gridCol w:w="949"/>
        <w:gridCol w:w="170"/>
        <w:gridCol w:w="60"/>
        <w:gridCol w:w="60"/>
        <w:gridCol w:w="830"/>
        <w:gridCol w:w="60"/>
        <w:gridCol w:w="60"/>
        <w:gridCol w:w="172"/>
        <w:gridCol w:w="973"/>
        <w:gridCol w:w="185"/>
      </w:tblGrid>
      <w:tr>
        <w:trPr/>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55"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Value at $27.01 Share Price (price on 3/31/2024)</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55"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Value at $30.76 Share Price (price on 12/31/2023)</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5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Value at $46.80 Fully Diluted Book Value Per Share</w:t>
            </w:r>
            <w:r>
              <w:rPr>
                <w:rFonts w:ascii="Times New Roman;Times;Serif" w:hAnsi="Times New Roman;Times;Serif"/>
                <w:b/>
                <w:position w:val="6"/>
                <w:sz w:val="14"/>
                <w:sz w:val="18"/>
              </w:rPr>
              <w:t>(6)</w:t>
            </w:r>
          </w:p>
        </w:tc>
        <w:tc>
          <w:tcPr>
            <w:tcW w:w="185" w:type="dxa"/>
            <w:tcBorders/>
            <w:vAlign w:val="center"/>
          </w:tcPr>
          <w:p>
            <w:pPr>
              <w:pStyle w:val="TableContents"/>
              <w:bidi w:val="0"/>
              <w:spacing w:before="0" w:after="283"/>
              <w:jc w:val="center"/>
              <w:rPr/>
            </w:pPr>
            <w:r>
              <w:rPr/>
              <w:t> </w:t>
            </w:r>
          </w:p>
        </w:tc>
      </w:tr>
      <w:tr>
        <w:trPr/>
        <w:tc>
          <w:tcPr>
            <w:tcW w:w="740" w:type="dxa"/>
            <w:tcBorders>
              <w:bottom w:val="single" w:sz="12" w:space="0" w:color="000000"/>
            </w:tcBorders>
            <w:tcMar>
              <w:bottom w:w="28" w:type="dxa"/>
            </w:tcMar>
            <w:vAlign w:val="center"/>
          </w:tcPr>
          <w:p>
            <w:pPr>
              <w:pStyle w:val="TableContents"/>
              <w:bidi w:val="0"/>
              <w:spacing w:before="0" w:after="283"/>
              <w:jc w:val="both"/>
              <w:rPr>
                <w:b/>
                <w:sz w:val="18"/>
              </w:rPr>
            </w:pPr>
            <w:r>
              <w:rPr>
                <w:b/>
                <w:sz w:val="18"/>
              </w:rPr>
              <w:t>Name</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Annual Target Cash Compensation</w:t>
            </w:r>
          </w:p>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Unvested Stock Units</w:t>
            </w:r>
            <w:r>
              <w:rPr>
                <w:rFonts w:ascii="Times New Roman;Times;Serif" w:hAnsi="Times New Roman;Times;Serif"/>
                <w:b/>
                <w:i w:val="false"/>
                <w:caps w:val="false"/>
                <w:smallCaps w:val="false"/>
                <w:position w:val="6"/>
                <w:sz w:val="14"/>
                <w:sz w:val="18"/>
              </w:rPr>
              <w:t>(1)</w:t>
            </w:r>
          </w:p>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Owned Shares</w:t>
            </w:r>
            <w:r>
              <w:rPr>
                <w:rFonts w:ascii="Times New Roman;Times;Serif" w:hAnsi="Times New Roman;Times;Serif"/>
                <w:b/>
                <w:i w:val="false"/>
                <w:caps w:val="false"/>
                <w:smallCaps w:val="false"/>
                <w:position w:val="6"/>
                <w:sz w:val="14"/>
                <w:sz w:val="18"/>
              </w:rPr>
              <w:t>(1)(3)</w:t>
            </w:r>
          </w:p>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Value</w:t>
            </w:r>
            <w:r>
              <w:rPr>
                <w:rFonts w:ascii="Times New Roman;Times;Serif" w:hAnsi="Times New Roman;Times;Serif"/>
                <w:b/>
                <w:i w:val="false"/>
                <w:caps w:val="false"/>
                <w:smallCaps w:val="false"/>
                <w:position w:val="6"/>
                <w:sz w:val="14"/>
                <w:sz w:val="18"/>
              </w:rPr>
              <w:t>(2)(4)</w:t>
            </w:r>
          </w:p>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of Total Annual Target Cash Compensation</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Value</w:t>
            </w:r>
            <w:r>
              <w:rPr>
                <w:rFonts w:ascii="Times New Roman;Times;Serif" w:hAnsi="Times New Roman;Times;Serif"/>
                <w:b/>
                <w:i w:val="false"/>
                <w:caps w:val="false"/>
                <w:smallCaps w:val="false"/>
                <w:position w:val="6"/>
                <w:sz w:val="14"/>
                <w:sz w:val="18"/>
              </w:rPr>
              <w:t>(2)(5)</w:t>
            </w:r>
          </w:p>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of Total Annual Target Cash Compensation</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Value</w:t>
            </w:r>
            <w:r>
              <w:rPr>
                <w:rFonts w:ascii="Times New Roman;Times;Serif" w:hAnsi="Times New Roman;Times;Serif"/>
                <w:b/>
                <w:i w:val="false"/>
                <w:caps w:val="false"/>
                <w:smallCaps w:val="false"/>
                <w:position w:val="6"/>
                <w:sz w:val="14"/>
                <w:sz w:val="18"/>
              </w:rPr>
              <w:t>(2)(6)</w:t>
            </w:r>
          </w:p>
          <w:p>
            <w:pPr>
              <w:pStyle w:val="TableContents"/>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of Total Annual Target Cash Compensation</w:t>
            </w:r>
          </w:p>
        </w:tc>
        <w:tc>
          <w:tcPr>
            <w:tcW w:w="185" w:type="dxa"/>
            <w:tcBorders/>
            <w:vAlign w:val="center"/>
          </w:tcPr>
          <w:p>
            <w:pPr>
              <w:pStyle w:val="TableContents"/>
              <w:bidi w:val="0"/>
              <w:spacing w:before="0" w:after="283"/>
              <w:jc w:val="center"/>
              <w:rPr/>
            </w:pPr>
            <w:r>
              <w:rPr/>
              <w:t> </w:t>
            </w:r>
          </w:p>
        </w:tc>
      </w:tr>
      <w:tr>
        <w:trPr/>
        <w:tc>
          <w:tcPr>
            <w:tcW w:w="740" w:type="dxa"/>
            <w:tcBorders/>
            <w:shd w:fill="CCEEFF" w:val="clear"/>
            <w:vAlign w:val="center"/>
          </w:tcPr>
          <w:p>
            <w:pPr>
              <w:pStyle w:val="TableContents"/>
              <w:bidi w:val="0"/>
              <w:spacing w:before="0" w:after="283"/>
              <w:jc w:val="left"/>
              <w:rPr>
                <w:sz w:val="18"/>
              </w:rPr>
            </w:pPr>
            <w:r>
              <w:rPr>
                <w:sz w:val="18"/>
              </w:rPr>
              <w:t>Glen A. Messina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18"/>
              </w:rPr>
            </w:pPr>
            <w:r>
              <w:rPr>
                <w:sz w:val="18"/>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sz w:val="18"/>
              </w:rPr>
            </w:pPr>
            <w:r>
              <w:rPr>
                <w:sz w:val="18"/>
              </w:rPr>
              <w:t>341,522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268,935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16,488,444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sz w:val="18"/>
              </w:rPr>
            </w:pPr>
            <w:r>
              <w:rPr>
                <w:sz w:val="18"/>
              </w:rPr>
              <w:t>660</w:t>
            </w:r>
          </w:p>
        </w:tc>
        <w:tc>
          <w:tcPr>
            <w:tcW w:w="17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18,777,657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sz w:val="18"/>
              </w:rPr>
            </w:pPr>
            <w:r>
              <w:rPr>
                <w:sz w:val="18"/>
              </w:rPr>
              <w:t>751</w:t>
            </w:r>
          </w:p>
        </w:tc>
        <w:tc>
          <w:tcPr>
            <w:tcW w:w="17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28,569,388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sz w:val="18"/>
              </w:rPr>
            </w:pPr>
            <w:r>
              <w:rPr>
                <w:sz w:val="18"/>
              </w:rPr>
              <w:t>1143</w:t>
            </w:r>
          </w:p>
        </w:tc>
        <w:tc>
          <w:tcPr>
            <w:tcW w:w="185" w:type="dxa"/>
            <w:tcBorders/>
            <w:shd w:fill="CCEEFF" w:val="clear"/>
            <w:vAlign w:val="center"/>
          </w:tcPr>
          <w:p>
            <w:pPr>
              <w:pStyle w:val="TableContents"/>
              <w:bidi w:val="0"/>
              <w:spacing w:before="0" w:after="283"/>
              <w:jc w:val="left"/>
              <w:rPr>
                <w:sz w:val="18"/>
              </w:rPr>
            </w:pPr>
            <w:r>
              <w:rPr>
                <w:sz w:val="18"/>
              </w:rPr>
              <w:t>%</w:t>
            </w:r>
          </w:p>
        </w:tc>
      </w:tr>
      <w:tr>
        <w:trPr/>
        <w:tc>
          <w:tcPr>
            <w:tcW w:w="740" w:type="dxa"/>
            <w:tcBorders/>
            <w:shd w:fill="FFFFFF" w:val="clear"/>
            <w:vAlign w:val="center"/>
          </w:tcPr>
          <w:p>
            <w:pPr>
              <w:pStyle w:val="TableContents"/>
              <w:bidi w:val="0"/>
              <w:spacing w:before="0" w:after="283"/>
              <w:jc w:val="left"/>
              <w:rPr>
                <w:sz w:val="18"/>
              </w:rPr>
            </w:pPr>
            <w:r>
              <w:rPr>
                <w:sz w:val="18"/>
              </w:rPr>
              <w:t>Sean B. O’Neil</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18"/>
              </w:rPr>
            </w:pPr>
            <w:r>
              <w:rPr>
                <w:sz w:val="18"/>
              </w:rPr>
              <w:t>1,100,000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sz w:val="18"/>
              </w:rPr>
            </w:pPr>
            <w:r>
              <w:rPr>
                <w:sz w:val="18"/>
              </w:rPr>
              <w:t>97,932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10,462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2,927,722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sz w:val="18"/>
              </w:rPr>
            </w:pPr>
            <w:r>
              <w:rPr>
                <w:sz w:val="18"/>
              </w:rPr>
              <w:t>266</w:t>
            </w:r>
          </w:p>
        </w:tc>
        <w:tc>
          <w:tcPr>
            <w:tcW w:w="17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3,334,199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sz w:val="18"/>
              </w:rPr>
            </w:pPr>
            <w:r>
              <w:rPr>
                <w:sz w:val="18"/>
              </w:rPr>
              <w:t>303</w:t>
            </w:r>
          </w:p>
        </w:tc>
        <w:tc>
          <w:tcPr>
            <w:tcW w:w="17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5,072,839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sz w:val="18"/>
              </w:rPr>
            </w:pPr>
            <w:r>
              <w:rPr>
                <w:sz w:val="18"/>
              </w:rPr>
              <w:t>461</w:t>
            </w:r>
          </w:p>
        </w:tc>
        <w:tc>
          <w:tcPr>
            <w:tcW w:w="185" w:type="dxa"/>
            <w:tcBorders/>
            <w:shd w:fill="FFFFFF" w:val="clear"/>
            <w:vAlign w:val="center"/>
          </w:tcPr>
          <w:p>
            <w:pPr>
              <w:pStyle w:val="TableContents"/>
              <w:bidi w:val="0"/>
              <w:spacing w:before="0" w:after="283"/>
              <w:jc w:val="left"/>
              <w:rPr>
                <w:sz w:val="18"/>
              </w:rPr>
            </w:pPr>
            <w:r>
              <w:rPr>
                <w:sz w:val="18"/>
              </w:rPr>
              <w:t>%</w:t>
            </w:r>
          </w:p>
        </w:tc>
      </w:tr>
      <w:tr>
        <w:trPr/>
        <w:tc>
          <w:tcPr>
            <w:tcW w:w="740" w:type="dxa"/>
            <w:tcBorders/>
            <w:shd w:fill="CCEEFF" w:val="clear"/>
            <w:vAlign w:val="center"/>
          </w:tcPr>
          <w:p>
            <w:pPr>
              <w:pStyle w:val="TableContents"/>
              <w:bidi w:val="0"/>
              <w:spacing w:before="0" w:after="283"/>
              <w:jc w:val="left"/>
              <w:rPr>
                <w:sz w:val="18"/>
              </w:rPr>
            </w:pPr>
            <w:r>
              <w:rPr>
                <w:sz w:val="18"/>
              </w:rPr>
              <w:t>Scott W. Anderson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18"/>
              </w:rPr>
            </w:pPr>
            <w:r>
              <w:rPr>
                <w:sz w:val="18"/>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sz w:val="18"/>
              </w:rPr>
            </w:pPr>
            <w:r>
              <w:rPr>
                <w:sz w:val="18"/>
              </w:rPr>
              <w:t>52,104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24,162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2,059,945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sz w:val="18"/>
              </w:rPr>
            </w:pPr>
            <w:r>
              <w:rPr>
                <w:sz w:val="18"/>
              </w:rPr>
              <w:t>206</w:t>
            </w:r>
          </w:p>
        </w:tc>
        <w:tc>
          <w:tcPr>
            <w:tcW w:w="17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2,345,942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sz w:val="18"/>
              </w:rPr>
            </w:pPr>
            <w:r>
              <w:rPr>
                <w:sz w:val="18"/>
              </w:rPr>
              <w:t>235</w:t>
            </w:r>
          </w:p>
        </w:tc>
        <w:tc>
          <w:tcPr>
            <w:tcW w:w="17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3,569,249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sz w:val="18"/>
              </w:rPr>
            </w:pPr>
            <w:r>
              <w:rPr>
                <w:sz w:val="18"/>
              </w:rPr>
              <w:t>357</w:t>
            </w:r>
          </w:p>
        </w:tc>
        <w:tc>
          <w:tcPr>
            <w:tcW w:w="185" w:type="dxa"/>
            <w:tcBorders/>
            <w:shd w:fill="CCEEFF" w:val="clear"/>
            <w:vAlign w:val="center"/>
          </w:tcPr>
          <w:p>
            <w:pPr>
              <w:pStyle w:val="TableContents"/>
              <w:bidi w:val="0"/>
              <w:spacing w:before="0" w:after="283"/>
              <w:jc w:val="left"/>
              <w:rPr>
                <w:sz w:val="18"/>
              </w:rPr>
            </w:pPr>
            <w:r>
              <w:rPr>
                <w:sz w:val="18"/>
              </w:rPr>
              <w:t>%</w:t>
            </w:r>
          </w:p>
        </w:tc>
      </w:tr>
      <w:tr>
        <w:trPr/>
        <w:tc>
          <w:tcPr>
            <w:tcW w:w="740" w:type="dxa"/>
            <w:tcBorders/>
            <w:shd w:fill="FFFFFF" w:val="clear"/>
            <w:vAlign w:val="center"/>
          </w:tcPr>
          <w:p>
            <w:pPr>
              <w:pStyle w:val="TableContents"/>
              <w:bidi w:val="0"/>
              <w:spacing w:before="0" w:after="283"/>
              <w:jc w:val="left"/>
              <w:rPr>
                <w:sz w:val="18"/>
              </w:rPr>
            </w:pPr>
            <w:r>
              <w:rPr>
                <w:sz w:val="18"/>
              </w:rPr>
              <w:t>Dennis Zeleny</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18"/>
              </w:rPr>
            </w:pPr>
            <w:r>
              <w:rPr>
                <w:sz w:val="18"/>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sz w:val="18"/>
              </w:rPr>
            </w:pPr>
            <w:r>
              <w:rPr>
                <w:sz w:val="18"/>
              </w:rPr>
              <w:t>49,712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11,520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1,653,876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sz w:val="18"/>
              </w:rPr>
            </w:pPr>
            <w:r>
              <w:rPr>
                <w:sz w:val="18"/>
              </w:rPr>
              <w:t>165</w:t>
            </w:r>
          </w:p>
        </w:tc>
        <w:tc>
          <w:tcPr>
            <w:tcW w:w="17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1,883,496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sz w:val="18"/>
              </w:rPr>
            </w:pPr>
            <w:r>
              <w:rPr>
                <w:sz w:val="18"/>
              </w:rPr>
              <w:t>188</w:t>
            </w:r>
          </w:p>
        </w:tc>
        <w:tc>
          <w:tcPr>
            <w:tcW w:w="17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2,865,658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sz w:val="18"/>
              </w:rPr>
            </w:pPr>
            <w:r>
              <w:rPr>
                <w:sz w:val="18"/>
              </w:rPr>
              <w:t>287</w:t>
            </w:r>
          </w:p>
        </w:tc>
        <w:tc>
          <w:tcPr>
            <w:tcW w:w="185" w:type="dxa"/>
            <w:tcBorders/>
            <w:shd w:fill="FFFFFF" w:val="clear"/>
            <w:vAlign w:val="center"/>
          </w:tcPr>
          <w:p>
            <w:pPr>
              <w:pStyle w:val="TableContents"/>
              <w:bidi w:val="0"/>
              <w:spacing w:before="0" w:after="283"/>
              <w:jc w:val="left"/>
              <w:rPr>
                <w:sz w:val="18"/>
              </w:rPr>
            </w:pPr>
            <w:r>
              <w:rPr>
                <w:sz w:val="18"/>
              </w:rPr>
              <w:t>%</w:t>
            </w:r>
          </w:p>
        </w:tc>
      </w:tr>
      <w:tr>
        <w:trPr/>
        <w:tc>
          <w:tcPr>
            <w:tcW w:w="740" w:type="dxa"/>
            <w:tcBorders/>
            <w:shd w:fill="CCEEFF" w:val="clear"/>
            <w:vAlign w:val="center"/>
          </w:tcPr>
          <w:p>
            <w:pPr>
              <w:pStyle w:val="TableContents"/>
              <w:bidi w:val="0"/>
              <w:spacing w:before="0" w:after="283"/>
              <w:jc w:val="left"/>
              <w:rPr>
                <w:sz w:val="18"/>
              </w:rPr>
            </w:pPr>
            <w:r>
              <w:rPr>
                <w:sz w:val="18"/>
              </w:rPr>
              <w:t>TOTAL</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18"/>
              </w:rPr>
            </w:pPr>
            <w:r>
              <w:rPr>
                <w:sz w:val="18"/>
              </w:rPr>
              <w:t>5,600,000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sz w:val="18"/>
              </w:rPr>
            </w:pPr>
            <w:r>
              <w:rPr>
                <w:sz w:val="18"/>
              </w:rPr>
              <w:t>541,270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315,079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23,129,986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sz w:val="18"/>
              </w:rPr>
            </w:pPr>
            <w:r>
              <w:rPr>
                <w:sz w:val="18"/>
              </w:rPr>
              <w:t>413</w:t>
            </w:r>
          </w:p>
        </w:tc>
        <w:tc>
          <w:tcPr>
            <w:tcW w:w="17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26,341,295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sz w:val="18"/>
              </w:rPr>
            </w:pPr>
            <w:r>
              <w:rPr>
                <w:sz w:val="18"/>
              </w:rPr>
              <w:t>470</w:t>
            </w:r>
          </w:p>
        </w:tc>
        <w:tc>
          <w:tcPr>
            <w:tcW w:w="17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40,077,133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sz w:val="18"/>
              </w:rPr>
            </w:pPr>
            <w:r>
              <w:rPr>
                <w:sz w:val="18"/>
              </w:rPr>
              <w:t>716</w:t>
            </w:r>
          </w:p>
        </w:tc>
        <w:tc>
          <w:tcPr>
            <w:tcW w:w="185" w:type="dxa"/>
            <w:tcBorders/>
            <w:shd w:fill="CCEEFF" w:val="clear"/>
            <w:vAlign w:val="center"/>
          </w:tcPr>
          <w:p>
            <w:pPr>
              <w:pStyle w:val="TableContents"/>
              <w:bidi w:val="0"/>
              <w:spacing w:before="0" w:after="283"/>
              <w:jc w:val="left"/>
              <w:rPr>
                <w:sz w:val="18"/>
              </w:rPr>
            </w:pPr>
            <w:r>
              <w:rPr>
                <w:sz w:val="18"/>
              </w:rPr>
              <w:t>%</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includes shares of common stock beneficially owned plus unvested restricted stock units. For the vesting terms of our restricted stock units, see “Executive Compensation—Compensation Discussion and Analysis—2023 Long-Term Incentive (LTIP)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Values reflect all outstanding stock units, including cash settled restricted stock units and excluding stock options, as of March 31, 2024, with performance-based units adjusted for interim performance as of March 31, 2024. There is no guarantee that time-based units or performance-based units will vest. Vesting of cash-settled stock units will reduce totals shown above. See “Compensation Discussion and Analysis - 2023 Long-Term Incentive (LTIP) Awards” and “Outstanding Equity Awards at Fiscal Year-End”, below, for additional detail on outstanding restricted stock units.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5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Owned Shares” represents shares beneficially owned as of March 31, 2024. Includes shares held jointly, indirectly by spouse, and indirectly by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 are based on share price as of March 28, 2024, the last closing price prior March 31, 2024, and equity holdings as of March 31, 2024. Our future stock price may vary materially from the closing price shown in the table. The closing price per share of our common stock on April 11, 2024 was $24.40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 are based on $30.76 closing price per share of our common stock on December 29, 2023, the last closing price prior to December 31, 2023, and March 31, 2024 equity holdings. Our future stock price may vary materially from the closing price shown in the table.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(6)</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Calculations are based on March 31, 2024 equity holdings and fully diluted book value per share. Fully diluted book value per share is calculated based on the Company’s most recent publicly reported book value of $401.8 million at December 29, 2023 and 9,230,269 shares, comprised of 7,784,253 shares outstanding and 1,446,016 warrants held by Oaktree as of March 31, 2024. See “Business Relationships and Related Transactions – Relationship with Oaktree”, below. Assumes cashless exercise of Oaktree warrants using 10-day average of Volume Weighted Average Price (10 days ending on preceding day of exercise) on March 31, 2024 of $25.54. Does not give effect to issuance of shares underlying vested and unvested restricted stock units shown in table or stock options with strike prices above current trading prices.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shares owned and outstanding units granted to NEOs as of March 31, 2024 represent 11.2% of the diluted weighted average number (7,635,584) of shares of the Company’s common stock issued and outstanding in the 2023 fiscal year. When coupled with the holdings of non-management directors, as shown above, these groups collectively own shares and outstanding units representing 13.2% of the Company’s 2023 diluted weighted average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further below, awards granted to NEOs in 2023 also applied a one-year holding requirement to shares acquired on vesting of newly-granted RSUs to continue to promote strong governance and risk management practices.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Parties Involved in Compensation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of our executive compensation programs generally occurs through interaction of three groups: the Compensation Committee, the Compensation Committee’s independent compensation consultant, and management. In 2023, on occasion and as it considered appropriate, the Compensation Committee enlisted the advice of outside counsel specializing in executive and non-employee director compensation matters to assist it in fulfilling its responsibilities under the Compensation Committee’s charter.</w:t>
      </w:r>
    </w:p>
    <w:p>
      <w:pPr>
        <w:pStyle w:val="TextBody"/>
        <w:bidi w:val="0"/>
        <w:spacing w:before="0" w:after="0"/>
        <w:ind w:left="810" w:right="0" w:hanging="810"/>
        <w:jc w:val="both"/>
        <w:rPr>
          <w:caps w:val="false"/>
          <w:smallCaps w:val="false"/>
        </w:rPr>
      </w:pPr>
      <w:r>
        <w:rPr>
          <w:caps w:val="false"/>
          <w:smallCaps w:val="false"/>
        </w:rPr>
        <w:t> </w:t>
      </w:r>
    </w:p>
    <w:p>
      <w:pPr>
        <w:pStyle w:val="TextBody"/>
        <w:bidi w:val="0"/>
        <w:spacing w:before="0" w:after="0"/>
        <w:ind w:left="810" w:right="0" w:hanging="8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the Compensation Committee</w:t>
      </w:r>
    </w:p>
    <w:p>
      <w:pPr>
        <w:pStyle w:val="TextBody"/>
        <w:bidi w:val="0"/>
        <w:spacing w:before="0" w:after="0"/>
        <w:ind w:left="810" w:right="0" w:hanging="8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overseeing the development and approval of our executive compensation and benefits policies and programs. The Compensation Committee, consisting of three independent directors, is responsible for the design, review and approval of all aspects of our executive compensation program. Among its duties, the Compensation Committee formulates recommendations to the Board of Directors for CEO compensation and reviews and approves all compensation recommendations for the other NEOs. Adjustments are made by the Compensation Committee in its judgment, taking into account compensation arrangements for comparable positions at peer group companies (discussed below), analysis prepared by WTW, the Compensation Committee’s independent compensation consultant, individual performance of the NEO, an assessment of the value of the individual’s performance going forward and compensation levels necessary to maintain and attract quality personnel. Compensation levels are also considered upon a promotion or other change in job responsibility. The Company considers feedback from shareholders, including feedback in the form of shareholder advisory votes on Ocwen’s executive compensation. Additionally, the Compensation Committee reviews an annual risk assessment prepared by the Chief Risk and Compliance Officer to evaluate the likelihood that NEO incentive compensation plans may induce management actions inconsistent with the Company’s risk appetite statement and core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review for NEOs also includes:</w:t>
      </w:r>
    </w:p>
    <w:p>
      <w:pPr>
        <w:pStyle w:val="TextBody"/>
        <w:bidi w:val="0"/>
        <w:spacing w:before="0" w:after="0"/>
        <w:ind w:left="1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AIP Corporate Scorecard, which drives the variable compensation for approximately 600 top managers of the company including the NEOs;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 of individual performance results to determine the AIP individual performance multiplier of each NEO;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any changes to compensation, including, but not limited to, base salary, short-term and long-term incentive award opportunities, severance payments and retention programs;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 of the market competitiveness of each NEO’s total compensation (and principal elements of compensation) against relevant comparator groups, including broad-based industry survey data provided by the Compensation Committee’s independent compensation consultant (which is considered generally without focus on any particular company or group of companies in the survey other than the peer group companies noted below) as well as a peer group of companies that are recommended to the Compensation Committee by its independent compensation consultant based on a number of metrics, including industry classification, revenues, assets and number of employees. The peer group used to help inform compensation decisions from January through September 2023 is listed below.</w:t>
            </w:r>
          </w:p>
        </w:tc>
      </w:tr>
    </w:tbl>
    <w:p>
      <w:pPr>
        <w:pStyle w:val="TextBody"/>
        <w:bidi w:val="0"/>
        <w:spacing w:before="0" w:after="0"/>
        <w:ind w:left="765" w:right="0" w:hanging="360"/>
        <w:jc w:val="both"/>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2960"/>
        <w:gridCol w:w="2825"/>
      </w:tblGrid>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Associated Banc-Corp</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Cooper Group Inc.</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BankUnited,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Navient Corporation</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of America Companies,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PennyMac Financial Services, Inc.</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Guild Holdings Company</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Radian Group Inc.</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Point Capital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State Corporation</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LendingTree,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UWM Holdings Corporation</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loanDepot,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 &amp; Dunlop, Inc.</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MGIC Investment Corporation</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Webster Financial Corporation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the Compensation Committee revised the peer group to the list below to accommodate mergers and acquisitions activity within the previous peer group, and to ensure the constituent companies remain aligned with Ocwen’s business model and key metrics noted above.</w:t>
      </w:r>
    </w:p>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2960"/>
        <w:gridCol w:w="2825"/>
      </w:tblGrid>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Associated Banc-Corp</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Cooper Group Inc.</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Axos Financial,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PennyMac Financial Services, Inc.</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BankUnited,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Radian Group Inc.</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of America Companies,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State Corporation</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Guild Holdings Company</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UWM Holdings Corporation</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LendingTree,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 &amp; Dunlop, Inc.</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loanDepot, Inc.</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Webster Financial Corporation</w:t>
            </w:r>
          </w:p>
        </w:tc>
      </w:tr>
      <w:tr>
        <w:trPr/>
        <w:tc>
          <w:tcPr>
            <w:tcW w:w="29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MGIC Investment Corporation</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WSFS Financial Corporation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We Make Compensation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our executive and other compensation programs are developed and refined through a year’s worth of analysis and decision-making by the Compensation Committee. A typical year’s work is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22"/>
        <w:gridCol w:w="60"/>
        <w:gridCol w:w="2329"/>
        <w:gridCol w:w="60"/>
        <w:gridCol w:w="2423"/>
        <w:gridCol w:w="60"/>
        <w:gridCol w:w="3051"/>
      </w:tblGrid>
      <w:tr>
        <w:trPr/>
        <w:tc>
          <w:tcPr>
            <w:tcW w:w="222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QUARTER 1</w:t>
            </w:r>
          </w:p>
        </w:tc>
        <w:tc>
          <w:tcPr>
            <w:tcW w:w="60" w:type="dxa"/>
            <w:tcBorders/>
            <w:tcMar>
              <w:bottom w:w="0" w:type="dxa"/>
            </w:tcMar>
            <w:vAlign w:val="center"/>
          </w:tcPr>
          <w:p>
            <w:pPr>
              <w:pStyle w:val="TableContents"/>
              <w:bidi w:val="0"/>
              <w:spacing w:before="0" w:after="283"/>
              <w:jc w:val="center"/>
              <w:rPr/>
            </w:pPr>
            <w:r>
              <w:rPr/>
              <w:t> </w:t>
            </w:r>
          </w:p>
        </w:tc>
        <w:tc>
          <w:tcPr>
            <w:tcW w:w="232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QUARTER 2</w:t>
            </w:r>
          </w:p>
        </w:tc>
        <w:tc>
          <w:tcPr>
            <w:tcW w:w="60" w:type="dxa"/>
            <w:tcBorders/>
            <w:tcMar>
              <w:bottom w:w="0" w:type="dxa"/>
            </w:tcMar>
            <w:vAlign w:val="center"/>
          </w:tcPr>
          <w:p>
            <w:pPr>
              <w:pStyle w:val="TableContents"/>
              <w:bidi w:val="0"/>
              <w:spacing w:before="0" w:after="283"/>
              <w:jc w:val="center"/>
              <w:rPr/>
            </w:pPr>
            <w:r>
              <w:rPr/>
              <w:t> </w:t>
            </w:r>
          </w:p>
        </w:tc>
        <w:tc>
          <w:tcPr>
            <w:tcW w:w="242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QUARTER 3</w:t>
            </w:r>
          </w:p>
        </w:tc>
        <w:tc>
          <w:tcPr>
            <w:tcW w:w="60" w:type="dxa"/>
            <w:tcBorders/>
            <w:tcMar>
              <w:bottom w:w="0" w:type="dxa"/>
            </w:tcMar>
            <w:vAlign w:val="center"/>
          </w:tcPr>
          <w:p>
            <w:pPr>
              <w:pStyle w:val="TableContents"/>
              <w:bidi w:val="0"/>
              <w:spacing w:before="0" w:after="283"/>
              <w:jc w:val="center"/>
              <w:rPr/>
            </w:pPr>
            <w:r>
              <w:rPr/>
              <w:t> </w:t>
            </w:r>
          </w:p>
        </w:tc>
        <w:tc>
          <w:tcPr>
            <w:tcW w:w="305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QUARTER 4</w:t>
            </w:r>
          </w:p>
        </w:tc>
      </w:tr>
      <w:tr>
        <w:trPr/>
        <w:tc>
          <w:tcPr>
            <w:tcW w:w="2222" w:type="dxa"/>
            <w:tcBorders/>
            <w:tcMar>
              <w:bottom w:w="0" w:type="dxa"/>
            </w:tcMar>
            <w:vAlign w:val="center"/>
          </w:tcPr>
          <w:p>
            <w:pPr>
              <w:pStyle w:val="TableContents"/>
              <w:bidi w:val="0"/>
              <w:spacing w:before="33" w:after="33"/>
              <w:ind w:left="180" w:right="33" w:hanging="1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Evaluate the Company’s prior year performance against the financial and strategic metrics set forth in the prior year’s AIP scorecard.</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Review and evaluate the individual performance of the CEO and each of our other NEOs and other executive officers.</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Determine the payouts to be made under the AIP based on prior year’s performance.</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Determine total target compensation levels for our NEOs and other executive officers, as informed by both market data and prior year’s performance.</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Establish the structure and targets for the current year’s AIP to align with the financial and strategic priorities for the Company.</w:t>
            </w:r>
          </w:p>
          <w:p>
            <w:pPr>
              <w:pStyle w:val="TableContents"/>
              <w:bidi w:val="0"/>
              <w:spacing w:before="0" w:after="30"/>
              <w:ind w:left="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Establish the structure for the current year’s LTIP awards, including TSR or other performance objective.</w:t>
            </w:r>
          </w:p>
        </w:tc>
        <w:tc>
          <w:tcPr>
            <w:tcW w:w="60" w:type="dxa"/>
            <w:tcBorders/>
            <w:tcMar>
              <w:bottom w:w="0" w:type="dxa"/>
            </w:tcMar>
            <w:vAlign w:val="center"/>
          </w:tcPr>
          <w:p>
            <w:pPr>
              <w:pStyle w:val="TableContents"/>
              <w:bidi w:val="0"/>
              <w:spacing w:before="0" w:after="283"/>
              <w:jc w:val="left"/>
              <w:rPr/>
            </w:pPr>
            <w:r>
              <w:rPr/>
              <w:t> </w:t>
            </w:r>
          </w:p>
        </w:tc>
        <w:tc>
          <w:tcPr>
            <w:tcW w:w="2329" w:type="dxa"/>
            <w:tcBorders/>
            <w:tcMar>
              <w:bottom w:w="0" w:type="dxa"/>
            </w:tcMar>
            <w:vAlign w:val="center"/>
          </w:tcPr>
          <w:p>
            <w:pPr>
              <w:pStyle w:val="TableContents"/>
              <w:bidi w:val="0"/>
              <w:spacing w:before="33" w:after="33"/>
              <w:ind w:left="180" w:right="33"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Prepare the Compensation Committee’s report and CD&amp;A for the Proxy Statement.</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Review and discuss Say-on-Pay voting recommendations from proxy advisory firms.</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Review and discuss the results of the voting at the Annual Meeting.</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Review reports from the Compensation Committee’s independent compensation consultants on practices and trends in the industry.</w:t>
            </w:r>
          </w:p>
          <w:p>
            <w:pPr>
              <w:pStyle w:val="TableContents"/>
              <w:bidi w:val="0"/>
              <w:spacing w:before="0" w:after="30"/>
              <w:ind w:left="0" w:right="0" w:hanging="18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23" w:type="dxa"/>
            <w:tcBorders/>
            <w:tcMar>
              <w:bottom w:w="0" w:type="dxa"/>
            </w:tcMar>
            <w:vAlign w:val="center"/>
          </w:tcPr>
          <w:p>
            <w:pPr>
              <w:pStyle w:val="TableContents"/>
              <w:bidi w:val="0"/>
              <w:spacing w:before="33" w:after="33"/>
              <w:ind w:left="180" w:right="33"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Undertake a review of the Company’s designated peer group to determine if any changes need to be made in order for it to remain appropriate.</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Commence shareholder engagement focused on the Say-on-Pay vote at the Annual Meeting to inform pay decisions and design compensation programs for the coming year.</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Review human capital initiatives to support growth.</w:t>
            </w:r>
          </w:p>
          <w:p>
            <w:pPr>
              <w:pStyle w:val="TableContents"/>
              <w:bidi w:val="0"/>
              <w:spacing w:before="0" w:after="30"/>
              <w:ind w:left="0" w:right="0" w:hanging="18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051" w:type="dxa"/>
            <w:tcBorders/>
            <w:tcMar>
              <w:bottom w:w="0" w:type="dxa"/>
            </w:tcMar>
            <w:vAlign w:val="center"/>
          </w:tcPr>
          <w:p>
            <w:pPr>
              <w:pStyle w:val="TableContents"/>
              <w:bidi w:val="0"/>
              <w:spacing w:before="33" w:after="33"/>
              <w:ind w:left="180" w:right="33"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Continue shareholder engagement focused on Say-on-Pay vote at the Annual Meeting.</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Review the goals and objectives of the Company’s compensation programs.</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Conduct an assessment of executive compensation and independent director compensation against peer group and relevant general survey data provided by the Compensation Committee’s independent compensation consultant.</w:t>
            </w:r>
          </w:p>
          <w:p>
            <w:pPr>
              <w:pStyle w:val="TableContents"/>
              <w:bidi w:val="0"/>
              <w:ind w:left="180" w:right="0" w:hanging="18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Conduct comprehensive, risk-based review of the Company’s compensation policies and practices that is designed to ensure appropriate mitigation of undue risk.</w:t>
            </w:r>
          </w:p>
          <w:p>
            <w:pPr>
              <w:pStyle w:val="TableContents"/>
              <w:bidi w:val="0"/>
              <w:spacing w:before="0" w:after="30"/>
              <w:ind w:left="180" w:right="0" w:hanging="180"/>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Roles of Executive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In formulating the conclusions and recommendations for the Chief Audit Executive, Chief Financial Officer, Chief Risk and Compliance Officer, and Chief Administrative Officer, the CEO consults with the Chairs of the Audit Committee, Risk and Compliance Committee and Compensation Committee to incorporate the views and perspectives of the relevant committee chair. The Compensation Committee can exercise its discretion in accepting, rejecting and/or modifying any such recommendations, subject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Role of Independent Compensation Consultant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primary role of the Compensation Committee’s independent compensation consultant, WTW, is to provide advice to the Compensation Committee in connection with the development and approval of our compensation policies and programs. Except as otherwise noted in this Compensation Discussion and Analysis, the Compensation Committee’s decisions are the result of the Compensation Committee’s business judgment with respect to compensation matters, informed by the experiences of its members and analysis and input from independent compensation consultants, among other factors. The Compensation Committee has assessed the independence of WTW and has concluded that WTW’s engagement does not raise any conflict of interest with the Company or any of its directors or executive officers. WTW performed a number of services for the Compensation Committee, including but not limited to reviewing and providing guidance on: </w:t>
      </w:r>
    </w:p>
    <w:p>
      <w:pPr>
        <w:pStyle w:val="TextBody"/>
        <w:bidi w:val="0"/>
        <w:spacing w:before="0" w:after="0"/>
        <w:ind w:left="0" w:right="0" w:hanging="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 of the annual AIP and LTIP awards;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competitiveness of compensation of our NEOs;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Company’s peer group for purposes of informing compensation decisions;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reports of proxy advisory firms, including ISS and Glass Lewis, relating to the proxy statement;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competitiveness of the compensation of our independent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best practices for executive and independent director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Engagement and Consideration of Shareholder Advisors’ Input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our Board of Directors value shareholder feedback and actively engage with our largest shareholders through outreach and direct meetings with active investors. The Committee also considers recommended best practices put forth by shareholder proxy advisory firms, such as ISS, to the extent these institutions’ recommendations are aligned with the interests of our shareholders. Shareholder input has helped shape our approach towards LTIP awards and related performance metrics and strengthened how we implement our pay-for-performance philosophy. We aspire to continued strong support for our executive pay decisions; in 2023, 85% of shareholder advisory votes were cast in favor of our Say-on-Pay proposal. We also intend to continue to hold an advisory Say-on-Pay vote at each annual meeting of shareholders.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Governance Considerations in How We Design and Implement Our Compensation Programs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33"/>
        <w:gridCol w:w="60"/>
        <w:gridCol w:w="5012"/>
      </w:tblGrid>
      <w:tr>
        <w:trPr/>
        <w:tc>
          <w:tcPr>
            <w:tcW w:w="5133"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WE DO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WE DON’T DO</w:t>
            </w:r>
          </w:p>
        </w:tc>
      </w:tr>
      <w:tr>
        <w:trPr/>
        <w:tc>
          <w:tcPr>
            <w:tcW w:w="5133"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for performance</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NEOs’ pay is at-risk and not guaranteed. We set clear and transparent financial and strategic goals within our short- and long-term incentive awards which include performance-based vesting conditions.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fixed term of employment agreements</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employment agreements that provide for a fixed term of employment with any of our executive officers. Employment is at-will and provisions for separation and treatment of compensation is contained in applicable award documents or offer letters.</w:t>
            </w:r>
          </w:p>
        </w:tc>
      </w:tr>
      <w:tr>
        <w:trPr/>
        <w:tc>
          <w:tcPr>
            <w:tcW w:w="513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133"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Discourage excessive risk taking</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within our risk management framework and include a balanced program design, multiple performance measures, claw-back and retention requirements. We also conduct an annual risk assessment of our NEO compensation plans to ensure they do not promote undue or excessive risk-taking.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tax gross-ups</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policy to not provide tax gross-ups (other than for taxable relocation expenses for moves necessitated by our business), including tax gross-ups related to excess parachute payments as defined under section 280G of the Internal Revenue Code.</w:t>
            </w:r>
          </w:p>
        </w:tc>
      </w:tr>
      <w:tr>
        <w:trPr/>
        <w:tc>
          <w:tcPr>
            <w:tcW w:w="513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133"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Retain an independent compensation consultant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retained the services of WTW as an independent consultant that reports directly to the Chair of the Compensation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option back-dating, re-pricing or reloading</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permit back-dating, re-pricing of stock options, or reloading of stock options. No stock options are granted with exercise prices that are below the closing price of Ocwen stock on the date of grant.</w:t>
            </w:r>
          </w:p>
          <w:p>
            <w:pPr>
              <w:pStyle w:val="TableContents"/>
              <w:bidi w:val="0"/>
              <w:spacing w:before="0" w:after="283"/>
              <w:jc w:val="both"/>
              <w:rPr>
                <w:caps w:val="false"/>
                <w:smallCaps w:val="false"/>
              </w:rPr>
            </w:pPr>
            <w:r>
              <w:rPr>
                <w:caps w:val="false"/>
                <w:smallCaps w:val="false"/>
              </w:rPr>
              <w:t> </w:t>
            </w:r>
          </w:p>
        </w:tc>
      </w:tr>
      <w:tr>
        <w:trPr/>
        <w:tc>
          <w:tcPr>
            <w:tcW w:w="513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133"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Caps on annual incentives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practice under the AIP provides for a maximum payout opportunity at 150% of the target incentive.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hedging or pledging</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prohibit directors and all employees, including executive officers, from pledging shares of our stock as collateral for loans or for other reasons and from engaging in any activity that hedges the economic risk of an investment in our stock.</w:t>
            </w:r>
          </w:p>
        </w:tc>
      </w:tr>
      <w:tr>
        <w:trPr/>
        <w:tc>
          <w:tcPr>
            <w:tcW w:w="513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133"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Introduced holding requirement for shares</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with equity granted to executives on or after March 31, 2022, shares acquired on vesting pursuant to those awards will be subject to a one-year holding 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2"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“single-trigger” LTIP awards</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LTIP awards do not automatically vest upon the occurrence of a change in control. Rather, these awards include double-trigger provisions such that following a change in control a NEO will only receive accelerated payouts if terminated without cause or upon voluntary resignation for good reason.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Salaries and Annual Incentive Targets for our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and annual incentive targets are intended to provide a target level of cash compensation that is competitive and appropriate for the responsibilities of the executive’s position. The Compensation Committee determines each executive’s compensation levels based on its assessment of the nature and scope of each executive officer’s responsibilities, experience and performance, and an assessment of compensation levels necessary to maintain and attract quality personnel as informed by peer group and general industry survey data. As of December 31, 2023, the variable (AIP) proportion of total target cash compensation is 60% for the CEO and 50% for other NEOs.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each NEO’s 2023 base salary and AIP target, which were unchanged from 2022 compensation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47"/>
        <w:gridCol w:w="60"/>
        <w:gridCol w:w="71"/>
        <w:gridCol w:w="1176"/>
        <w:gridCol w:w="60"/>
        <w:gridCol w:w="60"/>
        <w:gridCol w:w="74"/>
        <w:gridCol w:w="1233"/>
        <w:gridCol w:w="74"/>
        <w:gridCol w:w="74"/>
        <w:gridCol w:w="74"/>
        <w:gridCol w:w="477"/>
        <w:gridCol w:w="215"/>
        <w:gridCol w:w="60"/>
        <w:gridCol w:w="260"/>
        <w:gridCol w:w="4308"/>
        <w:gridCol w:w="82"/>
      </w:tblGrid>
      <w:tr>
        <w:trPr/>
        <w:tc>
          <w:tcPr>
            <w:tcW w:w="1847" w:type="dxa"/>
            <w:tcBorders>
              <w:bottom w:val="single" w:sz="12"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247"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Salary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06" w:type="dxa"/>
            <w:gridSpan w:val="6"/>
            <w:tcBorders>
              <w:bottom w:val="single" w:sz="12" w:space="0" w:color="000000"/>
            </w:tcBorders>
            <w:vAlign w:val="center"/>
          </w:tcPr>
          <w:p>
            <w:pPr>
              <w:pStyle w:val="TableContents"/>
              <w:bidi w:val="0"/>
              <w:jc w:val="center"/>
              <w:rPr>
                <w:b/>
              </w:rPr>
            </w:pPr>
            <w:r>
              <w:rPr>
                <w:b/>
              </w:rPr>
              <w:t>Annual AIP Target</w:t>
            </w:r>
          </w:p>
          <w:p>
            <w:pPr>
              <w:pStyle w:val="TableContents"/>
              <w:bidi w:val="0"/>
              <w:spacing w:before="0" w:after="283"/>
              <w:jc w:val="center"/>
              <w:rPr>
                <w:b/>
              </w:rPr>
            </w:pPr>
            <w:r>
              <w:rPr>
                <w:b/>
              </w:rPr>
              <w:t>($ and % of Salary)</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568" w:type="dxa"/>
            <w:gridSpan w:val="2"/>
            <w:tcBorders>
              <w:bottom w:val="single" w:sz="12" w:space="0" w:color="000000"/>
            </w:tcBorders>
            <w:vAlign w:val="center"/>
          </w:tcPr>
          <w:p>
            <w:pPr>
              <w:pStyle w:val="TableContents"/>
              <w:bidi w:val="0"/>
              <w:spacing w:before="0" w:after="283"/>
              <w:jc w:val="center"/>
              <w:rPr>
                <w:b/>
              </w:rPr>
            </w:pPr>
            <w:r>
              <w:rPr>
                <w:b/>
              </w:rPr>
              <w:t>Annual Total Target Cash Compensation ($)</w:t>
            </w:r>
          </w:p>
        </w:tc>
        <w:tc>
          <w:tcPr>
            <w:tcW w:w="82" w:type="dxa"/>
            <w:tcBorders/>
            <w:tcMar>
              <w:bottom w:w="0" w:type="dxa"/>
            </w:tcMar>
            <w:vAlign w:val="center"/>
          </w:tcPr>
          <w:p>
            <w:pPr>
              <w:pStyle w:val="TableContents"/>
              <w:bidi w:val="0"/>
              <w:spacing w:before="0" w:after="283"/>
              <w:jc w:val="center"/>
              <w:rPr/>
            </w:pPr>
            <w:r>
              <w:rPr/>
              <w:t> </w:t>
            </w:r>
          </w:p>
        </w:tc>
      </w:tr>
      <w:tr>
        <w:trPr/>
        <w:tc>
          <w:tcPr>
            <w:tcW w:w="1847" w:type="dxa"/>
            <w:tcBorders/>
            <w:shd w:fill="CCEEFF" w:val="clear"/>
            <w:tcMar>
              <w:bottom w:w="0" w:type="dxa"/>
            </w:tcMar>
            <w:vAlign w:val="center"/>
          </w:tcPr>
          <w:p>
            <w:pPr>
              <w:pStyle w:val="TableContents"/>
              <w:bidi w:val="0"/>
              <w:spacing w:before="0" w:after="283"/>
              <w:jc w:val="left"/>
              <w:rPr/>
            </w:pPr>
            <w:r>
              <w:rPr/>
              <w:t>Glen A. Messina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1,500,000</w:t>
            </w:r>
          </w:p>
        </w:tc>
        <w:tc>
          <w:tcPr>
            <w:tcW w:w="74"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right"/>
              <w:rPr/>
            </w:pPr>
            <w:r>
              <w:rPr/>
              <w:t>150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4308" w:type="dxa"/>
            <w:tcBorders/>
            <w:shd w:fill="CCEEFF" w:val="clear"/>
            <w:tcMar>
              <w:bottom w:w="0" w:type="dxa"/>
            </w:tcMar>
            <w:vAlign w:val="center"/>
          </w:tcPr>
          <w:p>
            <w:pPr>
              <w:pStyle w:val="TableContents"/>
              <w:bidi w:val="0"/>
              <w:spacing w:before="0" w:after="283"/>
              <w:jc w:val="right"/>
              <w:rPr/>
            </w:pPr>
            <w:r>
              <w:rPr/>
              <w:t>2,500,000</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847" w:type="dxa"/>
            <w:tcBorders/>
            <w:shd w:fill="FFFFFF" w:val="clear"/>
            <w:tcMar>
              <w:bottom w:w="0" w:type="dxa"/>
            </w:tcMar>
            <w:vAlign w:val="center"/>
          </w:tcPr>
          <w:p>
            <w:pPr>
              <w:pStyle w:val="TableContents"/>
              <w:bidi w:val="0"/>
              <w:spacing w:before="0" w:after="283"/>
              <w:jc w:val="left"/>
              <w:rPr/>
            </w:pPr>
            <w:r>
              <w:rPr/>
              <w:t>Sean B. O’Neil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right"/>
              <w:rPr/>
            </w:pPr>
            <w:r>
              <w:rPr/>
              <w:t>550,000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233" w:type="dxa"/>
            <w:tcBorders/>
            <w:shd w:fill="FFFFFF" w:val="clear"/>
            <w:tcMar>
              <w:bottom w:w="0" w:type="dxa"/>
            </w:tcMar>
            <w:vAlign w:val="center"/>
          </w:tcPr>
          <w:p>
            <w:pPr>
              <w:pStyle w:val="TableContents"/>
              <w:bidi w:val="0"/>
              <w:spacing w:before="0" w:after="283"/>
              <w:jc w:val="right"/>
              <w:rPr/>
            </w:pPr>
            <w:r>
              <w:rPr/>
              <w:t>550,000</w:t>
            </w:r>
          </w:p>
        </w:tc>
        <w:tc>
          <w:tcPr>
            <w:tcW w:w="74"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477"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4308" w:type="dxa"/>
            <w:tcBorders/>
            <w:shd w:fill="FFFFFF" w:val="clear"/>
            <w:tcMar>
              <w:bottom w:w="0" w:type="dxa"/>
            </w:tcMar>
            <w:vAlign w:val="center"/>
          </w:tcPr>
          <w:p>
            <w:pPr>
              <w:pStyle w:val="TableContents"/>
              <w:bidi w:val="0"/>
              <w:spacing w:before="0" w:after="283"/>
              <w:jc w:val="right"/>
              <w:rPr/>
            </w:pPr>
            <w:r>
              <w:rPr/>
              <w:t>1,100,000</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847" w:type="dxa"/>
            <w:tcBorders/>
            <w:shd w:fill="CCEEFF" w:val="clear"/>
            <w:tcMar>
              <w:bottom w:w="0" w:type="dxa"/>
            </w:tcMar>
            <w:vAlign w:val="center"/>
          </w:tcPr>
          <w:p>
            <w:pPr>
              <w:pStyle w:val="TableContents"/>
              <w:bidi w:val="0"/>
              <w:spacing w:before="0" w:after="283"/>
              <w:jc w:val="left"/>
              <w:rPr/>
            </w:pPr>
            <w:r>
              <w:rPr/>
              <w:t>Scott W.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500,000</w:t>
            </w:r>
          </w:p>
        </w:tc>
        <w:tc>
          <w:tcPr>
            <w:tcW w:w="74"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4308" w:type="dxa"/>
            <w:tcBorders/>
            <w:shd w:fill="CCEEFF" w:val="clear"/>
            <w:tcMar>
              <w:bottom w:w="0" w:type="dxa"/>
            </w:tcMar>
            <w:vAlign w:val="center"/>
          </w:tcPr>
          <w:p>
            <w:pPr>
              <w:pStyle w:val="TableContents"/>
              <w:bidi w:val="0"/>
              <w:spacing w:before="0" w:after="283"/>
              <w:jc w:val="right"/>
              <w:rPr/>
            </w:pPr>
            <w:r>
              <w:rPr/>
              <w:t>1,000,000</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847" w:type="dxa"/>
            <w:tcBorders/>
            <w:shd w:fill="FFFFFF" w:val="clear"/>
            <w:tcMar>
              <w:bottom w:w="0" w:type="dxa"/>
            </w:tcMar>
            <w:vAlign w:val="center"/>
          </w:tcPr>
          <w:p>
            <w:pPr>
              <w:pStyle w:val="TableContents"/>
              <w:bidi w:val="0"/>
              <w:spacing w:before="0" w:after="283"/>
              <w:jc w:val="left"/>
              <w:rPr/>
            </w:pPr>
            <w:r>
              <w:rPr/>
              <w:t>Dennis Zeleny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233" w:type="dxa"/>
            <w:tcBorders/>
            <w:shd w:fill="FFFFFF" w:val="clear"/>
            <w:tcMar>
              <w:bottom w:w="0" w:type="dxa"/>
            </w:tcMar>
            <w:vAlign w:val="center"/>
          </w:tcPr>
          <w:p>
            <w:pPr>
              <w:pStyle w:val="TableContents"/>
              <w:bidi w:val="0"/>
              <w:spacing w:before="0" w:after="283"/>
              <w:jc w:val="right"/>
              <w:rPr/>
            </w:pPr>
            <w:r>
              <w:rPr/>
              <w:t>500,000</w:t>
            </w:r>
          </w:p>
        </w:tc>
        <w:tc>
          <w:tcPr>
            <w:tcW w:w="74"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477"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4308" w:type="dxa"/>
            <w:tcBorders/>
            <w:shd w:fill="FFFFFF" w:val="clear"/>
            <w:tcMar>
              <w:bottom w:w="0" w:type="dxa"/>
            </w:tcMar>
            <w:vAlign w:val="center"/>
          </w:tcPr>
          <w:p>
            <w:pPr>
              <w:pStyle w:val="TableContents"/>
              <w:bidi w:val="0"/>
              <w:spacing w:before="0" w:after="283"/>
              <w:jc w:val="right"/>
              <w:rPr/>
            </w:pPr>
            <w:r>
              <w:rPr/>
              <w:t>1,000,000</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847" w:type="dxa"/>
            <w:tcBorders/>
            <w:shd w:fill="CCEEFF" w:val="clear"/>
            <w:tcMar>
              <w:bottom w:w="0" w:type="dxa"/>
            </w:tcMar>
            <w:vAlign w:val="center"/>
          </w:tcPr>
          <w:p>
            <w:pPr>
              <w:pStyle w:val="TableContents"/>
              <w:bidi w:val="0"/>
              <w:spacing w:before="0" w:after="283"/>
              <w:jc w:val="left"/>
              <w:rPr/>
            </w:pPr>
            <w:r>
              <w:rPr/>
              <w:t>George T. Henley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500,000</w:t>
            </w:r>
          </w:p>
        </w:tc>
        <w:tc>
          <w:tcPr>
            <w:tcW w:w="74"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4308" w:type="dxa"/>
            <w:tcBorders/>
            <w:shd w:fill="CCEEFF" w:val="clear"/>
            <w:tcMar>
              <w:bottom w:w="0" w:type="dxa"/>
            </w:tcMar>
            <w:vAlign w:val="center"/>
          </w:tcPr>
          <w:p>
            <w:pPr>
              <w:pStyle w:val="TableContents"/>
              <w:bidi w:val="0"/>
              <w:spacing w:before="0" w:after="283"/>
              <w:jc w:val="right"/>
              <w:rPr/>
            </w:pPr>
            <w:r>
              <w:rPr/>
              <w:t>1,000,000</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Annual Incentive Plan (AIP)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Ocwen’s annual incentive compensation opportunity for eligible employees, including our executive officers, is provided under the 1998 Annual Incentive Plan, as amended, which has been approved by our shareholders. The AIP award opportunity motivates executives to deliver against the Board-approved business plan and the key initiatives that the Compensation Committee, working with the CEO, management and the Compensation Committee’s independent advisor, believes will enhance Company performance and create a path for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AIP award opportunities for each NEO were based on a combination of organization and individual performance, as summarized below and followed with additional detail further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performance against the Corporate Scorecard objectives is used to calculate preliminary results.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Scorecard results are then adjusted by a service excellence modifier to establish the baseline funding level for the entire plan.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there, organizational performance funding is allocated to each business unit and its managing NEO based on an assessment of the business unit’s achievement of its key priorities and the corresponding contributions to overall Corporate Scorecard results.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Finally, each NEO’s award is adjusted based on an assessment of his or her individual performance against a number of key objectives unique to him or her, including demonstrated leadership in creating and sustaining a high-performing culture.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Scorecard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Scorecard, which drives the overall funding for the AIP, is approved annually by the Compensation Committee. In determining whether to approve the Corporate Scorecard each year, the Compensation Committee considers a number of factors, including whether the goals are consistent with and likely to enhance corporate performance and long-term shareholder value and discourage executives from pursuing short-term goals that may not be consistent with achieving such long-term success, as well as the level of difficulty associated with attainment of each goal in the scorecard. The 2023 Corporate Scorecard objectives, shown below with final performance results, were directly aligned to the Board-approved 2023 business plan and our key business priorities, as follows:</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Profitability,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Prudent growth,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higher margin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leadership,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excellence,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engagement and diversity,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excellence.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performance, including net income and return on equity, constituted 58% of the overall scorecard weight as sustaining profitability was critical to delivering on shareholder expectations. Our other priorities were necessary to enable growth and improve efficiencies, and our focus on maintaining key employees in the midst of change is vital to our long-term success and our mission, values and operating principles. Additionally, because “helping homeowners is what we do”, the scorecard results are adjusted +/- 20% by a service excellence modifier that assesses how we deliver on our commitments to our customers and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establishes the “target” performance of each goal at a level that it intends to be challenging to achieve, a “threshold” level for each goal that must be met in order for any portion of the incentive to be paid with respect to that goal, and an outstanding or “maximum”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pStyle w:val="TextBody"/>
        <w:bidi w:val="0"/>
        <w:spacing w:before="0" w:after="0"/>
        <w:ind w:left="0" w:right="0" w:hanging="0"/>
        <w:jc w:val="both"/>
        <w:rPr>
          <w:caps w:val="false"/>
          <w:smallCaps w:val="false"/>
        </w:rPr>
      </w:pPr>
      <w:r>
        <w:rPr>
          <w:caps w:val="false"/>
          <w:smallCaps w:val="false"/>
        </w:rPr>
        <w:t> </w:t>
      </w:r>
    </w:p>
    <w:tbl>
      <w:tblPr>
        <w:tblW w:w="7343" w:type="dxa"/>
        <w:jc w:val="left"/>
        <w:tblInd w:w="0" w:type="dxa"/>
        <w:tblLayout w:type="fixed"/>
        <w:tblCellMar>
          <w:top w:w="0" w:type="dxa"/>
          <w:left w:w="0" w:type="dxa"/>
          <w:bottom w:w="28" w:type="dxa"/>
          <w:right w:w="0" w:type="dxa"/>
        </w:tblCellMar>
      </w:tblPr>
      <w:tblGrid>
        <w:gridCol w:w="2225"/>
        <w:gridCol w:w="60"/>
        <w:gridCol w:w="291"/>
        <w:gridCol w:w="1858"/>
        <w:gridCol w:w="215"/>
        <w:gridCol w:w="60"/>
        <w:gridCol w:w="325"/>
        <w:gridCol w:w="2079"/>
        <w:gridCol w:w="230"/>
      </w:tblGrid>
      <w:tr>
        <w:trPr/>
        <w:tc>
          <w:tcPr>
            <w:tcW w:w="2225" w:type="dxa"/>
            <w:tcBorders>
              <w:bottom w:val="single" w:sz="12" w:space="0" w:color="000000"/>
            </w:tcBorders>
            <w:vAlign w:val="center"/>
          </w:tcPr>
          <w:p>
            <w:pPr>
              <w:pStyle w:val="TableContents"/>
              <w:bidi w:val="0"/>
              <w:spacing w:before="0" w:after="283"/>
              <w:jc w:val="left"/>
              <w:rPr>
                <w:b/>
              </w:rPr>
            </w:pPr>
            <w:r>
              <w:rPr>
                <w:b/>
              </w:rPr>
              <w:t>Level of Achievement</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AIP Scorecard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Target Opportunity</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0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Excellence Modifier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Target Opportunity</w:t>
            </w:r>
          </w:p>
        </w:tc>
        <w:tc>
          <w:tcPr>
            <w:tcW w:w="230" w:type="dxa"/>
            <w:tcBorders/>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pPr>
            <w:r>
              <w:rPr/>
              <w:t>Maximum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858" w:type="dxa"/>
            <w:tcBorders/>
            <w:shd w:fill="CCEEFF" w:val="clear"/>
            <w:tcMar>
              <w:bottom w:w="0" w:type="dxa"/>
            </w:tcMar>
            <w:vAlign w:val="center"/>
          </w:tcPr>
          <w:p>
            <w:pPr>
              <w:pStyle w:val="TableContents"/>
              <w:bidi w:val="0"/>
              <w:spacing w:before="0" w:after="283"/>
              <w:jc w:val="right"/>
              <w:rPr/>
            </w:pPr>
            <w:r>
              <w:rPr/>
              <w:t>150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right"/>
              <w:rPr/>
            </w:pPr>
            <w:r>
              <w:rPr/>
              <w:t>120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225" w:type="dxa"/>
            <w:tcBorders/>
            <w:shd w:fill="FFFFFF" w:val="clear"/>
            <w:tcMar>
              <w:bottom w:w="0" w:type="dxa"/>
            </w:tcMar>
            <w:vAlign w:val="center"/>
          </w:tcPr>
          <w:p>
            <w:pPr>
              <w:pStyle w:val="TableContents"/>
              <w:bidi w:val="0"/>
              <w:spacing w:before="0" w:after="283"/>
              <w:jc w:val="left"/>
              <w:rPr/>
            </w:pPr>
            <w:r>
              <w:rPr/>
              <w:t>Target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c>
          <w:tcPr>
            <w:tcW w:w="1858"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right"/>
              <w:rPr/>
            </w:pPr>
            <w:r>
              <w:rPr/>
              <w:t>100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225" w:type="dxa"/>
            <w:tcBorders/>
            <w:shd w:fill="CCEEFF" w:val="clear"/>
            <w:tcMar>
              <w:bottom w:w="0" w:type="dxa"/>
            </w:tcMar>
            <w:vAlign w:val="center"/>
          </w:tcPr>
          <w:p>
            <w:pPr>
              <w:pStyle w:val="TableContents"/>
              <w:bidi w:val="0"/>
              <w:spacing w:before="0" w:after="283"/>
              <w:jc w:val="left"/>
              <w:rPr/>
            </w:pPr>
            <w:r>
              <w:rPr/>
              <w:t>Threshold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858" w:type="dxa"/>
            <w:tcBorders/>
            <w:shd w:fill="CCEEFF" w:val="clear"/>
            <w:tcMar>
              <w:bottom w:w="0" w:type="dxa"/>
            </w:tcMar>
            <w:vAlign w:val="center"/>
          </w:tcPr>
          <w:p>
            <w:pPr>
              <w:pStyle w:val="TableContents"/>
              <w:bidi w:val="0"/>
              <w:spacing w:before="0" w:after="283"/>
              <w:jc w:val="right"/>
              <w:rPr/>
            </w:pPr>
            <w:r>
              <w:rPr/>
              <w:t>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right"/>
              <w:rPr/>
            </w:pPr>
            <w:r>
              <w:rPr/>
              <w:t>80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225" w:type="dxa"/>
            <w:tcBorders/>
            <w:shd w:fill="FFFFFF" w:val="clear"/>
            <w:tcMar>
              <w:bottom w:w="0" w:type="dxa"/>
            </w:tcMar>
            <w:vAlign w:val="center"/>
          </w:tcPr>
          <w:p>
            <w:pPr>
              <w:pStyle w:val="TableContents"/>
              <w:bidi w:val="0"/>
              <w:spacing w:before="0" w:after="283"/>
              <w:jc w:val="left"/>
              <w:rPr/>
            </w:pPr>
            <w:r>
              <w:rPr/>
              <w:t>Below Threshold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c>
          <w:tcPr>
            <w:tcW w:w="1858" w:type="dxa"/>
            <w:tcBorders/>
            <w:shd w:fill="FFFFFF" w:val="clear"/>
            <w:tcMar>
              <w:bottom w:w="0" w:type="dxa"/>
            </w:tcMar>
            <w:vAlign w:val="center"/>
          </w:tcPr>
          <w:p>
            <w:pPr>
              <w:pStyle w:val="TableContents"/>
              <w:bidi w:val="0"/>
              <w:spacing w:before="0" w:after="283"/>
              <w:jc w:val="right"/>
              <w:rPr/>
            </w:pPr>
            <w:r>
              <w:rPr/>
              <w:t>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right"/>
              <w:rPr/>
            </w:pPr>
            <w:r>
              <w:rPr/>
              <w:t>80</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measured the level of performance achievement against scorecard and modifier objectives using quantitative assessments. The level of achievement was determined using straight-line interpolation between the “threshold”, “target” and “maximum” anchor posts, as applicable. Qualitative assessments were also applied to ensure achievement levels were consistent with expected broader strategic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Committee’s assessment of the level of performance achieved against scorecard and modifier objectives, the information on which the Committee based its assessment was first reviewed and verified by the Company’s internal audit, finance and risk management functions.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final performance and the relative weightings assigned to each objective in both the Scorecard and modifier, the overall Corporate Scorecard funding was 86.2%, which was then multiplied by the 116.4% service excellence modifier for total results of 100.3%. Our Corporate Scorecard and service excellence modifier and corresponding achievement levels for each are detailed below:</w:t>
      </w:r>
    </w:p>
    <w:p>
      <w:pPr>
        <w:pStyle w:val="TextBody"/>
        <w:bidi w:val="0"/>
        <w:spacing w:before="0" w:after="0"/>
        <w:ind w:left="0" w:right="0" w:hanging="0"/>
        <w:jc w:val="both"/>
        <w:rPr>
          <w:caps w:val="false"/>
          <w:smallCaps w:val="false"/>
        </w:rPr>
      </w:pPr>
      <w:r>
        <w:rPr>
          <w:caps w:val="false"/>
          <w:smallCaps w:val="false"/>
        </w:rPr>
        <w:t> </w:t>
      </w:r>
    </w:p>
    <w:tbl>
      <w:tblPr>
        <w:tblW w:w="11355" w:type="dxa"/>
        <w:jc w:val="left"/>
        <w:tblInd w:w="0" w:type="dxa"/>
        <w:tblLayout w:type="fixed"/>
        <w:tblCellMar>
          <w:top w:w="0" w:type="dxa"/>
          <w:left w:w="0" w:type="dxa"/>
          <w:bottom w:w="28" w:type="dxa"/>
          <w:right w:w="0" w:type="dxa"/>
        </w:tblCellMar>
      </w:tblPr>
      <w:tblGrid>
        <w:gridCol w:w="1475"/>
        <w:gridCol w:w="60"/>
        <w:gridCol w:w="117"/>
        <w:gridCol w:w="863"/>
        <w:gridCol w:w="260"/>
        <w:gridCol w:w="60"/>
        <w:gridCol w:w="214"/>
        <w:gridCol w:w="856"/>
        <w:gridCol w:w="215"/>
        <w:gridCol w:w="60"/>
        <w:gridCol w:w="171"/>
        <w:gridCol w:w="539"/>
        <w:gridCol w:w="215"/>
        <w:gridCol w:w="60"/>
        <w:gridCol w:w="258"/>
        <w:gridCol w:w="812"/>
        <w:gridCol w:w="215"/>
        <w:gridCol w:w="60"/>
        <w:gridCol w:w="286"/>
        <w:gridCol w:w="1054"/>
        <w:gridCol w:w="215"/>
        <w:gridCol w:w="60"/>
        <w:gridCol w:w="182"/>
        <w:gridCol w:w="1158"/>
        <w:gridCol w:w="215"/>
        <w:gridCol w:w="60"/>
        <w:gridCol w:w="160"/>
        <w:gridCol w:w="1180"/>
        <w:gridCol w:w="275"/>
      </w:tblGrid>
      <w:tr>
        <w:trPr/>
        <w:tc>
          <w:tcPr>
            <w:tcW w:w="1475" w:type="dxa"/>
            <w:tcBorders>
              <w:bottom w:val="single" w:sz="12" w:space="0" w:color="000000"/>
            </w:tcBorders>
            <w:vAlign w:val="center"/>
          </w:tcPr>
          <w:p>
            <w:pPr>
              <w:pStyle w:val="TableContents"/>
              <w:bidi w:val="0"/>
              <w:spacing w:before="0" w:after="283"/>
              <w:jc w:val="both"/>
              <w:rPr>
                <w:b/>
              </w:rPr>
            </w:pPr>
            <w:r>
              <w:rPr>
                <w:b/>
              </w:rPr>
              <w:t>Corporate Scorecard Objective</w:t>
            </w:r>
          </w:p>
        </w:tc>
        <w:tc>
          <w:tcPr>
            <w:tcW w:w="60" w:type="dxa"/>
            <w:tcBorders/>
            <w:tcMar>
              <w:bottom w:w="0" w:type="dxa"/>
            </w:tcMar>
            <w:vAlign w:val="center"/>
          </w:tcPr>
          <w:p>
            <w:pPr>
              <w:pStyle w:val="TableContents"/>
              <w:bidi w:val="0"/>
              <w:spacing w:before="0" w:after="283"/>
              <w:jc w:val="center"/>
              <w:rPr/>
            </w:pPr>
            <w:r>
              <w:rPr/>
              <w:t> </w:t>
            </w:r>
          </w:p>
        </w:tc>
        <w:tc>
          <w:tcPr>
            <w:tcW w:w="980" w:type="dxa"/>
            <w:gridSpan w:val="2"/>
            <w:tcBorders>
              <w:bottom w:val="single" w:sz="12" w:space="0" w:color="000000"/>
            </w:tcBorders>
            <w:vAlign w:val="center"/>
          </w:tcPr>
          <w:p>
            <w:pPr>
              <w:pStyle w:val="TableContents"/>
              <w:bidi w:val="0"/>
              <w:spacing w:before="0" w:after="283"/>
              <w:jc w:val="center"/>
              <w:rPr>
                <w:b/>
              </w:rPr>
            </w:pPr>
            <w:r>
              <w:rPr>
                <w:b/>
              </w:rPr>
              <w:t>Objective Weight</w:t>
            </w:r>
          </w:p>
        </w:tc>
        <w:tc>
          <w:tcPr>
            <w:tcW w:w="2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Threshold</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10" w:type="dxa"/>
            <w:gridSpan w:val="2"/>
            <w:tcBorders>
              <w:bottom w:val="single" w:sz="12" w:space="0" w:color="000000"/>
            </w:tcBorders>
            <w:vAlign w:val="center"/>
          </w:tcPr>
          <w:p>
            <w:pPr>
              <w:pStyle w:val="TableContents"/>
              <w:bidi w:val="0"/>
              <w:spacing w:before="0" w:after="283"/>
              <w:jc w:val="center"/>
              <w:rPr>
                <w:b/>
              </w:rPr>
            </w:pPr>
            <w:r>
              <w:rPr>
                <w:b/>
              </w:rPr>
              <w:t>Target</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Maximum</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Performance Outcome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Performance Achievement</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Weighted Performance Achievement</w:t>
            </w:r>
          </w:p>
        </w:tc>
        <w:tc>
          <w:tcPr>
            <w:tcW w:w="275" w:type="dxa"/>
            <w:tcBorders/>
            <w:tcMar>
              <w:bottom w:w="0" w:type="dxa"/>
            </w:tcMar>
            <w:vAlign w:val="center"/>
          </w:tcPr>
          <w:p>
            <w:pPr>
              <w:pStyle w:val="TableContents"/>
              <w:bidi w:val="0"/>
              <w:spacing w:before="0" w:after="283"/>
              <w:jc w:val="center"/>
              <w:rPr/>
            </w:pPr>
            <w:r>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Profitability</w:t>
            </w:r>
            <w:r>
              <w:rPr>
                <w:rFonts w:ascii="Times New Roman;Times;Serif" w:hAnsi="Times New Roman;Times;Serif"/>
                <w:b/>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b/>
              </w:rPr>
            </w:pPr>
            <w:r>
              <w:rPr>
                <w:b/>
              </w:rPr>
              <w:t>1a. Full-Year GAAP Net Income ($M)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15.8</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w:t>
            </w:r>
          </w:p>
        </w:tc>
        <w:tc>
          <w:tcPr>
            <w:tcW w:w="539" w:type="dxa"/>
            <w:tcBorders/>
            <w:shd w:fill="FFFFFF" w:val="clear"/>
            <w:tcMar>
              <w:bottom w:w="0" w:type="dxa"/>
            </w:tcMar>
            <w:vAlign w:val="center"/>
          </w:tcPr>
          <w:p>
            <w:pPr>
              <w:pStyle w:val="TableContents"/>
              <w:bidi w:val="0"/>
              <w:spacing w:before="0" w:after="283"/>
              <w:jc w:val="right"/>
              <w:rPr/>
            </w:pPr>
            <w:r>
              <w:rPr/>
              <w:t>12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w:t>
            </w:r>
          </w:p>
        </w:tc>
        <w:tc>
          <w:tcPr>
            <w:tcW w:w="812" w:type="dxa"/>
            <w:tcBorders/>
            <w:shd w:fill="FFFFFF" w:val="clear"/>
            <w:tcMar>
              <w:bottom w:w="0" w:type="dxa"/>
            </w:tcMar>
            <w:vAlign w:val="center"/>
          </w:tcPr>
          <w:p>
            <w:pPr>
              <w:pStyle w:val="TableContents"/>
              <w:bidi w:val="0"/>
              <w:spacing w:before="0" w:after="283"/>
              <w:jc w:val="right"/>
              <w:rPr/>
            </w:pPr>
            <w:r>
              <w:rPr/>
              <w:t>25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054" w:type="dxa"/>
            <w:tcBorders/>
            <w:shd w:fill="FFFFFF" w:val="clear"/>
            <w:tcMar>
              <w:bottom w:w="0" w:type="dxa"/>
            </w:tcMar>
            <w:vAlign w:val="center"/>
          </w:tcPr>
          <w:p>
            <w:pPr>
              <w:pStyle w:val="TableContents"/>
              <w:bidi w:val="0"/>
              <w:spacing w:before="0" w:after="283"/>
              <w:jc w:val="right"/>
              <w:rPr/>
            </w:pPr>
            <w:r>
              <w:rPr/>
              <w:t>-63.7</w:t>
            </w:r>
          </w:p>
        </w:tc>
        <w:tc>
          <w:tcPr>
            <w:tcW w:w="21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475" w:type="dxa"/>
            <w:tcBorders/>
            <w:shd w:fill="CCEEFF" w:val="clear"/>
            <w:tcMar>
              <w:bottom w:w="0" w:type="dxa"/>
            </w:tcMar>
            <w:vAlign w:val="center"/>
          </w:tcPr>
          <w:p>
            <w:pPr>
              <w:pStyle w:val="TableContents"/>
              <w:bidi w:val="0"/>
              <w:spacing w:before="0" w:after="283"/>
              <w:jc w:val="left"/>
              <w:rPr>
                <w:b/>
              </w:rPr>
            </w:pPr>
            <w:r>
              <w:rPr>
                <w:b/>
              </w:rPr>
              <w:t>1b. Full-Year Adjusted Pre-Tax Net Income ($M)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21.1</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4.3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539" w:type="dxa"/>
            <w:tcBorders/>
            <w:shd w:fill="CCEEFF" w:val="clear"/>
            <w:tcMar>
              <w:bottom w:w="0" w:type="dxa"/>
            </w:tcMar>
            <w:vAlign w:val="center"/>
          </w:tcPr>
          <w:p>
            <w:pPr>
              <w:pStyle w:val="TableContents"/>
              <w:bidi w:val="0"/>
              <w:spacing w:before="0" w:after="283"/>
              <w:jc w:val="right"/>
              <w:rPr/>
            </w:pPr>
            <w:r>
              <w:rPr/>
              <w:t>17.3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283"/>
              <w:jc w:val="right"/>
              <w:rPr/>
            </w:pPr>
            <w:r>
              <w:rPr/>
              <w:t>30.3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054" w:type="dxa"/>
            <w:tcBorders/>
            <w:shd w:fill="CCEEFF" w:val="clear"/>
            <w:tcMar>
              <w:bottom w:w="0" w:type="dxa"/>
            </w:tcMar>
            <w:vAlign w:val="center"/>
          </w:tcPr>
          <w:p>
            <w:pPr>
              <w:pStyle w:val="TableContents"/>
              <w:bidi w:val="0"/>
              <w:spacing w:before="0" w:after="283"/>
              <w:jc w:val="right"/>
              <w:rPr/>
            </w:pPr>
            <w:r>
              <w:rPr/>
              <w:t>48.7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150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31.6</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475" w:type="dxa"/>
            <w:tcBorders/>
            <w:shd w:fill="FFFFFF" w:val="clear"/>
            <w:tcMar>
              <w:bottom w:w="0" w:type="dxa"/>
            </w:tcMar>
            <w:vAlign w:val="center"/>
          </w:tcPr>
          <w:p>
            <w:pPr>
              <w:pStyle w:val="TableContents"/>
              <w:bidi w:val="0"/>
              <w:spacing w:before="0" w:after="283"/>
              <w:jc w:val="left"/>
              <w:rPr>
                <w:b/>
              </w:rPr>
            </w:pPr>
            <w:r>
              <w:rPr>
                <w:b/>
              </w:rPr>
              <w:t>1c. Second Half After-Tax Return On Equity (ROE), excluding notables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21.1</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4.8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pPr>
            <w:r>
              <w:rPr/>
              <w:t>7.3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9.8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9.6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146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30.8</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475" w:type="dxa"/>
            <w:tcBorders/>
            <w:shd w:fill="CCEEFF" w:val="clear"/>
            <w:tcMar>
              <w:bottom w:w="0" w:type="dxa"/>
            </w:tcMar>
            <w:vAlign w:val="center"/>
          </w:tcPr>
          <w:p>
            <w:pPr>
              <w:pStyle w:val="TableContents"/>
              <w:bidi w:val="0"/>
              <w:spacing w:before="0" w:after="283"/>
              <w:jc w:val="left"/>
              <w:rPr>
                <w:b/>
              </w:rPr>
            </w:pPr>
            <w:r>
              <w:rPr>
                <w:b/>
              </w:rPr>
              <w:t>Operating Excellence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2a. Prudent Growth: Originations Growth</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 non-MAV-related subservicing additions ($B UPB)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6.6</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38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w:t>
            </w:r>
          </w:p>
        </w:tc>
        <w:tc>
          <w:tcPr>
            <w:tcW w:w="539" w:type="dxa"/>
            <w:tcBorders/>
            <w:shd w:fill="FFFFFF" w:val="clear"/>
            <w:tcMar>
              <w:bottom w:w="0" w:type="dxa"/>
            </w:tcMar>
            <w:vAlign w:val="center"/>
          </w:tcPr>
          <w:p>
            <w:pPr>
              <w:pStyle w:val="TableContents"/>
              <w:bidi w:val="0"/>
              <w:spacing w:before="0" w:after="283"/>
              <w:jc w:val="right"/>
              <w:rPr/>
            </w:pPr>
            <w:r>
              <w:rPr/>
              <w:t>43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w:t>
            </w:r>
          </w:p>
        </w:tc>
        <w:tc>
          <w:tcPr>
            <w:tcW w:w="812" w:type="dxa"/>
            <w:tcBorders/>
            <w:shd w:fill="FFFFFF" w:val="clear"/>
            <w:tcMar>
              <w:bottom w:w="0" w:type="dxa"/>
            </w:tcMar>
            <w:vAlign w:val="center"/>
          </w:tcPr>
          <w:p>
            <w:pPr>
              <w:pStyle w:val="TableContents"/>
              <w:bidi w:val="0"/>
              <w:spacing w:before="0" w:after="283"/>
              <w:jc w:val="right"/>
              <w:rPr/>
            </w:pPr>
            <w:r>
              <w:rPr/>
              <w:t>48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054" w:type="dxa"/>
            <w:tcBorders/>
            <w:shd w:fill="FFFFFF" w:val="clear"/>
            <w:tcMar>
              <w:bottom w:w="0" w:type="dxa"/>
            </w:tcMar>
            <w:vAlign w:val="center"/>
          </w:tcPr>
          <w:p>
            <w:pPr>
              <w:pStyle w:val="TableContents"/>
              <w:bidi w:val="0"/>
              <w:spacing w:before="0" w:after="283"/>
              <w:jc w:val="right"/>
              <w:rPr/>
            </w:pPr>
            <w:r>
              <w:rPr/>
              <w:t>19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2b. Prudent Growth: Originations Cash Yield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servicing originated at cash yields higher than cost of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6.6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0.5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0.48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98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6.4</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4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2c. Prudent Growth: Servicing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year total UPB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13.2</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334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w:t>
            </w:r>
          </w:p>
        </w:tc>
        <w:tc>
          <w:tcPr>
            <w:tcW w:w="539" w:type="dxa"/>
            <w:tcBorders/>
            <w:shd w:fill="FFFFFF" w:val="clear"/>
            <w:tcMar>
              <w:bottom w:w="0" w:type="dxa"/>
            </w:tcMar>
            <w:vAlign w:val="center"/>
          </w:tcPr>
          <w:p>
            <w:pPr>
              <w:pStyle w:val="TableContents"/>
              <w:bidi w:val="0"/>
              <w:spacing w:before="0" w:after="283"/>
              <w:jc w:val="right"/>
              <w:rPr/>
            </w:pPr>
            <w:r>
              <w:rPr/>
              <w:t>351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w:t>
            </w:r>
          </w:p>
        </w:tc>
        <w:tc>
          <w:tcPr>
            <w:tcW w:w="812" w:type="dxa"/>
            <w:tcBorders/>
            <w:shd w:fill="FFFFFF" w:val="clear"/>
            <w:tcMar>
              <w:bottom w:w="0" w:type="dxa"/>
            </w:tcMar>
            <w:vAlign w:val="center"/>
          </w:tcPr>
          <w:p>
            <w:pPr>
              <w:pStyle w:val="TableContents"/>
              <w:bidi w:val="0"/>
              <w:spacing w:before="0" w:after="283"/>
              <w:jc w:val="right"/>
              <w:rPr/>
            </w:pPr>
            <w:r>
              <w:rPr/>
              <w:t>369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054" w:type="dxa"/>
            <w:tcBorders/>
            <w:shd w:fill="FFFFFF" w:val="clear"/>
            <w:tcMar>
              <w:bottom w:w="0" w:type="dxa"/>
            </w:tcMar>
            <w:vAlign w:val="center"/>
          </w:tcPr>
          <w:p>
            <w:pPr>
              <w:pStyle w:val="TableContents"/>
              <w:bidi w:val="0"/>
              <w:spacing w:before="0" w:after="283"/>
              <w:jc w:val="right"/>
              <w:rPr/>
            </w:pPr>
            <w:r>
              <w:rPr/>
              <w:t>288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3a. Productivity: Originations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operating expenses as a percent of Origination volume (bps)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2.6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43.5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41.4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39.3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35.9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150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3.9</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4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3b. Productivity: Servicing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operating expenses as a percent of Servicing UPB (bps)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6.3</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10.20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pPr>
            <w:r>
              <w:rPr/>
              <w:t>9.72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9.23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9.63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109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6.9</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4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3c. Productivity: Corporate Functions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operating expenses as a percent of Servicing UPB (bps)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1.6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2.04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1.94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1.85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2.13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4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Diversity, Equity &amp; Inclusion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against the objectives contained in the four pillars of the DE&amp;I Road Map (% of objectives met)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5.3</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pPr>
            <w:r>
              <w:rPr/>
              <w:t>83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92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125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6.6</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47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b/>
              </w:rPr>
            </w:pPr>
            <w:r>
              <w:rPr>
                <w:b/>
              </w:rPr>
              <w:t>100</w:t>
            </w:r>
          </w:p>
        </w:tc>
        <w:tc>
          <w:tcPr>
            <w:tcW w:w="260"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b/>
              </w:rPr>
            </w:pPr>
            <w:r>
              <w:rPr>
                <w:b/>
              </w:rPr>
              <w:t>86.2</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Full-Year GAAP Net Income and Adjusted Pre-Tax Income are inclusive of expense accrual for AIP. Second Half After-Tax Return On Equity (ROE) in Q3 and Q4 is calculated as Q3 and Q4 GAAP Net Income divided by Average of Q1 and Q2 Total Equity and Q3 and Q4 Total Equity. For a discussion of how we measure pre-tax income before notable items and a reconciliation to financial measures prepared under Generally Accepted Accounting Principles (GAAP), please see our Current Report on Form 8-K filed with the Securities and Exchange Commission on February 27, 2024.</w:t>
            </w:r>
          </w:p>
        </w:tc>
      </w:tr>
    </w:tbl>
    <w:p>
      <w:pPr>
        <w:pStyle w:val="TextBody"/>
        <w:bidi w:val="0"/>
        <w:spacing w:before="0" w:after="0"/>
        <w:ind w:left="27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Employee Engagement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Scorecard initially included an employee engagement metric weighted at 5%, measuring progress in employee survey results from Q2 2023 to Q4 2023. Management postponed the Q4 survey to allow for sufficient time to implement actions plans based on Q2 results in a visible and impactful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after considering the scores from the Q2 survey, which were strong and above external benchmarks despite significant expense and headcount reduction actions taken by management in response to the challenging business environment, the Compensation Committee determined that the 5% weight for that metric should be reallocated evenly among the remaining metrics (as shown above) so as not to favor any metric over another. In the Compensation Committee’s view, management remained focused on employee engagement throughout the year notwithstanding the absence of a Q4 Scorecard metric, including initiatives to improve communication, professional development, recognition and work-life balance.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Diversity, Equity &amp; Inclusion (see 4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equity, inclusiveness and respect are integral parts of our culture and work environment, and we are committed to being a globally diverse and inclusive workplace where every voice is heard. Our DE&amp;I strategy, which we refer to as our “road map”, is built around the four pillars of our diversity program, with numerous initiatives and short-term actions to support each one. Our 2023 goals and key results are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5"/>
        <w:gridCol w:w="60"/>
        <w:gridCol w:w="5275"/>
        <w:gridCol w:w="60"/>
        <w:gridCol w:w="3425"/>
      </w:tblGrid>
      <w:tr>
        <w:trPr/>
        <w:tc>
          <w:tcPr>
            <w:tcW w:w="138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Pillar</w:t>
            </w:r>
          </w:p>
        </w:tc>
        <w:tc>
          <w:tcPr>
            <w:tcW w:w="60" w:type="dxa"/>
            <w:tcBorders/>
            <w:tcMar>
              <w:bottom w:w="0" w:type="dxa"/>
            </w:tcMar>
            <w:vAlign w:val="center"/>
          </w:tcPr>
          <w:p>
            <w:pPr>
              <w:pStyle w:val="TableContents"/>
              <w:bidi w:val="0"/>
              <w:spacing w:before="0" w:after="283"/>
              <w:jc w:val="left"/>
              <w:rPr/>
            </w:pPr>
            <w:r>
              <w:rPr/>
              <w:t> </w:t>
            </w:r>
          </w:p>
        </w:tc>
        <w:tc>
          <w:tcPr>
            <w:tcW w:w="527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 Map Goals</w:t>
            </w:r>
          </w:p>
        </w:tc>
        <w:tc>
          <w:tcPr>
            <w:tcW w:w="3485"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Key Results</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w:t>
            </w:r>
          </w:p>
        </w:tc>
        <w:tc>
          <w:tcPr>
            <w:tcW w:w="60" w:type="dxa"/>
            <w:tcBorders/>
            <w:tcMar>
              <w:bottom w:w="0" w:type="dxa"/>
            </w:tcMar>
            <w:vAlign w:val="center"/>
          </w:tcPr>
          <w:p>
            <w:pPr>
              <w:pStyle w:val="TableContents"/>
              <w:bidi w:val="0"/>
              <w:spacing w:before="0" w:after="283"/>
              <w:jc w:val="left"/>
              <w:rPr/>
            </w:pPr>
            <w:r>
              <w:rPr/>
              <w:t> </w:t>
            </w:r>
          </w:p>
        </w:tc>
        <w:tc>
          <w:tcPr>
            <w:tcW w:w="52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 the understanding and commitment of DE&amp;I throughout all levels of the organization. Ensure all leaders fully understand the benefit of DE&amp;I and can demonstrate inclusive work strategies.</w:t>
            </w:r>
          </w:p>
        </w:tc>
        <w:tc>
          <w:tcPr>
            <w:tcW w:w="60" w:type="dxa"/>
            <w:tcBorders/>
            <w:tcMar>
              <w:bottom w:w="0" w:type="dxa"/>
            </w:tcMar>
            <w:vAlign w:val="center"/>
          </w:tcPr>
          <w:p>
            <w:pPr>
              <w:pStyle w:val="TableContents"/>
              <w:bidi w:val="0"/>
              <w:spacing w:before="0" w:after="283"/>
              <w:jc w:val="both"/>
              <w:rPr/>
            </w:pPr>
            <w:r>
              <w:rPr/>
              <w:t> </w:t>
            </w:r>
          </w:p>
        </w:tc>
        <w:tc>
          <w:tcPr>
            <w:tcW w:w="3425" w:type="dxa"/>
            <w:tcBorders/>
            <w:tcMar>
              <w:bottom w:w="0" w:type="dxa"/>
            </w:tcMar>
            <w:vAlign w:val="center"/>
          </w:tcPr>
          <w:p>
            <w:pPr>
              <w:pStyle w:val="TableContents"/>
              <w:bidi w:val="0"/>
              <w:spacing w:before="0" w:after="0"/>
              <w:ind w:left="180" w:right="0" w:hanging="18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Implemented action plans in select areas to respond to employee feedback.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180" w:right="0" w:hanging="18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Continued inclusive workplace efforts through affinity groups for women, African-Americans and LGBTQ+ employees.</w:t>
            </w:r>
          </w:p>
        </w:tc>
      </w:tr>
      <w:tr>
        <w:trPr/>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2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pPr>
            <w:r>
              <w:rPr/>
              <w:t> </w:t>
            </w:r>
          </w:p>
        </w:tc>
        <w:tc>
          <w:tcPr>
            <w:tcW w:w="34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Workforce</w:t>
            </w:r>
          </w:p>
        </w:tc>
        <w:tc>
          <w:tcPr>
            <w:tcW w:w="60" w:type="dxa"/>
            <w:tcBorders/>
            <w:tcMar>
              <w:bottom w:w="0" w:type="dxa"/>
            </w:tcMar>
            <w:vAlign w:val="center"/>
          </w:tcPr>
          <w:p>
            <w:pPr>
              <w:pStyle w:val="TableContents"/>
              <w:bidi w:val="0"/>
              <w:spacing w:before="0" w:after="283"/>
              <w:jc w:val="left"/>
              <w:rPr/>
            </w:pPr>
            <w:r>
              <w:rPr/>
              <w:t> </w:t>
            </w:r>
          </w:p>
        </w:tc>
        <w:tc>
          <w:tcPr>
            <w:tcW w:w="52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ability to attract and hire diverse talent and improve our DE&amp;I brand.</w:t>
            </w:r>
          </w:p>
        </w:tc>
        <w:tc>
          <w:tcPr>
            <w:tcW w:w="60" w:type="dxa"/>
            <w:tcBorders/>
            <w:tcMar>
              <w:bottom w:w="0" w:type="dxa"/>
            </w:tcMar>
            <w:vAlign w:val="center"/>
          </w:tcPr>
          <w:p>
            <w:pPr>
              <w:pStyle w:val="TableContents"/>
              <w:bidi w:val="0"/>
              <w:spacing w:before="0" w:after="283"/>
              <w:jc w:val="both"/>
              <w:rPr/>
            </w:pPr>
            <w:r>
              <w:rPr/>
              <w:t> </w:t>
            </w:r>
          </w:p>
        </w:tc>
        <w:tc>
          <w:tcPr>
            <w:tcW w:w="3425" w:type="dxa"/>
            <w:tcBorders/>
            <w:tcMar>
              <w:bottom w:w="0" w:type="dxa"/>
            </w:tcMar>
            <w:vAlign w:val="center"/>
          </w:tcPr>
          <w:p>
            <w:pPr>
              <w:pStyle w:val="TableContents"/>
              <w:bidi w:val="0"/>
              <w:spacing w:before="0" w:after="0"/>
              <w:ind w:left="180" w:right="0" w:hanging="18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Increased percentage of diverse representation in leadership and leadership candidate pools.</w:t>
            </w:r>
          </w:p>
        </w:tc>
      </w:tr>
      <w:tr>
        <w:trPr/>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2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pPr>
            <w:r>
              <w:rPr/>
              <w:t> </w:t>
            </w:r>
          </w:p>
        </w:tc>
        <w:tc>
          <w:tcPr>
            <w:tcW w:w="34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Community Engagement</w:t>
            </w:r>
          </w:p>
        </w:tc>
        <w:tc>
          <w:tcPr>
            <w:tcW w:w="60" w:type="dxa"/>
            <w:tcBorders/>
            <w:tcMar>
              <w:bottom w:w="0" w:type="dxa"/>
            </w:tcMar>
            <w:vAlign w:val="center"/>
          </w:tcPr>
          <w:p>
            <w:pPr>
              <w:pStyle w:val="TableContents"/>
              <w:bidi w:val="0"/>
              <w:spacing w:before="0" w:after="283"/>
              <w:jc w:val="left"/>
              <w:rPr/>
            </w:pPr>
            <w:r>
              <w:rPr/>
              <w:t> </w:t>
            </w:r>
          </w:p>
        </w:tc>
        <w:tc>
          <w:tcPr>
            <w:tcW w:w="52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efforts to support external community engagement partnerships.</w:t>
            </w:r>
          </w:p>
        </w:tc>
        <w:tc>
          <w:tcPr>
            <w:tcW w:w="60" w:type="dxa"/>
            <w:tcBorders/>
            <w:tcMar>
              <w:bottom w:w="0" w:type="dxa"/>
            </w:tcMar>
            <w:vAlign w:val="center"/>
          </w:tcPr>
          <w:p>
            <w:pPr>
              <w:pStyle w:val="TableContents"/>
              <w:bidi w:val="0"/>
              <w:spacing w:before="0" w:after="283"/>
              <w:jc w:val="both"/>
              <w:rPr/>
            </w:pPr>
            <w:r>
              <w:rPr/>
              <w:t> </w:t>
            </w:r>
          </w:p>
        </w:tc>
        <w:tc>
          <w:tcPr>
            <w:tcW w:w="3425" w:type="dxa"/>
            <w:tcBorders/>
            <w:tcMar>
              <w:bottom w:w="0" w:type="dxa"/>
            </w:tcMar>
            <w:vAlign w:val="center"/>
          </w:tcPr>
          <w:p>
            <w:pPr>
              <w:pStyle w:val="TableContents"/>
              <w:bidi w:val="0"/>
              <w:spacing w:before="0" w:after="0"/>
              <w:ind w:left="180" w:right="0" w:hanging="18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Hosted borrower outreach events.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180" w:right="0" w:hanging="18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Participated in external engagements with consumer advocacy and mortgage industry diversity councils.</w:t>
            </w:r>
          </w:p>
        </w:tc>
      </w:tr>
      <w:tr>
        <w:trPr/>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2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pPr>
            <w:r>
              <w:rPr/>
              <w:t> </w:t>
            </w:r>
          </w:p>
        </w:tc>
        <w:tc>
          <w:tcPr>
            <w:tcW w:w="34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Vendor Diversity</w:t>
            </w:r>
          </w:p>
        </w:tc>
        <w:tc>
          <w:tcPr>
            <w:tcW w:w="60" w:type="dxa"/>
            <w:tcBorders/>
            <w:tcMar>
              <w:bottom w:w="0" w:type="dxa"/>
            </w:tcMar>
            <w:vAlign w:val="center"/>
          </w:tcPr>
          <w:p>
            <w:pPr>
              <w:pStyle w:val="TableContents"/>
              <w:bidi w:val="0"/>
              <w:spacing w:before="0" w:after="283"/>
              <w:jc w:val="left"/>
              <w:rPr/>
            </w:pPr>
            <w:r>
              <w:rPr/>
              <w:t> </w:t>
            </w:r>
          </w:p>
        </w:tc>
        <w:tc>
          <w:tcPr>
            <w:tcW w:w="52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 partnerships with diverse supplier groups in the U.S. and expand or maintain supplier diversity efforts year over year.</w:t>
            </w:r>
          </w:p>
        </w:tc>
        <w:tc>
          <w:tcPr>
            <w:tcW w:w="60" w:type="dxa"/>
            <w:tcBorders/>
            <w:tcMar>
              <w:bottom w:w="0" w:type="dxa"/>
            </w:tcMar>
            <w:vAlign w:val="center"/>
          </w:tcPr>
          <w:p>
            <w:pPr>
              <w:pStyle w:val="TableContents"/>
              <w:bidi w:val="0"/>
              <w:spacing w:before="0" w:after="283"/>
              <w:jc w:val="both"/>
              <w:rPr/>
            </w:pPr>
            <w:r>
              <w:rPr/>
              <w:t> </w:t>
            </w:r>
          </w:p>
        </w:tc>
        <w:tc>
          <w:tcPr>
            <w:tcW w:w="3425" w:type="dxa"/>
            <w:tcBorders/>
            <w:tcMar>
              <w:bottom w:w="0" w:type="dxa"/>
            </w:tcMar>
            <w:vAlign w:val="center"/>
          </w:tcPr>
          <w:p>
            <w:pPr>
              <w:pStyle w:val="TableContents"/>
              <w:bidi w:val="0"/>
              <w:spacing w:before="0" w:after="0"/>
              <w:ind w:left="180" w:right="0" w:hanging="18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Maintained diverse vendor utilization rate.</w:t>
            </w:r>
          </w:p>
          <w:p>
            <w:pPr>
              <w:pStyle w:val="TableContents"/>
              <w:bidi w:val="0"/>
              <w:spacing w:before="0" w:after="0"/>
              <w:ind w:left="180" w:right="0" w:hanging="18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Promoted vendor diversity value proposition with key stakeholders.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 Excellence Modifier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Scorecard results were adjusted based on how we performed in satisfying our customers and clients and meeting quality objectives. Our 2023 goals and key results are summarized below:</w:t>
      </w:r>
    </w:p>
    <w:p>
      <w:pPr>
        <w:pStyle w:val="TextBody"/>
        <w:bidi w:val="0"/>
        <w:spacing w:before="0" w:after="0"/>
        <w:ind w:left="0" w:right="0" w:hanging="0"/>
        <w:jc w:val="both"/>
        <w:rPr>
          <w:caps w:val="false"/>
          <w:smallCaps w:val="false"/>
        </w:rPr>
      </w:pPr>
      <w:r>
        <w:rPr>
          <w:caps w:val="false"/>
          <w:smallCaps w:val="false"/>
        </w:rPr>
        <w:t> </w:t>
      </w:r>
    </w:p>
    <w:tbl>
      <w:tblPr>
        <w:tblW w:w="10875" w:type="dxa"/>
        <w:jc w:val="left"/>
        <w:tblInd w:w="0" w:type="dxa"/>
        <w:tblLayout w:type="fixed"/>
        <w:tblCellMar>
          <w:top w:w="0" w:type="dxa"/>
          <w:left w:w="0" w:type="dxa"/>
          <w:bottom w:w="28" w:type="dxa"/>
          <w:right w:w="0" w:type="dxa"/>
        </w:tblCellMar>
      </w:tblPr>
      <w:tblGrid>
        <w:gridCol w:w="1220"/>
        <w:gridCol w:w="60"/>
        <w:gridCol w:w="102"/>
        <w:gridCol w:w="653"/>
        <w:gridCol w:w="260"/>
        <w:gridCol w:w="60"/>
        <w:gridCol w:w="103"/>
        <w:gridCol w:w="967"/>
        <w:gridCol w:w="215"/>
        <w:gridCol w:w="60"/>
        <w:gridCol w:w="68"/>
        <w:gridCol w:w="642"/>
        <w:gridCol w:w="215"/>
        <w:gridCol w:w="60"/>
        <w:gridCol w:w="103"/>
        <w:gridCol w:w="967"/>
        <w:gridCol w:w="215"/>
        <w:gridCol w:w="60"/>
        <w:gridCol w:w="129"/>
        <w:gridCol w:w="1211"/>
        <w:gridCol w:w="215"/>
        <w:gridCol w:w="60"/>
        <w:gridCol w:w="182"/>
        <w:gridCol w:w="1158"/>
        <w:gridCol w:w="215"/>
        <w:gridCol w:w="60"/>
        <w:gridCol w:w="129"/>
        <w:gridCol w:w="1211"/>
        <w:gridCol w:w="275"/>
      </w:tblGrid>
      <w:tr>
        <w:trPr/>
        <w:tc>
          <w:tcPr>
            <w:tcW w:w="1220" w:type="dxa"/>
            <w:tcBorders>
              <w:bottom w:val="single" w:sz="12" w:space="0" w:color="000000"/>
            </w:tcBorders>
            <w:vAlign w:val="center"/>
          </w:tcPr>
          <w:p>
            <w:pPr>
              <w:pStyle w:val="TableContents"/>
              <w:bidi w:val="0"/>
              <w:spacing w:before="0" w:after="283"/>
              <w:jc w:val="center"/>
              <w:rPr>
                <w:b/>
              </w:rPr>
            </w:pPr>
            <w:r>
              <w:rPr>
                <w:b/>
              </w:rPr>
              <w:t>Customer &amp; Client Segment and Service Excellence Metric</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12" w:space="0" w:color="000000"/>
            </w:tcBorders>
            <w:vAlign w:val="center"/>
          </w:tcPr>
          <w:p>
            <w:pPr>
              <w:pStyle w:val="TableContents"/>
              <w:bidi w:val="0"/>
              <w:spacing w:before="0" w:after="283"/>
              <w:jc w:val="center"/>
              <w:rPr>
                <w:b/>
              </w:rPr>
            </w:pPr>
            <w:r>
              <w:rPr>
                <w:b/>
              </w:rPr>
              <w:t>Metric Weight</w:t>
            </w:r>
          </w:p>
        </w:tc>
        <w:tc>
          <w:tcPr>
            <w:tcW w:w="2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Threshold</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10" w:type="dxa"/>
            <w:gridSpan w:val="2"/>
            <w:tcBorders>
              <w:bottom w:val="single" w:sz="12" w:space="0" w:color="000000"/>
            </w:tcBorders>
            <w:vAlign w:val="center"/>
          </w:tcPr>
          <w:p>
            <w:pPr>
              <w:pStyle w:val="TableContents"/>
              <w:bidi w:val="0"/>
              <w:spacing w:before="0" w:after="283"/>
              <w:jc w:val="center"/>
              <w:rPr>
                <w:b/>
              </w:rPr>
            </w:pPr>
            <w:r>
              <w:rPr>
                <w:b/>
              </w:rPr>
              <w:t>Target</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Maximum</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Performance Outcome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Performance Achievement</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Weighted Performance Achievement</w:t>
            </w:r>
          </w:p>
        </w:tc>
        <w:tc>
          <w:tcPr>
            <w:tcW w:w="275" w:type="dxa"/>
            <w:tcBorders/>
            <w:tcMar>
              <w:bottom w:w="0" w:type="dxa"/>
            </w:tcMar>
            <w:vAlign w:val="center"/>
          </w:tcPr>
          <w:p>
            <w:pPr>
              <w:pStyle w:val="TableContents"/>
              <w:bidi w:val="0"/>
              <w:spacing w:before="0" w:after="283"/>
              <w:jc w:val="center"/>
              <w:rPr/>
            </w:pPr>
            <w:r>
              <w:rPr/>
              <w:t> </w:t>
            </w:r>
          </w:p>
        </w:tc>
      </w:tr>
      <w:tr>
        <w:trPr/>
        <w:tc>
          <w:tcPr>
            <w:tcW w:w="12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Lending - Retail Customer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Quarterly Net Promoter Score (NPS) from Transactional Survey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pPr>
            <w:r>
              <w:rPr/>
              <w:t>15</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55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60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65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78.8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120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18.0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2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Lending - Third Party Client - Forward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Quarterly NPS from CL Delegated Relationship Survey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pPr>
            <w:r>
              <w:rPr/>
              <w:t>7.5</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40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55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73.0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120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9.0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2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Lending - Third Party Client - Reverse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Quarterly NPS from Reverse Wholesale/HCL Relationship Survey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pPr>
            <w:r>
              <w:rPr/>
              <w:t>7.5</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65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80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95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83.3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104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7.8</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2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Servicing - Customer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Q4 NPS, weighted by segment and contact format</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pPr>
            <w:r>
              <w:rPr/>
              <w:t>15</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34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38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42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38.8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104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15.6</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2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Servicing - Subserviced Clients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Tier 1-3 Subservicing Individual Client NPS (excludes Reverse)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pPr>
            <w:r>
              <w:rPr/>
              <w:t>15</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35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63.6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120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18.0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2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Servicing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CFPB complaints per 1000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pPr>
            <w:r>
              <w:rPr/>
              <w:t>15</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0.94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0.88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0.78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120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18.0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2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Lending - Retail Originations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significant defect rates monthly ending average</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pPr>
            <w:r>
              <w:rPr/>
              <w:t>10</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120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12.0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2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Servicing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operating metrics within specifications</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pPr>
            <w:r>
              <w:rPr/>
              <w:t>15</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93.60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94.85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96.10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96.41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120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18.0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b/>
              </w:rPr>
            </w:pPr>
            <w:r>
              <w:rPr>
                <w:b/>
              </w:rPr>
              <w:t>100</w:t>
            </w:r>
          </w:p>
        </w:tc>
        <w:tc>
          <w:tcPr>
            <w:tcW w:w="260"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b/>
              </w:rPr>
            </w:pPr>
            <w:r>
              <w:rPr>
                <w:b/>
              </w:rPr>
              <w:t>116.4</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NPS weighted 40% to forward contact, 40% to forward non-contact, and 20% to reverse contact.</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significant defect rates are calculated as the sum of all defects identified as a part of Quality Assurance (QA) reviews divided by the total sample size over the same period.</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Servicing metrics within specifications is a meta-metric across the Servicing segment that is the sum of passing reviews from the Monthly Business Review and GSE QA in 2023 divided by the total reviews in 2023.</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Organizational Performance Funding Allocation by Business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approval of the Corporate Scorecard results, funding is allocated to each business unit based on the Compensation Committee’s assessment of the business unit’s contributions to scorecard achievement, which is informed by the CEO’s recommendation. The assessment is based on the business unit’s achievement of a unique set of financial and operating objectives required to support the key priorities reflected in the Corporate Scorecard and service excellence modifier.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NEO worked with the CEO to develop their unique set of key priorities in their respective area of responsibility, which included specific cost or profitability targets, and were weighted depending upon their relative importance to overall organization success. These priorities are outlined in the Performance Assessments section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Individual Performance Multiplier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accountable for reviewing and approving the full-year performance evaluations and recommended performance appraisal ratings for each member of the executive leadership team, including the CEO. The Compensation Committee considers recommendations from the CEO in determining performance appraisal ratings of the other NEOs. The CEO’s performance appraisal rating is determined by the Compensation Committee in consultation with the other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for all employees, including NEOs, fell into three weighted categories: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business unit and functional priorities (50% weight) reflected individual goals required to meet the objectives contained in the Corporate Scorecard and service excellence modifier;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and compliance metrics (25% weight) assessed executive performance in promoting a culture of appropriate risk and compliance through training and policy review and adherence, remediating any identified issues, and lack of any material findings relating to audit protocols under the Sarbanes-Oxley Act or examination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Leadership expectations and behaviors (25% weight, described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Leadership expectations and behaviors for our executive team require them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Behave as a leadership role model </w:t>
            </w:r>
            <w:r>
              <w:rPr>
                <w:rFonts w:ascii="Times New Roman;Times;Serif" w:hAnsi="Times New Roman;Times;Serif"/>
                <w:color w:val="262626"/>
                <w:sz w:val="20"/>
              </w:rPr>
              <w:t>by self-identifying as an owner, maintaining a balanced perspective, demonstrating intellectual curiosity, being accountable for driving positive outcomes and operating as part of a larger team</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Build strong working relationships in which they </w:t>
            </w:r>
            <w:r>
              <w:rPr>
                <w:rFonts w:ascii="Times New Roman;Times;Serif" w:hAnsi="Times New Roman;Times;Serif"/>
                <w:color w:val="262626"/>
                <w:sz w:val="20"/>
              </w:rPr>
              <w:t xml:space="preserve">lead by example, demonstrate integrity, and </w:t>
            </w:r>
            <w:r>
              <w:rPr>
                <w:rFonts w:ascii="Times New Roman;Times;Serif" w:hAnsi="Times New Roman;Times;Serif"/>
                <w:sz w:val="20"/>
              </w:rPr>
              <w:t>solicit, consider and appropriately incorporate perspectives from others.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Drive and deliver exceptional results by proactively anticipating situations that require a plan of action, identifying critical issues and assuming personal ownership for driving their resolution.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Lead efforts on diversity, equity and inclusion by fostering an equitable, inclusive and safe work environment </w:t>
            </w:r>
            <w:r>
              <w:rPr>
                <w:rFonts w:ascii="Times New Roman;Times;Serif" w:hAnsi="Times New Roman;Times;Serif"/>
                <w:color w:val="262626"/>
                <w:sz w:val="20"/>
              </w:rPr>
              <w:t xml:space="preserve">that allows for </w:t>
            </w:r>
            <w:r>
              <w:rPr>
                <w:rFonts w:ascii="Times New Roman;Times;Serif" w:hAnsi="Times New Roman;Times;Serif"/>
                <w:sz w:val="20"/>
              </w:rPr>
              <w:t>open discussion and understanding, encourages and values individual differences, and ensures employees have an equal opportunity for success.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Build and motivate a high performing team by identifying and securing top talent to increase performance, </w:t>
            </w:r>
            <w:r>
              <w:rPr>
                <w:rFonts w:ascii="Times New Roman;Times;Serif" w:hAnsi="Times New Roman;Times;Serif"/>
                <w:color w:val="262626"/>
                <w:sz w:val="20"/>
              </w:rPr>
              <w:t>convincing others of the need for change to support critical organizational objectives, and</w:t>
            </w:r>
            <w:r>
              <w:rPr>
                <w:rFonts w:ascii="Times New Roman;Times;Serif" w:hAnsi="Times New Roman;Times;Serif"/>
                <w:sz w:val="20"/>
              </w:rPr>
              <w:t xml:space="preserve"> actively holding people accountable for results and behaviors.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color w:val="262626"/>
                <w:sz w:val="20"/>
              </w:rPr>
              <w:t xml:space="preserve">Embrace our service excellence philosophy </w:t>
            </w:r>
            <w:r>
              <w:rPr>
                <w:rFonts w:ascii="Times New Roman;Times;Serif" w:hAnsi="Times New Roman;Times;Serif"/>
                <w:sz w:val="20"/>
              </w:rPr>
              <w:t>by supporting its standards of delivering on commitments to customers, clients, investors and colleagues through caring service, integrity and creative 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evaluates the proposed results and performance appraisal recommendations and determines the final incentive compensation awards for each executive. Each executive receives an individual performance appraisal rating against a 5-point scale with an “individual performance multiplier” that is applied to their funded annual incentive opportunity,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for the multiplier is determined by the Compensation Committee using a value from the range shown in the chart below.</w:t>
      </w:r>
    </w:p>
    <w:p>
      <w:pPr>
        <w:pStyle w:val="TextBody"/>
        <w:bidi w:val="0"/>
        <w:spacing w:before="0" w:after="0"/>
        <w:ind w:left="0" w:right="0" w:hanging="0"/>
        <w:jc w:val="both"/>
        <w:rPr>
          <w:caps w:val="false"/>
          <w:smallCaps w:val="false"/>
        </w:rPr>
      </w:pPr>
      <w:r>
        <w:rPr>
          <w:caps w:val="false"/>
          <w:smallCaps w:val="false"/>
        </w:rPr>
        <w:t> </w:t>
      </w:r>
    </w:p>
    <w:tbl>
      <w:tblPr>
        <w:tblW w:w="5785" w:type="dxa"/>
        <w:jc w:val="left"/>
        <w:tblInd w:w="0" w:type="dxa"/>
        <w:tblLayout w:type="fixed"/>
        <w:tblCellMar>
          <w:top w:w="0" w:type="dxa"/>
          <w:left w:w="0" w:type="dxa"/>
          <w:bottom w:w="28" w:type="dxa"/>
          <w:right w:w="0" w:type="dxa"/>
        </w:tblCellMar>
      </w:tblPr>
      <w:tblGrid>
        <w:gridCol w:w="2690"/>
        <w:gridCol w:w="60"/>
        <w:gridCol w:w="3035"/>
      </w:tblGrid>
      <w:tr>
        <w:trPr/>
        <w:tc>
          <w:tcPr>
            <w:tcW w:w="269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 Performance Rating</w:t>
            </w:r>
          </w:p>
        </w:tc>
        <w:tc>
          <w:tcPr>
            <w:tcW w:w="60" w:type="dxa"/>
            <w:tcBorders/>
            <w:tcMar>
              <w:bottom w:w="0" w:type="dxa"/>
            </w:tcMar>
            <w:vAlign w:val="center"/>
          </w:tcPr>
          <w:p>
            <w:pPr>
              <w:pStyle w:val="TableContents"/>
              <w:bidi w:val="0"/>
              <w:spacing w:before="0" w:after="283"/>
              <w:jc w:val="left"/>
              <w:rPr/>
            </w:pPr>
            <w:r>
              <w:rPr/>
              <w:t> </w:t>
            </w:r>
          </w:p>
        </w:tc>
        <w:tc>
          <w:tcPr>
            <w:tcW w:w="30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Individual Performance Multiplier </w:t>
            </w:r>
          </w:p>
        </w:tc>
      </w:tr>
      <w:tr>
        <w:trPr/>
        <w:tc>
          <w:tcPr>
            <w:tcW w:w="26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Performance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110-125%</w:t>
            </w:r>
          </w:p>
        </w:tc>
      </w:tr>
      <w:tr>
        <w:trPr/>
        <w:tc>
          <w:tcPr>
            <w:tcW w:w="26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Highly Effective Performance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105-110%</w:t>
            </w:r>
          </w:p>
        </w:tc>
      </w:tr>
      <w:tr>
        <w:trPr/>
        <w:tc>
          <w:tcPr>
            <w:tcW w:w="26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Performance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90-105%</w:t>
            </w:r>
          </w:p>
        </w:tc>
      </w:tr>
      <w:tr>
        <w:trPr/>
        <w:tc>
          <w:tcPr>
            <w:tcW w:w="26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Inconsistent Performance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50-75%</w:t>
            </w:r>
          </w:p>
        </w:tc>
      </w:tr>
      <w:tr>
        <w:trPr/>
        <w:tc>
          <w:tcPr>
            <w:tcW w:w="26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Unsatisfactory Performance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Assessments and Calculation of Total 2023 AIP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Compensation Committee – and the full Board, in the case of the CEO – assessed each NEO’s performance leading their respective business unit’s achievement of its financial and operating objectives to determine organizational performance funding, and assigned individual performance multipliers reflective of risk and compliance objectives and leadership expectations and behaviors that further differentiated their performance, as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88"/>
        <w:gridCol w:w="60"/>
        <w:gridCol w:w="257"/>
        <w:gridCol w:w="2408"/>
        <w:gridCol w:w="215"/>
        <w:gridCol w:w="60"/>
        <w:gridCol w:w="330"/>
        <w:gridCol w:w="2097"/>
        <w:gridCol w:w="215"/>
        <w:gridCol w:w="60"/>
        <w:gridCol w:w="257"/>
        <w:gridCol w:w="2424"/>
        <w:gridCol w:w="234"/>
      </w:tblGrid>
      <w:tr>
        <w:trPr/>
        <w:tc>
          <w:tcPr>
            <w:tcW w:w="1588" w:type="dxa"/>
            <w:tcBorders>
              <w:bottom w:val="single" w:sz="12"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66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 Performance Funding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27"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 Performance Multiplier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81"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Award as a Percent of Target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34" w:type="dxa"/>
            <w:tcBorders/>
            <w:tcMar>
              <w:bottom w:w="0" w:type="dxa"/>
            </w:tcMar>
            <w:vAlign w:val="center"/>
          </w:tcPr>
          <w:p>
            <w:pPr>
              <w:pStyle w:val="TableContents"/>
              <w:bidi w:val="0"/>
              <w:spacing w:before="0" w:after="283"/>
              <w:jc w:val="left"/>
              <w:rPr/>
            </w:pPr>
            <w:r>
              <w:rPr/>
              <w:t> </w:t>
            </w:r>
          </w:p>
        </w:tc>
      </w:tr>
      <w:tr>
        <w:trPr/>
        <w:tc>
          <w:tcPr>
            <w:tcW w:w="1588" w:type="dxa"/>
            <w:tcBorders/>
            <w:shd w:fill="CCEEFF" w:val="clear"/>
            <w:tcMar>
              <w:bottom w:w="0" w:type="dxa"/>
            </w:tcMar>
            <w:vAlign w:val="center"/>
          </w:tcPr>
          <w:p>
            <w:pPr>
              <w:pStyle w:val="TableContents"/>
              <w:bidi w:val="0"/>
              <w:spacing w:before="0" w:after="283"/>
              <w:jc w:val="both"/>
              <w:rPr/>
            </w:pPr>
            <w:r>
              <w:rPr/>
              <w:t>Glen A. Messina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2408" w:type="dxa"/>
            <w:tcBorders/>
            <w:shd w:fill="CCEEFF" w:val="clear"/>
            <w:tcMar>
              <w:bottom w:w="0" w:type="dxa"/>
            </w:tcMar>
            <w:vAlign w:val="center"/>
          </w:tcPr>
          <w:p>
            <w:pPr>
              <w:pStyle w:val="TableContents"/>
              <w:bidi w:val="0"/>
              <w:spacing w:before="0" w:after="283"/>
              <w:jc w:val="right"/>
              <w:rPr/>
            </w:pPr>
            <w:r>
              <w:rPr/>
              <w:t>100.3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before="0" w:after="283"/>
              <w:jc w:val="right"/>
              <w:rPr/>
            </w:pPr>
            <w:r>
              <w:rPr/>
              <w:t>105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2424" w:type="dxa"/>
            <w:tcBorders/>
            <w:shd w:fill="CCEEFF" w:val="clear"/>
            <w:tcMar>
              <w:bottom w:w="0" w:type="dxa"/>
            </w:tcMar>
            <w:vAlign w:val="center"/>
          </w:tcPr>
          <w:p>
            <w:pPr>
              <w:pStyle w:val="TableContents"/>
              <w:bidi w:val="0"/>
              <w:spacing w:before="0" w:after="283"/>
              <w:jc w:val="right"/>
              <w:rPr/>
            </w:pPr>
            <w:r>
              <w:rPr/>
              <w:t>105.3</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588" w:type="dxa"/>
            <w:tcBorders/>
            <w:shd w:fill="FFFFFF" w:val="clear"/>
            <w:tcMar>
              <w:bottom w:w="0" w:type="dxa"/>
            </w:tcMar>
            <w:vAlign w:val="center"/>
          </w:tcPr>
          <w:p>
            <w:pPr>
              <w:pStyle w:val="TableContents"/>
              <w:bidi w:val="0"/>
              <w:spacing w:before="0" w:after="283"/>
              <w:jc w:val="both"/>
              <w:rPr/>
            </w:pPr>
            <w:r>
              <w:rPr/>
              <w:t>Sean O’Neil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2408" w:type="dxa"/>
            <w:tcBorders/>
            <w:shd w:fill="FFFFFF" w:val="clear"/>
            <w:tcMar>
              <w:bottom w:w="0" w:type="dxa"/>
            </w:tcMar>
            <w:vAlign w:val="center"/>
          </w:tcPr>
          <w:p>
            <w:pPr>
              <w:pStyle w:val="TableContents"/>
              <w:bidi w:val="0"/>
              <w:spacing w:before="0" w:after="283"/>
              <w:jc w:val="right"/>
              <w:rPr/>
            </w:pPr>
            <w:r>
              <w:rPr/>
              <w:t>101.0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shd w:fill="FFFFFF" w:val="clear"/>
            <w:tcMar>
              <w:bottom w:w="0" w:type="dxa"/>
            </w:tcMar>
            <w:vAlign w:val="center"/>
          </w:tcPr>
          <w:p>
            <w:pPr>
              <w:pStyle w:val="TableContents"/>
              <w:bidi w:val="0"/>
              <w:spacing w:before="0" w:after="283"/>
              <w:jc w:val="left"/>
              <w:rPr/>
            </w:pPr>
            <w:r>
              <w:rPr/>
              <w:t> </w:t>
            </w:r>
          </w:p>
        </w:tc>
        <w:tc>
          <w:tcPr>
            <w:tcW w:w="2097" w:type="dxa"/>
            <w:tcBorders/>
            <w:shd w:fill="FFFFFF" w:val="clear"/>
            <w:tcMar>
              <w:bottom w:w="0" w:type="dxa"/>
            </w:tcMar>
            <w:vAlign w:val="center"/>
          </w:tcPr>
          <w:p>
            <w:pPr>
              <w:pStyle w:val="TableContents"/>
              <w:bidi w:val="0"/>
              <w:spacing w:before="0" w:after="283"/>
              <w:jc w:val="right"/>
              <w:rPr/>
            </w:pPr>
            <w:r>
              <w:rPr/>
              <w:t>103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2424" w:type="dxa"/>
            <w:tcBorders/>
            <w:shd w:fill="FFFFFF" w:val="clear"/>
            <w:tcMar>
              <w:bottom w:w="0" w:type="dxa"/>
            </w:tcMar>
            <w:vAlign w:val="center"/>
          </w:tcPr>
          <w:p>
            <w:pPr>
              <w:pStyle w:val="TableContents"/>
              <w:bidi w:val="0"/>
              <w:spacing w:before="0" w:after="283"/>
              <w:jc w:val="right"/>
              <w:rPr/>
            </w:pPr>
            <w:r>
              <w:rPr/>
              <w:t>103.5</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1588" w:type="dxa"/>
            <w:tcBorders/>
            <w:shd w:fill="CCEEFF" w:val="clear"/>
            <w:tcMar>
              <w:bottom w:w="0" w:type="dxa"/>
            </w:tcMar>
            <w:vAlign w:val="center"/>
          </w:tcPr>
          <w:p>
            <w:pPr>
              <w:pStyle w:val="TableContents"/>
              <w:bidi w:val="0"/>
              <w:spacing w:before="0" w:after="283"/>
              <w:jc w:val="both"/>
              <w:rPr/>
            </w:pPr>
            <w:r>
              <w:rPr/>
              <w:t>Scott W.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2408" w:type="dxa"/>
            <w:tcBorders/>
            <w:shd w:fill="CCEEFF" w:val="clear"/>
            <w:tcMar>
              <w:bottom w:w="0" w:type="dxa"/>
            </w:tcMar>
            <w:vAlign w:val="center"/>
          </w:tcPr>
          <w:p>
            <w:pPr>
              <w:pStyle w:val="TableContents"/>
              <w:bidi w:val="0"/>
              <w:spacing w:before="0" w:after="283"/>
              <w:jc w:val="right"/>
              <w:rPr/>
            </w:pPr>
            <w:r>
              <w:rPr/>
              <w:t>104.5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before="0" w:after="283"/>
              <w:jc w:val="right"/>
              <w:rPr/>
            </w:pPr>
            <w:r>
              <w:rPr/>
              <w:t>110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2424" w:type="dxa"/>
            <w:tcBorders/>
            <w:shd w:fill="CCEEFF" w:val="clear"/>
            <w:tcMar>
              <w:bottom w:w="0" w:type="dxa"/>
            </w:tcMar>
            <w:vAlign w:val="center"/>
          </w:tcPr>
          <w:p>
            <w:pPr>
              <w:pStyle w:val="TableContents"/>
              <w:bidi w:val="0"/>
              <w:spacing w:before="0" w:after="283"/>
              <w:jc w:val="right"/>
              <w:rPr/>
            </w:pPr>
            <w:r>
              <w:rPr/>
              <w:t>115.0</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588" w:type="dxa"/>
            <w:tcBorders/>
            <w:shd w:fill="FFFFFF" w:val="clear"/>
            <w:tcMar>
              <w:bottom w:w="0" w:type="dxa"/>
            </w:tcMar>
            <w:vAlign w:val="center"/>
          </w:tcPr>
          <w:p>
            <w:pPr>
              <w:pStyle w:val="TableContents"/>
              <w:bidi w:val="0"/>
              <w:spacing w:before="0" w:after="283"/>
              <w:jc w:val="both"/>
              <w:rPr/>
            </w:pPr>
            <w:r>
              <w:rPr/>
              <w:t>Dennis Zeleny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2408" w:type="dxa"/>
            <w:tcBorders/>
            <w:shd w:fill="FFFFFF" w:val="clear"/>
            <w:tcMar>
              <w:bottom w:w="0" w:type="dxa"/>
            </w:tcMar>
            <w:vAlign w:val="center"/>
          </w:tcPr>
          <w:p>
            <w:pPr>
              <w:pStyle w:val="TableContents"/>
              <w:bidi w:val="0"/>
              <w:spacing w:before="0" w:after="283"/>
              <w:jc w:val="right"/>
              <w:rPr/>
            </w:pPr>
            <w:r>
              <w:rPr/>
              <w:t>102.5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shd w:fill="FFFFFF" w:val="clear"/>
            <w:tcMar>
              <w:bottom w:w="0" w:type="dxa"/>
            </w:tcMar>
            <w:vAlign w:val="center"/>
          </w:tcPr>
          <w:p>
            <w:pPr>
              <w:pStyle w:val="TableContents"/>
              <w:bidi w:val="0"/>
              <w:spacing w:before="0" w:after="283"/>
              <w:jc w:val="left"/>
              <w:rPr/>
            </w:pPr>
            <w:r>
              <w:rPr/>
              <w:t> </w:t>
            </w:r>
          </w:p>
        </w:tc>
        <w:tc>
          <w:tcPr>
            <w:tcW w:w="2097" w:type="dxa"/>
            <w:tcBorders/>
            <w:shd w:fill="FFFFFF" w:val="clear"/>
            <w:tcMar>
              <w:bottom w:w="0" w:type="dxa"/>
            </w:tcMar>
            <w:vAlign w:val="center"/>
          </w:tcPr>
          <w:p>
            <w:pPr>
              <w:pStyle w:val="TableContents"/>
              <w:bidi w:val="0"/>
              <w:spacing w:before="0" w:after="283"/>
              <w:jc w:val="right"/>
              <w:rPr/>
            </w:pPr>
            <w:r>
              <w:rPr/>
              <w:t>110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2424" w:type="dxa"/>
            <w:tcBorders/>
            <w:shd w:fill="FFFFFF" w:val="clear"/>
            <w:tcMar>
              <w:bottom w:w="0" w:type="dxa"/>
            </w:tcMar>
            <w:vAlign w:val="center"/>
          </w:tcPr>
          <w:p>
            <w:pPr>
              <w:pStyle w:val="TableContents"/>
              <w:bidi w:val="0"/>
              <w:spacing w:before="0" w:after="283"/>
              <w:jc w:val="right"/>
              <w:rPr/>
            </w:pPr>
            <w:r>
              <w:rPr/>
              <w:t>112.8</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1588" w:type="dxa"/>
            <w:tcBorders/>
            <w:shd w:fill="CCEEFF" w:val="clear"/>
            <w:tcMar>
              <w:bottom w:w="0" w:type="dxa"/>
            </w:tcMar>
            <w:vAlign w:val="center"/>
          </w:tcPr>
          <w:p>
            <w:pPr>
              <w:pStyle w:val="TableContents"/>
              <w:bidi w:val="0"/>
              <w:spacing w:before="0" w:after="283"/>
              <w:jc w:val="both"/>
              <w:rPr/>
            </w:pPr>
            <w:r>
              <w:rPr/>
              <w:t>George T. Henley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2408" w:type="dxa"/>
            <w:tcBorders/>
            <w:shd w:fill="CCEEFF" w:val="clear"/>
            <w:tcMar>
              <w:bottom w:w="0" w:type="dxa"/>
            </w:tcMar>
            <w:vAlign w:val="center"/>
          </w:tcPr>
          <w:p>
            <w:pPr>
              <w:pStyle w:val="TableContents"/>
              <w:bidi w:val="0"/>
              <w:spacing w:before="0" w:after="283"/>
              <w:jc w:val="right"/>
              <w:rPr/>
            </w:pPr>
            <w:r>
              <w:rPr/>
              <w:t>85.0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2424" w:type="dxa"/>
            <w:tcBorders/>
            <w:shd w:fill="CCEEFF" w:val="clear"/>
            <w:tcMar>
              <w:bottom w:w="0" w:type="dxa"/>
            </w:tcMar>
            <w:vAlign w:val="center"/>
          </w:tcPr>
          <w:p>
            <w:pPr>
              <w:pStyle w:val="TableContents"/>
              <w:bidi w:val="0"/>
              <w:spacing w:before="0" w:after="283"/>
              <w:jc w:val="right"/>
              <w:rPr/>
            </w:pPr>
            <w:r>
              <w:rPr/>
              <w:t>85.0</w:t>
            </w:r>
          </w:p>
        </w:tc>
        <w:tc>
          <w:tcPr>
            <w:tcW w:w="23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performance of each executive and his respective business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Glen Messina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CEO, Mr. Messina received organizational performance funding equivalent to the Corporate Scorecard results, or 100.3%, and he received an individual performance multiplier of 105%, with key accomplishments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Built and managed a balanced and diversified business model that drove profitability through a continued focus on servicing and acting with agility to re-size originations to a rapidly changing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Drove prudent growth adapted for the current environment, including expanding our MSR capital partners and related subservicing opportunities and focusing on higher margin originations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Maintained industry-leading servicing operations and cost performance by maintaining continuous cost improvement discipline and optimizing technology and global operations, and exceeded all customer satisfaction objectives through technology interfaces and proactive outreach.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Allocated capital to deliver value for shareholders by optimizing liquidity, diversifying capital sources, including expanding the multi-investor partnership model to fund new MSR originations.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Led an engaged and productive workforce despite reducing global headcount by approximately 15%, maintaining relatively flat attrition and meeting or exceeding commitments to support diversity and inclusion.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Sean O’Neil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O’Neil’s key priorities for the finance organization included financial reporting and forecasting, treasury and cash management, balance sheet optimization, and shareholder relations. Under his leadership, the finance business unit earned an organizational performance multiplier of 101%, and he received an individual performance multiplier of 102.5%, with key accomplishments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Led enterprise-wide budget planning and cost reduction initiatives that improved revenue, reduced operating expenses and improved financing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Managed liquidity to enable debt buyback, lowered lender risk and upsized capacity, improved financing spreads and facilitated securitizations that lowered interest expense.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and executed an investor relations strategy that included holding frequent sessions with existing and prospective shareholders and research analysts to communicate our long-term strategy to reduce corporate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Expanded reporting and analysis capabilities leading to faster and more effective decision-making evaluating budgets, debt management, operating unit performance and strategic transactions.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Scott Anderson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Anderson’s key priorities for the servicing organization included delivering efficient and compliant operational performance and exceptional customer service, and improving portfolio cost to service. Under his leadership, the servicing business unit earned an 104.5% organizational performance multiplier, and he received an individual performance multiplier of 110%, with key accomplishments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expenses as a percent of UPB through automation initiatives, customer experience enhancements and increased borrower self-service acceptance rates.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Improved borrower and client Net Promoter Scores from 2022 to 2023, and Consumer Financial Protection Bureau (CFPB) complaint volumes were at an all-time low.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Drove strong operational performance with &lt;1% defect rate through compliance management, self-identification in a culture of transparency, swift remediation, root cause analysis and preventive-action planning.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Improved call center pitch and transfer rates through scripting, training and incentives to drive significant increase to loan recapture rates.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Dennis Zeleny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Zeleny’s key priorities as Chief Administrative Officer included overseeing the human resources, information technologies, enterprise project management office (EPMO), communication, procurement, corporate insurance, international operations and facilities functions. These groups enable the people, processes and technology associated with our growth, change and cost leadership initiatives. Mr. Zeleny received an organizational performance multiplier of 102.5%, and he received an individual performance multiplier of 110%, with key accomplishments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Developed and executed the human capital agenda, including staffing, talent, succession planning, employee engagement, DE&amp;I, remuneration and learning programs efficiently.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Executed our Asia-Pacific platform goals and objectives, exceeding cost reduction targets while ensuring a highly skilled, engaged and productive workforce.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Led cybersecurity enhancements to protect the organization from potential cyber threats through technology-based prevention and employee training. Improved efficiency levering technology and AI tools.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Strengthened performance of the EPMO, strategic sourcing, and corporate insurance functions through the implementation of technology enhancements and process optimization.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George Henley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Henley’s key priorities for the originations organization included growing the loan portfolio, and integrating the forward and reverse originations channels. Under his leadership, the lending business unit earned an 85% organizational performance multiplier, with key accomplishments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Navigated through a difficult mortgage originations market, exceeding cost per loan targets by managing headcount against volume opportunity and reducing operating costs through operations optimization.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Exceeded growth targets for “best efforts” and GNMA volumes, grew business-to-business clients and improved the digital customer experience.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Exceeded both Net Promoter Score and quality targets across recapture and reverse retail channels.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Long-Term Incentive (LTIP)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grant of LTIP awards is designed to promote actions and decisions aligned with our strategic objectives and reward our executives and other program participants for long-term value creation for our shareholders in a manner that is consistent with our pay-for-performance philosophy. The Compensation Committee periodically reviews the granting of equity awards to employees based on such factors as Company performance, market competitive conditions and advice from its independent compensation consultant.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Ocwen’s long-term incentive opportunity for eligible employees, including executive officers, was provided through equity awards under the 2021 Equity Incentive Plan (the 2021 Plan) adopted by shareholders on May 25, 2021 and amended May 23, 2023. The 2021 Plan authorized the grant of restricted stock, restricted stock units, options, stock appreciation rights or other equity-based awards, including cash-settled awards, to our employees (including executive officers), directors, advisors and consultants. We have made grants under the 2021 Plan only to employees and directors. We implemented the 2021 Plan to motivate employees to make extraordinary efforts to achieve significant improvements to shareholder value, support retention of key employees and align the interests of our employees with the interests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 LTIP awards include both a time-vesting component for retention purposes and a performance-based component to align with pay-for-performance objectives. Half of the target value is granted as RSUs vesting in equal thirds on the first, second and third anniversaries of the grant, and half is granted as PRSUs vesting on the third anniversary of the grant based on TSR compared to a performance peer group selected for the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selected the following peer group as the comparator for relative TSR performance, including competitors in the mortgage finance industry and mortgage real estate investment trusts.</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3770"/>
        <w:gridCol w:w="60"/>
        <w:gridCol w:w="2825"/>
      </w:tblGrid>
      <w:tr>
        <w:trPr/>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Annaly Capital Management, Inc.</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Residential Investment Corp.</w:t>
            </w:r>
          </w:p>
        </w:tc>
      </w:tr>
      <w:tr>
        <w:trPr/>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Cherry Hill Mortgage Investment Corporation</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PennyMac Financial Services, Inc.</w:t>
            </w:r>
          </w:p>
        </w:tc>
      </w:tr>
      <w:tr>
        <w:trPr/>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Guild Holdings Company</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Radian Group Inc.</w:t>
            </w:r>
          </w:p>
        </w:tc>
      </w:tr>
      <w:tr>
        <w:trPr/>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Point Capital Inc.</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Trust, Inc.</w:t>
            </w:r>
          </w:p>
        </w:tc>
      </w:tr>
      <w:tr>
        <w:trPr/>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loanDepot, Inc.</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Companies, Inc.</w:t>
            </w:r>
          </w:p>
        </w:tc>
      </w:tr>
      <w:tr>
        <w:trPr/>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MGIC Investment Corporation</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Harbors Investment Corp.</w:t>
            </w:r>
          </w:p>
        </w:tc>
      </w:tr>
      <w:tr>
        <w:trPr/>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Cooper Group Inc.</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UWM Holdings Corporation</w:t>
            </w:r>
          </w:p>
        </w:tc>
      </w:tr>
      <w:tr>
        <w:trPr/>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Navient Corporation</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PRSUs use four distinct weighted performance periods to measure overall performance, three annual periods and one three-year period, as shown below. This structure assigns a weight more than three times greater to the three-year period while also providing incentive for year-over-year improvements compared to the peer group.</w:t>
      </w:r>
    </w:p>
    <w:p>
      <w:pPr>
        <w:pStyle w:val="TextBody"/>
        <w:bidi w:val="0"/>
        <w:spacing w:before="0" w:after="0"/>
        <w:ind w:left="0" w:right="0" w:hanging="0"/>
        <w:jc w:val="both"/>
        <w:rPr>
          <w:caps w:val="false"/>
          <w:smallCaps w:val="false"/>
        </w:rPr>
      </w:pPr>
      <w:r>
        <w:rPr>
          <w:caps w:val="false"/>
          <w:smallCaps w:val="false"/>
        </w:rPr>
        <w:t> </w:t>
      </w:r>
    </w:p>
    <w:tbl>
      <w:tblPr>
        <w:tblW w:w="6015" w:type="dxa"/>
        <w:jc w:val="left"/>
        <w:tblInd w:w="0" w:type="dxa"/>
        <w:tblLayout w:type="fixed"/>
        <w:tblCellMar>
          <w:top w:w="0" w:type="dxa"/>
          <w:left w:w="0" w:type="dxa"/>
          <w:bottom w:w="28" w:type="dxa"/>
          <w:right w:w="0" w:type="dxa"/>
        </w:tblCellMar>
      </w:tblPr>
      <w:tblGrid>
        <w:gridCol w:w="755"/>
        <w:gridCol w:w="60"/>
        <w:gridCol w:w="2330"/>
        <w:gridCol w:w="60"/>
        <w:gridCol w:w="2810"/>
      </w:tblGrid>
      <w:tr>
        <w:trPr/>
        <w:tc>
          <w:tcPr>
            <w:tcW w:w="7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w:t>
            </w:r>
          </w:p>
        </w:tc>
        <w:tc>
          <w:tcPr>
            <w:tcW w:w="60" w:type="dxa"/>
            <w:tcBorders/>
            <w:tcMar>
              <w:bottom w:w="0" w:type="dxa"/>
            </w:tcMar>
            <w:vAlign w:val="center"/>
          </w:tcPr>
          <w:p>
            <w:pPr>
              <w:pStyle w:val="TableContents"/>
              <w:bidi w:val="0"/>
              <w:spacing w:before="0" w:after="283"/>
              <w:jc w:val="left"/>
              <w:rPr/>
            </w:pPr>
            <w:r>
              <w:rPr/>
              <w:t> </w:t>
            </w:r>
          </w:p>
        </w:tc>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Period</w:t>
            </w:r>
          </w:p>
        </w:tc>
        <w:tc>
          <w:tcPr>
            <w:tcW w:w="60" w:type="dxa"/>
            <w:tcBorders/>
            <w:tcMar>
              <w:bottom w:w="0" w:type="dxa"/>
            </w:tcMar>
            <w:vAlign w:val="center"/>
          </w:tcPr>
          <w:p>
            <w:pPr>
              <w:pStyle w:val="TableContents"/>
              <w:bidi w:val="0"/>
              <w:spacing w:before="0" w:after="283"/>
              <w:jc w:val="left"/>
              <w:rPr/>
            </w:pPr>
            <w:r>
              <w:rPr/>
              <w:t> </w:t>
            </w:r>
          </w:p>
        </w:tc>
        <w:tc>
          <w:tcPr>
            <w:tcW w:w="2810" w:type="dxa"/>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Target PRSUs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Assigned to Measurement Period</w:t>
            </w:r>
          </w:p>
        </w:tc>
      </w:tr>
      <w:tr>
        <w:trPr/>
        <w:tc>
          <w:tcPr>
            <w:tcW w:w="7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2023 - April 3,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2024 - April 3,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2025 - April 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2023 - April 3,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achieves relative TSR at the (i) 25th percentile of its peer group for any measurement period (threshold level), 50% of the target PRSUs are eligible to vest, (ii) 50th percentile of its peer group for any measurement period (target level), 100% of the target PRSUs are eligible to vest, and (iii) 100th percentile, or ranked first overall, of its peer group for any measurement period (maximum level), 200% of the target PRSUs are eligible to vest. The number of target PRSUs that may be eligible to become vested based on relative TSR performance during each measurement period is interpolated between the applicable performance levels. No PRSUs will be earned for a specific measurement period if TSR is below threshold. Units credited based on TSR for any performance period are subject to continued service through the third anniversary of the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annual target value opportunities for our NEOs, as approved by the Compensation Committee, granted in 2023, which will be settled in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21"/>
        <w:gridCol w:w="60"/>
        <w:gridCol w:w="165"/>
        <w:gridCol w:w="2703"/>
        <w:gridCol w:w="60"/>
        <w:gridCol w:w="60"/>
        <w:gridCol w:w="226"/>
        <w:gridCol w:w="3731"/>
        <w:gridCol w:w="60"/>
        <w:gridCol w:w="60"/>
        <w:gridCol w:w="96"/>
        <w:gridCol w:w="1585"/>
        <w:gridCol w:w="78"/>
      </w:tblGrid>
      <w:tr>
        <w:trPr/>
        <w:tc>
          <w:tcPr>
            <w:tcW w:w="1321" w:type="dxa"/>
            <w:tcBorders>
              <w:bottom w:val="single" w:sz="12"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868"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Target Value Granted as Restricted Stock Units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57"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Target Value Granted as Performance-Restricted Stock Units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81"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Annual Target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tcMar>
              <w:bottom w:w="0" w:type="dxa"/>
            </w:tcMar>
            <w:vAlign w:val="center"/>
          </w:tcPr>
          <w:p>
            <w:pPr>
              <w:pStyle w:val="TableContents"/>
              <w:bidi w:val="0"/>
              <w:spacing w:before="0" w:after="283"/>
              <w:jc w:val="left"/>
              <w:rPr/>
            </w:pPr>
            <w:r>
              <w:rPr/>
              <w:t> </w:t>
            </w:r>
          </w:p>
        </w:tc>
      </w:tr>
      <w:tr>
        <w:trPr/>
        <w:tc>
          <w:tcPr>
            <w:tcW w:w="1321" w:type="dxa"/>
            <w:tcBorders/>
            <w:shd w:fill="CCEEFF" w:val="clear"/>
            <w:tcMar>
              <w:bottom w:w="0" w:type="dxa"/>
            </w:tcMar>
            <w:vAlign w:val="center"/>
          </w:tcPr>
          <w:p>
            <w:pPr>
              <w:pStyle w:val="TableContents"/>
              <w:bidi w:val="0"/>
              <w:spacing w:before="0" w:after="283"/>
              <w:jc w:val="both"/>
              <w:rPr/>
            </w:pPr>
            <w:r>
              <w:rPr/>
              <w:t>Glen A. Messina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703" w:type="dxa"/>
            <w:tcBorders/>
            <w:shd w:fill="CCEEFF" w:val="clear"/>
            <w:tcMar>
              <w:bottom w:w="0" w:type="dxa"/>
            </w:tcMar>
            <w:vAlign w:val="center"/>
          </w:tcPr>
          <w:p>
            <w:pPr>
              <w:pStyle w:val="TableContents"/>
              <w:bidi w:val="0"/>
              <w:spacing w:before="0" w:after="283"/>
              <w:jc w:val="right"/>
              <w:rPr/>
            </w:pPr>
            <w:r>
              <w:rPr/>
              <w:t>2,000,000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3731" w:type="dxa"/>
            <w:tcBorders/>
            <w:shd w:fill="CCEEFF" w:val="clear"/>
            <w:tcMar>
              <w:bottom w:w="0" w:type="dxa"/>
            </w:tcMar>
            <w:vAlign w:val="center"/>
          </w:tcPr>
          <w:p>
            <w:pPr>
              <w:pStyle w:val="TableContents"/>
              <w:bidi w:val="0"/>
              <w:spacing w:before="0" w:after="283"/>
              <w:jc w:val="right"/>
              <w:rPr/>
            </w:pPr>
            <w:r>
              <w:rPr/>
              <w:t>2,000,000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4,000,000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321" w:type="dxa"/>
            <w:tcBorders/>
            <w:shd w:fill="FFFFFF" w:val="clear"/>
            <w:tcMar>
              <w:bottom w:w="0" w:type="dxa"/>
            </w:tcMar>
            <w:vAlign w:val="center"/>
          </w:tcPr>
          <w:p>
            <w:pPr>
              <w:pStyle w:val="TableContents"/>
              <w:bidi w:val="0"/>
              <w:spacing w:before="0" w:after="283"/>
              <w:jc w:val="both"/>
              <w:rPr/>
            </w:pPr>
            <w:r>
              <w:rPr/>
              <w:t>Sean O’Neil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2703" w:type="dxa"/>
            <w:tcBorders/>
            <w:shd w:fill="FFFFFF" w:val="clear"/>
            <w:tcMar>
              <w:bottom w:w="0" w:type="dxa"/>
            </w:tcMar>
            <w:vAlign w:val="center"/>
          </w:tcPr>
          <w:p>
            <w:pPr>
              <w:pStyle w:val="TableContents"/>
              <w:bidi w:val="0"/>
              <w:spacing w:before="0" w:after="283"/>
              <w:jc w:val="right"/>
              <w:rPr/>
            </w:pPr>
            <w:r>
              <w:rPr/>
              <w:t>325,000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3731" w:type="dxa"/>
            <w:tcBorders/>
            <w:shd w:fill="FFFFFF" w:val="clear"/>
            <w:tcMar>
              <w:bottom w:w="0" w:type="dxa"/>
            </w:tcMar>
            <w:vAlign w:val="center"/>
          </w:tcPr>
          <w:p>
            <w:pPr>
              <w:pStyle w:val="TableContents"/>
              <w:bidi w:val="0"/>
              <w:spacing w:before="0" w:after="283"/>
              <w:jc w:val="right"/>
              <w:rPr/>
            </w:pPr>
            <w:r>
              <w:rPr/>
              <w:t>325,000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right"/>
              <w:rPr/>
            </w:pPr>
            <w:r>
              <w:rPr/>
              <w:t>650,000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3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Scott W. Anderson</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703"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3731"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600,000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32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Dennis Zeleny</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2703"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3731"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right"/>
              <w:rPr/>
            </w:pPr>
            <w:r>
              <w:rPr/>
              <w:t>600,000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3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George T. Henley</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703"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3731"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600,000</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Anderson, Henley and Zeleny’s long-term equity targets were increased to 120% of salary (from 100% for Messrs. Anderson and Henley and from 80% for Mr. Zeleny) in recognition of significant contributions to the Company.</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account for the volatility of the market at the time of grant and as approved by the Compensation Committee, target values set forth in the table above were converted into the target number of units granted based on the 30-trading-day average closing share price ending on the grant date rather than the closing share price on that date. Grants for all NEOs were made on April 3, 2023 using the 30-trading-day average closing share price of $28.52 rather than the $27.26 closing share price on that date, resulting in a 4% decrease in the number of units granted compared to the number of units that would have resulted using $27.26 as the denominator. However, when combined with the application of the Monte Carlo simulation to the performance-based restricted stock units, as discussed in footnote (2) to the Summary Compensation Table, accounting grant date fair values for the awards were 12.5% higher than the values reflected in the above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Performance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our NEOs received equity-based awards (Special PRSUs) to strengthen their commitment to the Company during a period in which the Company was able to navigate the most disruptive business cycle in over twenty years while recognizing their exceptional performance in servicing our customers and clients, stabilizing the originations platform, keeping our workforce engaged and productive and maintaining GAAP profitability. These awards include total shareholder return metric to reinforce the expectation to create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with the input of its independent consultant, considered a range of variables in determining the structure of these awards, including the retentive and motivational effect of the award and market prevalence of these type of awards. After reviewing these factors, the Committee determined that it was in the best interests of the Company to further incentivize leadership team retention with performance-based stock unit awards vesting twelve months from the grant date based on continued employment and subject to certain conditions through the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PRSUs will vest on the first anniversary of the grant based on TSR compared to the same performance peer group selected for the annual awards, outlined above. If the Company achieves relative TSR at the (i) 25th percentile of its peer group for any measurement period (threshold level), 50% of the target PRSUs are eligible to vest, (ii) 50th percentile of its peer group for any measurement period (target level), 100% of the target PRSUs are eligible to vest, and (iii) 100th percentile, or ranked first overall, of its peer group for any measurement period (maximum level), 150% of the target PRSUs are eligible to vest. The number of target PRSUs that may be eligible to vest based on relative TSR performance during the measurement period is interpolated between the applicable performance levels. 50% of target PRSUs will be earned if TSR is below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outlines the value of these awards to our NEOs, which will be settled in shares.</w:t>
      </w:r>
    </w:p>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28" w:type="dxa"/>
          <w:right w:w="0" w:type="dxa"/>
        </w:tblCellMar>
      </w:tblPr>
      <w:tblGrid>
        <w:gridCol w:w="1850"/>
        <w:gridCol w:w="60"/>
        <w:gridCol w:w="142"/>
        <w:gridCol w:w="1903"/>
        <w:gridCol w:w="75"/>
      </w:tblGrid>
      <w:tr>
        <w:trPr/>
        <w:tc>
          <w:tcPr>
            <w:tcW w:w="1850" w:type="dxa"/>
            <w:tcBorders>
              <w:bottom w:val="single" w:sz="12"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04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 Value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Glen A. Messina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903" w:type="dxa"/>
            <w:tcBorders/>
            <w:shd w:fill="CCEEFF" w:val="clear"/>
            <w:tcMar>
              <w:bottom w:w="0" w:type="dxa"/>
            </w:tcMar>
            <w:vAlign w:val="center"/>
          </w:tcPr>
          <w:p>
            <w:pPr>
              <w:pStyle w:val="TableContents"/>
              <w:bidi w:val="0"/>
              <w:spacing w:before="0" w:after="283"/>
              <w:jc w:val="right"/>
              <w:rPr/>
            </w:pPr>
            <w:r>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Sean B. O’Neil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903" w:type="dxa"/>
            <w:tcBorders/>
            <w:shd w:fill="FFFFFF" w:val="clear"/>
            <w:tcMar>
              <w:bottom w:w="0" w:type="dxa"/>
            </w:tcMar>
            <w:vAlign w:val="center"/>
          </w:tcPr>
          <w:p>
            <w:pPr>
              <w:pStyle w:val="TableContents"/>
              <w:bidi w:val="0"/>
              <w:spacing w:before="0" w:after="283"/>
              <w:jc w:val="right"/>
              <w:rPr/>
            </w:pPr>
            <w:r>
              <w:rPr/>
              <w:t>302,000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Scott W.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903" w:type="dxa"/>
            <w:tcBorders/>
            <w:shd w:fill="CCEEFF" w:val="clear"/>
            <w:tcMar>
              <w:bottom w:w="0" w:type="dxa"/>
            </w:tcMar>
            <w:vAlign w:val="center"/>
          </w:tcPr>
          <w:p>
            <w:pPr>
              <w:pStyle w:val="TableContents"/>
              <w:bidi w:val="0"/>
              <w:spacing w:before="0" w:after="283"/>
              <w:jc w:val="right"/>
              <w:rPr/>
            </w:pPr>
            <w:r>
              <w:rPr/>
              <w:t>320,000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Dennis Zeleny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903" w:type="dxa"/>
            <w:tcBorders/>
            <w:shd w:fill="FFFFFF" w:val="clear"/>
            <w:tcMar>
              <w:bottom w:w="0" w:type="dxa"/>
            </w:tcMar>
            <w:vAlign w:val="center"/>
          </w:tcPr>
          <w:p>
            <w:pPr>
              <w:pStyle w:val="TableContents"/>
              <w:bidi w:val="0"/>
              <w:spacing w:before="0" w:after="283"/>
              <w:jc w:val="right"/>
              <w:rPr/>
            </w:pPr>
            <w:r>
              <w:rPr/>
              <w:t>248,000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George T. Henley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903" w:type="dxa"/>
            <w:tcBorders/>
            <w:shd w:fill="CCEEFF" w:val="clear"/>
            <w:tcMar>
              <w:bottom w:w="0" w:type="dxa"/>
            </w:tcMar>
            <w:vAlign w:val="center"/>
          </w:tcPr>
          <w:p>
            <w:pPr>
              <w:pStyle w:val="TableContents"/>
              <w:bidi w:val="0"/>
              <w:spacing w:before="0" w:after="283"/>
              <w:jc w:val="right"/>
              <w:rPr/>
            </w:pPr>
            <w:r>
              <w:rPr/>
              <w:t>300,000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Results of Long-Term Incentive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annual LTIP program was introduced March 29, 2019, half of all executives’ annual long-term equity targets have been granted as performance-based units based on TSR performance during applicable measurement periods to align with pay-for-performance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we adopted a multi-period relative TSR performance measurement structure used through 2023, in which the final number of PRSUs that are eligible to vest is determined by Ocwen’s TSR rank relative to a performance peer group during each of four weighted performance periods – three annual periods and one three-year period – as described above. Each LTIP grant year uses a different performance peer group, and the performance periods are established based on the grant date and subsequent anniversaries. The Special PRSUs use only a one-year performance period. Following is an outline of performance for awards granted 2020-2023 as of March 31, 2024.</w:t>
      </w:r>
    </w:p>
    <w:p>
      <w:pPr>
        <w:pStyle w:val="TextBody"/>
        <w:bidi w:val="0"/>
        <w:spacing w:before="0" w:after="0"/>
        <w:ind w:left="0" w:right="0" w:hanging="0"/>
        <w:jc w:val="both"/>
        <w:rPr>
          <w:caps w:val="false"/>
          <w:smallCaps w:val="false"/>
        </w:rPr>
      </w:pPr>
      <w:r>
        <w:rPr>
          <w:caps w:val="false"/>
          <w:smallCaps w:val="false"/>
        </w:rPr>
        <w:t> </w:t>
      </w:r>
    </w:p>
    <w:tbl>
      <w:tblPr>
        <w:tblW w:w="7011" w:type="dxa"/>
        <w:jc w:val="left"/>
        <w:tblInd w:w="0" w:type="dxa"/>
        <w:tblLayout w:type="fixed"/>
        <w:tblCellMar>
          <w:top w:w="0" w:type="dxa"/>
          <w:left w:w="0" w:type="dxa"/>
          <w:bottom w:w="28" w:type="dxa"/>
          <w:right w:w="0" w:type="dxa"/>
        </w:tblCellMar>
      </w:tblPr>
      <w:tblGrid>
        <w:gridCol w:w="1985"/>
        <w:gridCol w:w="60"/>
        <w:gridCol w:w="78"/>
        <w:gridCol w:w="631"/>
        <w:gridCol w:w="215"/>
        <w:gridCol w:w="60"/>
        <w:gridCol w:w="78"/>
        <w:gridCol w:w="631"/>
        <w:gridCol w:w="230"/>
        <w:gridCol w:w="60"/>
        <w:gridCol w:w="78"/>
        <w:gridCol w:w="631"/>
        <w:gridCol w:w="215"/>
        <w:gridCol w:w="60"/>
        <w:gridCol w:w="104"/>
        <w:gridCol w:w="845"/>
        <w:gridCol w:w="215"/>
        <w:gridCol w:w="60"/>
        <w:gridCol w:w="60"/>
        <w:gridCol w:w="485"/>
        <w:gridCol w:w="230"/>
      </w:tblGrid>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Performance Period</w:t>
            </w:r>
          </w:p>
        </w:tc>
        <w:tc>
          <w:tcPr>
            <w:tcW w:w="60" w:type="dxa"/>
            <w:tcBorders/>
            <w:tcMar>
              <w:bottom w:w="0" w:type="dxa"/>
            </w:tcMar>
            <w:vAlign w:val="center"/>
          </w:tcPr>
          <w:p>
            <w:pPr>
              <w:pStyle w:val="TableContents"/>
              <w:bidi w:val="0"/>
              <w:spacing w:before="0" w:after="283"/>
              <w:jc w:val="left"/>
              <w:rPr/>
            </w:pPr>
            <w:r>
              <w:rPr/>
              <w:t> </w:t>
            </w:r>
          </w:p>
        </w:tc>
        <w:tc>
          <w:tcPr>
            <w:tcW w:w="709"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9"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2)</w:t>
            </w:r>
          </w:p>
        </w:tc>
        <w:tc>
          <w:tcPr>
            <w:tcW w:w="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9"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1-3)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230" w:type="dxa"/>
            <w:tcBorders/>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11" w:type="dxa"/>
            <w:gridSpan w:val="21"/>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3/30/2020 LTIP PRSU Performance(1)</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Relative TSR Percentile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Achievement Level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Achievement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8.1</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88.3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146.9</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011" w:type="dxa"/>
            <w:gridSpan w:val="21"/>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3/2/2021 LTIP PRSU Performance(2)</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Relative TSR Percentile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Achievement Level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175.2</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Achievement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26.3</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62.8</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109.1</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011" w:type="dxa"/>
            <w:gridSpan w:val="21"/>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3/31/2022 LTIP PRSU Performance(3)</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Relative TSR Percentile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90.9</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50.0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33.8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Achievement Level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100.0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67.6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Achievement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15.0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37.2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79.5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r>
      <w:tr>
        <w:trPr/>
        <w:tc>
          <w:tcPr>
            <w:tcW w:w="7011" w:type="dxa"/>
            <w:gridSpan w:val="21"/>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4/3/2023 LTIP PRSU Performance(4)</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Relative TSR Percentile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6.2</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50.0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50.0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6.2</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Achievement Level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100.0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100.0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Achievement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15.0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15.0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30.0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r>
      <w:tr>
        <w:trPr/>
        <w:tc>
          <w:tcPr>
            <w:tcW w:w="7011" w:type="dxa"/>
            <w:gridSpan w:val="21"/>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7/31/2023 Special PRSU Performance(5)</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Relative TSR Percentile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Achievement Level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50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2020: Final results as of March 30, 2023.</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2021: Final results as of March 2, 2024.</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2022: Results for Periods 1 and 2 are final. For illustrative purposes only, Period 3 is shown at target (50th percentile) and Period 4 reflects interim results.</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2023: For illustrative purposes only, Results for Periods 1 and 4 reflect interim results and Periods 2 and 3 are shown at target (50th percentile).</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2023 Special: Results for one-year performance period are interim.</w:t>
            </w:r>
          </w:p>
        </w:tc>
      </w:tr>
    </w:tbl>
    <w:p>
      <w:pPr>
        <w:pStyle w:val="TextBody"/>
        <w:bidi w:val="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we introduced the Ocwen Executive Non-Qualified Deferred Compensation Plan (NQDC), a voluntary program that allows executives to defer portions of earned salary or AIP to be settled at a future date. The Company does not offer any additional contributions, matching or otherwise, to participating executives; however, they will be credited with earnings or losses on their deferred income at the elected time of distribution based on their elected “deemed”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Ownership and Prohibition against Short Sales, Hedging and Margin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stock ownership requirements for our executives (other than Mr. Messina, who is subject as director to our Corporate Governance Guidelines regarding stock ownership and retention),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 Additionally, effective with equity granted to executives on or after March 31, 2022, shares acquired on vesting pursuant to those awards will be subject to a one-year holding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Insider Trading Prevention Policy that governs the timing of transactions in securities of the Company by directors and executives. In addition, this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and engaging in any other transaction that hedges the economic risk associated with the ownership of the Company’s securities. This policy is designed to encourage investment in the Company’s stock for the long term and to discourage active trading or short-term speculation.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Clawback Policy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an incentive compensation clawback policy on November 10, 2023 that complies with the new SEC rules under the Dodd-Frank Wall Street Reform and Consumer Protection Act and related stock exchange listing rules. The Company’s rights to recoupment under the clawback policy are in addition to any other rights of recoupment under the terms of any equity incentive plan or individual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In connection with the special cash awards granted in 2020, all of our NEOs (other than Mr. Messina and Mr. O’Neil, who were not provided such an award) agreed to (i) certain non-compete covenants during their term of employment and (ii) certain covenants relating to the non-solicitation of employees and non-interference with business relationships until September 10, 2023 (whether or not employed by the Company during such period). From time to time, we enter into separation agreements with executive officers that contain non-competition and non-solicitation provisions. In addition, certain of our equity award agreements contain provisions that provide that post-retirement vesting or exercise of the award, as applicable, is dependent on compliance with certain covenants.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2017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Also under the 2017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Pay-Ratio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2023 was $8,153,781 and the median of the total 2023 compensation of all of our employees (including our India and Philippines operations and excluding our CEO) was $35,528 (after applying a cost-of-living adjustment and converting foreign currency to U.S. dollars, as described below). Accordingly, we estimate the cost-of-living-adjusted ratio of our CEO’s total compensation for 2023 to the median of the total 2023 compensation of all of our employees (excluding our CEO) to be 230 to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only considered our U.S.-based employees (excluding our CEO) in identifying the median employee using the methodology otherwise described above, we determined that our median U.S.-based employee’s total compensation was $76,156. Accordingly, we estimate the resulting ratio of our CEO’s total compensation to the median of the total compensation of all our U.S.-based employees (excluding our CEO) to be 107 to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median employee by taking into account the total compensation paid during 2023 to all individuals, excluding our CEO, who were employed by us or one of our subsidiaries on December 31, 2023. We included all employees, whether employed on a full-time, part-time, or seasonal basis. We did not annualize the compensation for any employees who were not employed by us for all of 2023. We applied a cost of living adjustment to employees employed outside of the United States as described below. Once the median employee was identified as described above, that employee’s total compensation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the compensation of our employees in the Philippines, we applied a currency conversion factor based on the U.S. dollar to Philippines Peso exchange rate as of December 31, 2023. In calculating the compensation of our employees in India, we applied a currency conversion factor based on the U.S. dollar to Indian Rupee exchange rate as of December 31, 2023.</w:t>
      </w:r>
      <w:r>
        <w:rPr>
          <w:rFonts w:ascii="Times New Roman;Times;Serif" w:hAnsi="Times New Roman;Times;Serif"/>
          <w:b w:val="false"/>
          <w:i w:val="false"/>
          <w:caps w:val="false"/>
          <w:smallCaps w:val="false"/>
          <w:position w:val="7"/>
          <w:sz w:val="16"/>
          <w:sz w:val="20"/>
        </w:rPr>
        <w:t xml:space="preserve"> 1 </w:t>
      </w:r>
      <w:r>
        <w:rPr>
          <w:rFonts w:ascii="Times New Roman;Times;Serif" w:hAnsi="Times New Roman;Times;Serif"/>
          <w:b w:val="false"/>
          <w:i w:val="false"/>
          <w:caps w:val="false"/>
          <w:smallCaps w:val="false"/>
          <w:sz w:val="20"/>
        </w:rPr>
        <w:t>As permitted under SEC rules, in identifying the median employee and in presenting the median employee’s total 2023 compensation above, we applied a cost-of-living adjustment to the compensation of employees outside the United States based on a purchasing power parity conversion factor published by The World Bank for 2022.</w:t>
      </w: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$10,987 and we estimate the resulting ratio of our CEO’s total compensation to the median of the total compensation of all of our employees (excluding our CEO) would have been 742 to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 of Directors has reviewed and discussed the Compensation Discussion and Analysis of this proxy statement with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review and discussion, the Compensation Committee recommended to the Board of Directors that the Compensation Discussion and Analysis be included in this proxy statement.</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220"/>
        <w:gridCol w:w="60"/>
        <w:gridCol w:w="2630"/>
      </w:tblGrid>
      <w:tr>
        <w:trPr/>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12, 2024</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Jacques J. Busquet, Chair</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DeForest B. Soaries, Jr., Director</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Stein, Director</w:t>
            </w:r>
          </w:p>
        </w:tc>
      </w:tr>
    </w:tbl>
    <w:p>
      <w:pPr>
        <w:pStyle w:val="TextBody"/>
        <w:bidi w:val="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As reported by the U.S. Bureau of the Fiscal Service Treasury Reporting Rates of Exchange as of December 31, 2023, the Indian Rupee to U.S. Dollar to conversion rate was 83.162:1 and the Philippines Peso to U.S. Dollar to conversion rate was 55.451:1.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“price level ratio of PPP conversion factor (GDP) to market exchange rate” published by the World Bank indicates how many U.S. dollars are needed to buy one U.S. dollar’s worth of goods in a particular country. For 2022, the most recent data accessible, the ratios reported for India and the Philippines were both 0.3, meaning the local currency equivalent of $1 purchased $3.33 worth of goods in those countries. Accordingly, we multiplied the 2023 compensation of each employee based in India and in the Philippines by 3.33 prior to identifying the employee with the median of the total compensation and in presenting such employee’s total compensation in order to reflect a cost-of-living adjustment.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- 2021, 2022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the compensation of our named executive officers for the 2023, 2022 and 2021 fiscal years.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29"/>
        <w:gridCol w:w="60"/>
        <w:gridCol w:w="60"/>
        <w:gridCol w:w="500"/>
        <w:gridCol w:w="60"/>
        <w:gridCol w:w="60"/>
        <w:gridCol w:w="60"/>
        <w:gridCol w:w="980"/>
        <w:gridCol w:w="60"/>
        <w:gridCol w:w="60"/>
        <w:gridCol w:w="60"/>
        <w:gridCol w:w="800"/>
        <w:gridCol w:w="60"/>
        <w:gridCol w:w="60"/>
        <w:gridCol w:w="60"/>
        <w:gridCol w:w="980"/>
        <w:gridCol w:w="60"/>
        <w:gridCol w:w="60"/>
        <w:gridCol w:w="135"/>
        <w:gridCol w:w="591"/>
        <w:gridCol w:w="60"/>
        <w:gridCol w:w="60"/>
        <w:gridCol w:w="75"/>
        <w:gridCol w:w="1250"/>
        <w:gridCol w:w="60"/>
        <w:gridCol w:w="60"/>
        <w:gridCol w:w="90"/>
        <w:gridCol w:w="1216"/>
        <w:gridCol w:w="60"/>
        <w:gridCol w:w="60"/>
        <w:gridCol w:w="60"/>
        <w:gridCol w:w="980"/>
        <w:gridCol w:w="79"/>
      </w:tblGrid>
      <w:tr>
        <w:trPr/>
        <w:tc>
          <w:tcPr>
            <w:tcW w:w="1329" w:type="dxa"/>
            <w:tcBorders>
              <w:bottom w:val="single" w:sz="12"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center"/>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r>
              <w:rPr>
                <w:rFonts w:ascii="Times New Roman;Times;Serif" w:hAnsi="Times New Roman;Times;Serif"/>
                <w:b/>
                <w:i w:val="false"/>
                <w:caps w:val="false"/>
                <w:smallCaps w:val="false"/>
                <w:position w:val="7"/>
                <w:sz w:val="16"/>
                <w:sz w:val="20"/>
              </w:rPr>
              <w:t>(1)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position w:val="7"/>
                <w:sz w:val="16"/>
                <w:sz w:val="20"/>
              </w:rPr>
              <w:t>(2)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26"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position w:val="7"/>
                <w:sz w:val="16"/>
                <w:sz w:val="20"/>
              </w:rPr>
              <w:t>(2)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Incentive Plan Compensation</w:t>
            </w:r>
            <w:r>
              <w:rPr>
                <w:rFonts w:ascii="Times New Roman;Times;Serif" w:hAnsi="Times New Roman;Times;Serif"/>
                <w:b/>
                <w:i w:val="false"/>
                <w:caps w:val="false"/>
                <w:smallCaps w:val="false"/>
                <w:position w:val="7"/>
                <w:sz w:val="16"/>
                <w:sz w:val="20"/>
              </w:rPr>
              <w:t>(3)</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06"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r>
              <w:rPr>
                <w:rFonts w:ascii="Times New Roman;Times;Serif" w:hAnsi="Times New Roman;Times;Serif"/>
                <w:b/>
                <w:i w:val="false"/>
                <w:caps w:val="false"/>
                <w:smallCaps w:val="false"/>
                <w:position w:val="7"/>
                <w:sz w:val="16"/>
                <w:sz w:val="20"/>
              </w:rPr>
              <w:t>(4)</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79" w:type="dxa"/>
            <w:tcBorders/>
            <w:tcMar>
              <w:bottom w:w="0" w:type="dxa"/>
            </w:tcMar>
            <w:vAlign w:val="center"/>
          </w:tcPr>
          <w:p>
            <w:pPr>
              <w:pStyle w:val="TableContents"/>
              <w:bidi w:val="0"/>
              <w:spacing w:before="0" w:after="283"/>
              <w:jc w:val="center"/>
              <w:rPr/>
            </w:pPr>
            <w:r>
              <w:rPr/>
              <w:t> </w:t>
            </w:r>
          </w:p>
        </w:tc>
      </w:tr>
      <w:tr>
        <w:trPr/>
        <w:tc>
          <w:tcPr>
            <w:tcW w:w="1329" w:type="dxa"/>
            <w:tcBorders/>
            <w:shd w:fill="CCEEFF" w:val="clear"/>
            <w:tcMar>
              <w:bottom w:w="0" w:type="dxa"/>
            </w:tcMar>
            <w:vAlign w:val="center"/>
          </w:tcPr>
          <w:p>
            <w:pPr>
              <w:pStyle w:val="TableContents"/>
              <w:bidi w:val="0"/>
              <w:spacing w:before="0" w:after="283"/>
              <w:jc w:val="left"/>
              <w:rPr>
                <w:b/>
              </w:rPr>
            </w:pPr>
            <w:r>
              <w:rPr>
                <w:b/>
              </w:rPr>
              <w:t>Glen A. Messina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5,563,820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1,580,061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9,900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8,153,781</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3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972,308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4,233,065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815,196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9,150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6,029,718</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3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3,914,160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1,804,793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8,700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6,627,653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329"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Sean B. O’Neil Executive Vice President and Chief Financial Officer</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1,088,238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5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569,388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2,457,626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3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285,577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2,010,228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5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278,586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2,699,391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329" w:type="dxa"/>
            <w:tcBorders/>
            <w:shd w:fill="CCEEFF" w:val="clear"/>
            <w:tcMar>
              <w:bottom w:w="0" w:type="dxa"/>
            </w:tcMar>
            <w:vAlign w:val="center"/>
          </w:tcPr>
          <w:p>
            <w:pPr>
              <w:pStyle w:val="TableContents"/>
              <w:bidi w:val="0"/>
              <w:spacing w:before="0" w:after="283"/>
              <w:jc w:val="left"/>
              <w:rPr>
                <w:b/>
              </w:rPr>
            </w:pPr>
            <w:r>
              <w:rPr>
                <w:b/>
              </w:rPr>
              <w:t>Scott W. Anderson Executive Vice President and Chief Servicing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1,053,239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574,750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9,900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2,137,889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3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529,126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294,800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9,150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1,683,076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3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465,974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631,651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1,599,355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329" w:type="dxa"/>
            <w:tcBorders/>
            <w:shd w:fill="FFFFFF" w:val="clear"/>
            <w:tcMar>
              <w:bottom w:w="0" w:type="dxa"/>
            </w:tcMar>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Dennis Zeleny</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Administrative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1,053,239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5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563,750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9,900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2,103,239</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3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493,077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423,288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5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291,246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9,150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1,475,762</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3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470,096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472,159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5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661,296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8,700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1,612,251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329" w:type="dxa"/>
            <w:tcBorders/>
            <w:shd w:fill="CCEEFF" w:val="clear"/>
            <w:tcMar>
              <w:bottom w:w="0" w:type="dxa"/>
            </w:tcMar>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George T. Henley</w:t>
            </w:r>
            <w:r>
              <w:rPr>
                <w:rFonts w:ascii="Times New Roman;Times;Serif" w:hAnsi="Times New Roman;Times;Serif"/>
                <w:b/>
                <w:i w:val="false"/>
                <w:caps w:val="false"/>
                <w:smallCaps w:val="false"/>
                <w:position w:val="7"/>
                <w:sz w:val="16"/>
                <w:sz w:val="20"/>
              </w:rPr>
              <w:t>(5)</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Executive Vice President and Chief Growth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968,127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425,000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790,401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2,683,528</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3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529,126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228,638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9,150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1,266,913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3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423,077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621,285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548,864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1,743,226</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O’Neil assumed the role of Executive Vice President and Chief Financial Officer on June 13, 2022. In 2023, he received the second installment of his signing bonus, which is reported in the “Bonus” column.</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grant date fair value of stock awards computed in accordance with FASB ASC 718. These amounts do not represent the actual amounts paid to or realized by the executive. We based the grant date fair value of stock awards with a service condition on the closing prices of our common stock as reported on the New York Stock Exchange on the date of grant of the awards. The grant date fair value of stock unit awards with both a service condition and a market-based vesting condition is based on the output of a Monte Carlo simulation. Additional detail regarding the calculation of these values is included in Note 22 to our audited financial statements for the fiscal year ended December 31, 2023, which are included in our Annual Report on Form 10-K filed with the Securities and Exchange Commission on February 27, 2024. As to the stock awards granted in 2023 with market-based vesting conditions, the grant date fair value of each of these awards (calculated based on the output of a Monte Carlo simulation, which is the value of these awards included in the Summary Compensation Table above) is presented in the “Grants of Plan-Based Awards for 2023” table below, and the value of these awards assuming that the highest level of performance conditions will be achieved is $8,684,088 for Mr. Messina, $1,687,357 for Mr. O’Neil, $1,630,627 for Mr. Anderson, $1,595,151 for Mr. Zeleny, and $1,502,958 for Mr. Henley.</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annual cash incentive compensation earned in the corresponding year and paid in the first quarter of the following year.</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in this column are set forth in the supplemental “All Other Compensation” table below.</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December 31, 2023, Mr. Henley departed the Company as Executive Vice President and Chief Growth Officer in conjunction with a leadership transition initiated by Ocwen.</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elements of the compensation paid to our named executive officers, see “Compensation Discussion and Analysis”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additional information about the amounts that appear in the “All Other Compensation” column in the Summary Compensation Table.</w:t>
      </w:r>
    </w:p>
    <w:p>
      <w:pPr>
        <w:pStyle w:val="TextBody"/>
        <w:bidi w:val="0"/>
        <w:spacing w:before="0" w:after="0"/>
        <w:ind w:left="0" w:right="0" w:hanging="0"/>
        <w:jc w:val="left"/>
        <w:rPr>
          <w:caps w:val="false"/>
          <w:smallCaps w:val="false"/>
        </w:rPr>
      </w:pPr>
      <w:r>
        <w:rPr>
          <w:caps w:val="false"/>
          <w:smallCaps w:val="false"/>
        </w:rPr>
        <w:t> </w:t>
      </w:r>
    </w:p>
    <w:tbl>
      <w:tblPr>
        <w:tblW w:w="6829" w:type="dxa"/>
        <w:jc w:val="left"/>
        <w:tblInd w:w="0" w:type="dxa"/>
        <w:tblLayout w:type="fixed"/>
        <w:tblCellMar>
          <w:top w:w="0" w:type="dxa"/>
          <w:left w:w="0" w:type="dxa"/>
          <w:bottom w:w="28" w:type="dxa"/>
          <w:right w:w="0" w:type="dxa"/>
        </w:tblCellMar>
      </w:tblPr>
      <w:tblGrid>
        <w:gridCol w:w="1850"/>
        <w:gridCol w:w="60"/>
        <w:gridCol w:w="276"/>
        <w:gridCol w:w="2608"/>
        <w:gridCol w:w="60"/>
        <w:gridCol w:w="60"/>
        <w:gridCol w:w="60"/>
        <w:gridCol w:w="800"/>
        <w:gridCol w:w="60"/>
        <w:gridCol w:w="60"/>
        <w:gridCol w:w="60"/>
        <w:gridCol w:w="800"/>
        <w:gridCol w:w="75"/>
      </w:tblGrid>
      <w:tr>
        <w:trPr/>
        <w:tc>
          <w:tcPr>
            <w:tcW w:w="1850" w:type="dxa"/>
            <w:tcBorders>
              <w:bottom w:val="single" w:sz="12" w:space="0" w:color="000000"/>
            </w:tcBorders>
            <w:vAlign w:val="center"/>
          </w:tcPr>
          <w:p>
            <w:pPr>
              <w:pStyle w:val="TableContents"/>
              <w:bidi w:val="0"/>
              <w:spacing w:before="0" w:after="283"/>
              <w:jc w:val="center"/>
              <w:rPr>
                <w:b/>
              </w:rPr>
            </w:pPr>
            <w:r>
              <w:rPr>
                <w:b/>
              </w:rPr>
              <w:t>Executive Officer</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401(k) Matching Contributions</w:t>
            </w:r>
            <w:r>
              <w:rPr>
                <w:rFonts w:ascii="Times New Roman;Times;Serif" w:hAnsi="Times New Roman;Times;Serif"/>
                <w:b/>
                <w:i w:val="false"/>
                <w:caps w:val="false"/>
                <w:smallCaps w:val="false"/>
                <w:position w:val="7"/>
                <w:sz w:val="16"/>
                <w:sz w:val="20"/>
              </w:rPr>
              <w:t xml:space="preserve">(1)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r>
              <w:rPr>
                <w:rFonts w:ascii="Times New Roman;Times;Serif" w:hAnsi="Times New Roman;Times;Serif"/>
                <w:b/>
                <w:i w:val="false"/>
                <w:caps w:val="false"/>
                <w:smallCaps w:val="false"/>
                <w:position w:val="7"/>
                <w:sz w:val="16"/>
                <w:sz w:val="20"/>
              </w:rPr>
              <w:t>(2)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Glen A. Messina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2608" w:type="dxa"/>
            <w:tcBorders/>
            <w:shd w:fill="CCEEFF" w:val="clear"/>
            <w:tcMar>
              <w:bottom w:w="0" w:type="dxa"/>
            </w:tcMar>
            <w:vAlign w:val="center"/>
          </w:tcPr>
          <w:p>
            <w:pPr>
              <w:pStyle w:val="TableContents"/>
              <w:bidi w:val="0"/>
              <w:spacing w:before="0" w:after="283"/>
              <w:jc w:val="right"/>
              <w:rPr/>
            </w:pPr>
            <w:r>
              <w:rPr/>
              <w:t>9,900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9,900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Sean B. O’Neil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26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Scott W.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2608" w:type="dxa"/>
            <w:tcBorders/>
            <w:shd w:fill="CCEEFF" w:val="clear"/>
            <w:tcMar>
              <w:bottom w:w="0" w:type="dxa"/>
            </w:tcMar>
            <w:vAlign w:val="center"/>
          </w:tcPr>
          <w:p>
            <w:pPr>
              <w:pStyle w:val="TableContents"/>
              <w:bidi w:val="0"/>
              <w:spacing w:before="0" w:after="283"/>
              <w:jc w:val="right"/>
              <w:rPr/>
            </w:pPr>
            <w:r>
              <w:rPr/>
              <w:t>9,900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9,900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Dennis Zeleny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2608" w:type="dxa"/>
            <w:tcBorders/>
            <w:shd w:fill="FFFFFF" w:val="clear"/>
            <w:tcMar>
              <w:bottom w:w="0" w:type="dxa"/>
            </w:tcMar>
            <w:vAlign w:val="center"/>
          </w:tcPr>
          <w:p>
            <w:pPr>
              <w:pStyle w:val="TableContents"/>
              <w:bidi w:val="0"/>
              <w:spacing w:before="0" w:after="283"/>
              <w:jc w:val="right"/>
              <w:rPr/>
            </w:pPr>
            <w:r>
              <w:rPr/>
              <w:t>9,900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9,900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George T. Henley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2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790,401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790,401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employer matching contributions made under the Ocwen Financial Corporation 401(k) Savings Plan.</w:t>
            </w:r>
          </w:p>
        </w:tc>
      </w:tr>
      <w:tr>
        <w:trPr/>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100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0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Other” reflects the values of payments made to Mr. Henley in exchange for the general release of claims upon his departure from the Company and from his role as Executive Vice President and Chief Growth Officer effective December 31, 2023, in conjunction with a leadership transition initiated by Ocwen as outlined below, inclusive of (i) $750,000 pursuant to benefits entitled to him under the Company’s United States Basic Severance Plan, and (ii) $40,401 payout of accrued paid time off balances.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of Plan-Based Awards for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related to awards granted in 2023 under our 2021 Equity Incentive Plan and our 1998 Annual Incentive Plan, as amended.</w:t>
      </w:r>
    </w:p>
    <w:p>
      <w:pPr>
        <w:pStyle w:val="TextBody"/>
        <w:bidi w:val="0"/>
        <w:spacing w:before="0" w:after="0"/>
        <w:ind w:left="0" w:right="0" w:hanging="0"/>
        <w:jc w:val="both"/>
        <w:rPr>
          <w:caps w:val="false"/>
          <w:smallCaps w:val="false"/>
        </w:rPr>
      </w:pPr>
      <w:r>
        <w:rPr>
          <w:caps w:val="false"/>
          <w:smallCaps w:val="false"/>
        </w:rPr>
        <w:t> </w:t>
      </w:r>
    </w:p>
    <w:tbl>
      <w:tblPr>
        <w:tblW w:w="11300" w:type="dxa"/>
        <w:jc w:val="left"/>
        <w:tblInd w:w="0" w:type="dxa"/>
        <w:tblLayout w:type="fixed"/>
        <w:tblCellMar>
          <w:top w:w="0" w:type="dxa"/>
          <w:left w:w="0" w:type="dxa"/>
          <w:bottom w:w="0" w:type="dxa"/>
          <w:right w:w="0" w:type="dxa"/>
        </w:tblCellMar>
      </w:tblPr>
      <w:tblGrid>
        <w:gridCol w:w="815"/>
        <w:gridCol w:w="60"/>
        <w:gridCol w:w="60"/>
        <w:gridCol w:w="470"/>
        <w:gridCol w:w="170"/>
        <w:gridCol w:w="60"/>
        <w:gridCol w:w="130"/>
        <w:gridCol w:w="760"/>
        <w:gridCol w:w="60"/>
        <w:gridCol w:w="60"/>
        <w:gridCol w:w="60"/>
        <w:gridCol w:w="845"/>
        <w:gridCol w:w="60"/>
        <w:gridCol w:w="60"/>
        <w:gridCol w:w="60"/>
        <w:gridCol w:w="845"/>
        <w:gridCol w:w="60"/>
        <w:gridCol w:w="60"/>
        <w:gridCol w:w="139"/>
        <w:gridCol w:w="751"/>
        <w:gridCol w:w="60"/>
        <w:gridCol w:w="60"/>
        <w:gridCol w:w="60"/>
        <w:gridCol w:w="590"/>
        <w:gridCol w:w="60"/>
        <w:gridCol w:w="60"/>
        <w:gridCol w:w="139"/>
        <w:gridCol w:w="766"/>
        <w:gridCol w:w="60"/>
        <w:gridCol w:w="60"/>
        <w:gridCol w:w="66"/>
        <w:gridCol w:w="659"/>
        <w:gridCol w:w="60"/>
        <w:gridCol w:w="60"/>
        <w:gridCol w:w="183"/>
        <w:gridCol w:w="797"/>
        <w:gridCol w:w="60"/>
        <w:gridCol w:w="60"/>
        <w:gridCol w:w="141"/>
        <w:gridCol w:w="614"/>
        <w:gridCol w:w="60"/>
        <w:gridCol w:w="60"/>
        <w:gridCol w:w="60"/>
        <w:gridCol w:w="845"/>
        <w:gridCol w:w="75"/>
      </w:tblGrid>
      <w:tr>
        <w:trPr/>
        <w:tc>
          <w:tcPr>
            <w:tcW w:w="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29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 Possible Payouts Under Non-Equity Incentive Plan Awards</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 Future Payouts Under Equity Incentive Plan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All Other Stock Awards: Number of Shares of Stock or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All Other Option Awards: Number of Securities Underlying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Exercise or Base Price of Option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Grant Date Fair Value of Stock and Option </w:t>
            </w:r>
          </w:p>
        </w:tc>
        <w:tc>
          <w:tcPr>
            <w:tcW w:w="75" w:type="dxa"/>
            <w:tcBorders/>
            <w:vAlign w:val="center"/>
          </w:tcPr>
          <w:p>
            <w:pPr>
              <w:pStyle w:val="TableContents"/>
              <w:bidi w:val="0"/>
              <w:spacing w:before="0" w:after="283"/>
              <w:jc w:val="center"/>
              <w:rPr/>
            </w:pPr>
            <w:r>
              <w:rPr/>
              <w:t> </w:t>
            </w:r>
          </w:p>
        </w:tc>
      </w:tr>
      <w:tr>
        <w:trPr/>
        <w:tc>
          <w:tcPr>
            <w:tcW w:w="81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shd w:fill="FFFFFF" w:val="clear"/>
            <w:vAlign w:val="center"/>
          </w:tcPr>
          <w:p>
            <w:pPr>
              <w:pStyle w:val="TableContents"/>
              <w:bidi w:val="0"/>
              <w:spacing w:before="0" w:after="283"/>
              <w:jc w:val="center"/>
              <w:rPr/>
            </w:pPr>
            <w:r>
              <w:rPr/>
              <w:t> </w:t>
            </w:r>
          </w:p>
        </w:tc>
        <w:tc>
          <w:tcPr>
            <w:tcW w:w="53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Grant Date</w:t>
            </w:r>
          </w:p>
        </w:tc>
        <w:tc>
          <w:tcPr>
            <w:tcW w:w="170" w:type="dxa"/>
            <w:tcBorders/>
            <w:shd w:fill="FFFFFF" w:val="clear"/>
            <w:vAlign w:val="center"/>
          </w:tcPr>
          <w:p>
            <w:pPr>
              <w:pStyle w:val="TableContents"/>
              <w:bidi w:val="0"/>
              <w:spacing w:before="0" w:after="283"/>
              <w:jc w:val="center"/>
              <w:rPr>
                <w:position w:val="8"/>
                <w:sz w:val="19"/>
              </w:rPr>
            </w:pPr>
            <w:r>
              <w:rPr>
                <w:position w:val="8"/>
                <w:sz w:val="19"/>
              </w:rPr>
              <w:t> </w:t>
            </w:r>
          </w:p>
        </w:tc>
        <w:tc>
          <w:tcPr>
            <w:tcW w:w="60" w:type="dxa"/>
            <w:tcBorders/>
            <w:shd w:fill="FFFFFF" w:val="clear"/>
            <w:vAlign w:val="center"/>
          </w:tcPr>
          <w:p>
            <w:pPr>
              <w:pStyle w:val="TableContents"/>
              <w:bidi w:val="0"/>
              <w:spacing w:before="0" w:after="283"/>
              <w:jc w:val="center"/>
              <w:rPr/>
            </w:pPr>
            <w:r>
              <w:rPr/>
              <w:t> </w:t>
            </w:r>
          </w:p>
        </w:tc>
        <w:tc>
          <w:tcPr>
            <w:tcW w:w="890" w:type="dxa"/>
            <w:gridSpan w:val="2"/>
            <w:tcBorders>
              <w:bottom w:val="single" w:sz="12"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Threshold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05" w:type="dxa"/>
            <w:gridSpan w:val="2"/>
            <w:tcBorders>
              <w:bottom w:val="single" w:sz="12"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05" w:type="dxa"/>
            <w:gridSpan w:val="2"/>
            <w:tcBorders>
              <w:bottom w:val="single" w:sz="12"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90" w:type="dxa"/>
            <w:gridSpan w:val="2"/>
            <w:tcBorders>
              <w:bottom w:val="single" w:sz="12" w:space="0" w:color="000000"/>
            </w:tcBorders>
            <w:shd w:fill="FFFFFF" w:val="clear"/>
            <w:tcMar>
              <w:bottom w:w="28" w:type="dxa"/>
            </w:tcMar>
            <w:vAlign w:val="center"/>
          </w:tcPr>
          <w:p>
            <w:pPr>
              <w:pStyle w:val="TableContents"/>
              <w:bidi w:val="0"/>
              <w:jc w:val="right"/>
              <w:rPr>
                <w:caps w:val="false"/>
                <w:smallCaps w:val="false"/>
              </w:rPr>
            </w:pPr>
            <w:r>
              <w:rPr>
                <w:caps w:val="false"/>
                <w:smallCaps w:val="false"/>
              </w:rPr>
              <w:t> </w:t>
            </w:r>
          </w:p>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Threshold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gridSpan w:val="2"/>
            <w:tcBorders>
              <w:bottom w:val="single" w:sz="12" w:space="0" w:color="000000"/>
            </w:tcBorders>
            <w:shd w:fill="FFFFFF" w:val="clear"/>
            <w:tcMar>
              <w:bottom w:w="28" w:type="dxa"/>
            </w:tcMar>
            <w:vAlign w:val="center"/>
          </w:tcPr>
          <w:p>
            <w:pPr>
              <w:pStyle w:val="TableContents"/>
              <w:bidi w:val="0"/>
              <w:jc w:val="right"/>
              <w:rPr>
                <w:caps w:val="false"/>
                <w:smallCaps w:val="false"/>
              </w:rPr>
            </w:pPr>
            <w:r>
              <w:rPr>
                <w:caps w:val="false"/>
                <w:smallCaps w:val="false"/>
              </w:rPr>
              <w:t> </w:t>
            </w:r>
          </w:p>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05" w:type="dxa"/>
            <w:gridSpan w:val="2"/>
            <w:tcBorders>
              <w:bottom w:val="single" w:sz="12" w:space="0" w:color="000000"/>
            </w:tcBorders>
            <w:shd w:fill="FFFFFF" w:val="clear"/>
            <w:tcMar>
              <w:bottom w:w="28" w:type="dxa"/>
            </w:tcMar>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25" w:type="dxa"/>
            <w:gridSpan w:val="2"/>
            <w:tcBorders>
              <w:bottom w:val="single" w:sz="12"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gridSpan w:val="2"/>
            <w:tcBorders>
              <w:bottom w:val="single" w:sz="12"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55" w:type="dxa"/>
            <w:gridSpan w:val="2"/>
            <w:tcBorders>
              <w:bottom w:val="single" w:sz="12"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05" w:type="dxa"/>
            <w:gridSpan w:val="2"/>
            <w:tcBorders>
              <w:bottom w:val="single" w:sz="12"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Awards </w:t>
            </w:r>
            <w:r>
              <w:rPr>
                <w:rFonts w:ascii="Times New Roman;Times;Serif" w:hAnsi="Times New Roman;Times;Serif"/>
                <w:b/>
                <w:i w:val="false"/>
                <w:caps w:val="false"/>
                <w:smallCaps w:val="false"/>
                <w:position w:val="7"/>
                <w:sz w:val="16"/>
                <w:sz w:val="20"/>
              </w:rPr>
              <w:t>(2)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shd w:fill="FFFFFF" w:val="clear"/>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3/31/2023</w:t>
            </w:r>
          </w:p>
        </w:tc>
        <w:tc>
          <w:tcPr>
            <w:tcW w:w="17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righ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righ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righ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2,588,351</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Glen A. Messina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1,911,635</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1,063,835</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3/31/2023</w:t>
            </w:r>
          </w:p>
        </w:tc>
        <w:tc>
          <w:tcPr>
            <w:tcW w:w="17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right"/>
              <w:rPr/>
            </w:pPr>
            <w:r>
              <w:rPr/>
              <w:t> </w:t>
            </w:r>
          </w:p>
        </w:tc>
        <w:tc>
          <w:tcPr>
            <w:tcW w:w="6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Sean B. O’Neil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420,626</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310,628</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7/31/2023</w:t>
            </w:r>
          </w:p>
        </w:tc>
        <w:tc>
          <w:tcPr>
            <w:tcW w:w="17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356,984</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3/31/2023</w:t>
            </w:r>
          </w:p>
        </w:tc>
        <w:tc>
          <w:tcPr>
            <w:tcW w:w="17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84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388,256</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 xml:space="preserve">Scott W. Anderson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286,721</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378,262</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3/31/2023</w:t>
            </w:r>
          </w:p>
        </w:tc>
        <w:tc>
          <w:tcPr>
            <w:tcW w:w="17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388,256</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Dennis Zeleny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286,721</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7/31/2023</w:t>
            </w:r>
          </w:p>
        </w:tc>
        <w:tc>
          <w:tcPr>
            <w:tcW w:w="17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354,612</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3/31/2023</w:t>
            </w:r>
          </w:p>
        </w:tc>
        <w:tc>
          <w:tcPr>
            <w:tcW w:w="17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righ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righ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righ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388,256</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George T. Henley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286,721</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7/31/2023</w:t>
            </w:r>
          </w:p>
        </w:tc>
        <w:tc>
          <w:tcPr>
            <w:tcW w:w="17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righ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293,150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the potential non-equity compensation that would have been earned by each respective executive officer for 2023 service under the different achievement levels under their 2023 annual incentive opportunity, which are more fully discussed in “Compensation Discussion and Analysis,” pursuant to our 1998 Annual Incentive Plan. Under our current compensation structure, all non-equity incentive compensation is paid to the executive officer within the first four months of the year following the year in which service was rendered. The actual amount of non-equity incentive compensation that was paid to our named executive officers for 2023 service is set forth in the “Non-Equity Incentive Plan Compensation” column of the “Summary Compensation Table” above.</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footnote (2) under “Summary Compensation Table” above for detail regarding the methodology used to calculate Grant Date Fair Value.</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PRSU awards are earned based on the Company’s TSR relative to its peer group during multiple performance periods spanning April 3, 2023 through April 3, 2026, and vest at the third anniversary of the grant date. Awards will be settled in equity, if earned. Refer to “Compensation Discussion and Analysis - 2023 Long-Term Incentive (LTIP) Awards” for additional details.</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awards granted on April 3, 2023, vest in three equal installments on the first, second and third anniversary dates of the grant, subject to continued employment. Awards are settled in equity, but they do not have any rights of a shareholder with respect to any of the shares subject to the award until such units are vested.</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PRSU awards are earned based on the Company’s Total Shareholder Return relative to its peer group during the performance period spanning July 31, 2023 through July 31, 2024, and vesting on the anniversary of the grant date. Awards will be settled in equity, if earned. Refer to “Compensation Discussion and Analysis - 2023 Long-Term Incentive Program” for additional details.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equity awards at December 31, 2023 for Ocwen’s named executive officers.</w:t>
      </w:r>
    </w:p>
    <w:p>
      <w:pPr>
        <w:pStyle w:val="TextBody"/>
        <w:bidi w:val="0"/>
        <w:spacing w:before="0" w:after="0"/>
        <w:ind w:left="0" w:right="0" w:hanging="0"/>
        <w:jc w:val="left"/>
        <w:rPr>
          <w:caps w:val="false"/>
          <w:smallCaps w:val="false"/>
        </w:rPr>
      </w:pPr>
      <w:r>
        <w:rPr>
          <w:caps w:val="false"/>
          <w:smallCaps w:val="false"/>
        </w:rPr>
        <w:t> </w:t>
      </w:r>
    </w:p>
    <w:tbl>
      <w:tblPr>
        <w:tblW w:w="11315" w:type="dxa"/>
        <w:jc w:val="left"/>
        <w:tblInd w:w="0" w:type="dxa"/>
        <w:tblLayout w:type="fixed"/>
        <w:tblCellMar>
          <w:top w:w="0" w:type="dxa"/>
          <w:left w:w="0" w:type="dxa"/>
          <w:bottom w:w="0" w:type="dxa"/>
          <w:right w:w="0" w:type="dxa"/>
        </w:tblCellMar>
      </w:tblPr>
      <w:tblGrid>
        <w:gridCol w:w="815"/>
        <w:gridCol w:w="60"/>
        <w:gridCol w:w="85"/>
        <w:gridCol w:w="970"/>
        <w:gridCol w:w="60"/>
        <w:gridCol w:w="60"/>
        <w:gridCol w:w="472"/>
        <w:gridCol w:w="748"/>
        <w:gridCol w:w="60"/>
        <w:gridCol w:w="60"/>
        <w:gridCol w:w="153"/>
        <w:gridCol w:w="902"/>
        <w:gridCol w:w="290"/>
        <w:gridCol w:w="60"/>
        <w:gridCol w:w="61"/>
        <w:gridCol w:w="694"/>
        <w:gridCol w:w="60"/>
        <w:gridCol w:w="60"/>
        <w:gridCol w:w="114"/>
        <w:gridCol w:w="836"/>
        <w:gridCol w:w="60"/>
        <w:gridCol w:w="60"/>
        <w:gridCol w:w="60"/>
        <w:gridCol w:w="680"/>
        <w:gridCol w:w="290"/>
        <w:gridCol w:w="60"/>
        <w:gridCol w:w="60"/>
        <w:gridCol w:w="980"/>
        <w:gridCol w:w="60"/>
        <w:gridCol w:w="60"/>
        <w:gridCol w:w="60"/>
        <w:gridCol w:w="800"/>
        <w:gridCol w:w="290"/>
        <w:gridCol w:w="60"/>
        <w:gridCol w:w="60"/>
        <w:gridCol w:w="980"/>
        <w:gridCol w:w="75"/>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4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815" w:type="dxa"/>
            <w:tcBorders>
              <w:bottom w:val="single" w:sz="12" w:space="0" w:color="000000"/>
            </w:tcBorders>
            <w:tcMar>
              <w:bottom w:w="28" w:type="dxa"/>
            </w:tcMar>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Underlying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 Unearned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290"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jc w:val="center"/>
              <w:rPr>
                <w:caps w:val="false"/>
                <w:smallCaps w:val="false"/>
              </w:rPr>
            </w:pPr>
            <w:r>
              <w:rPr>
                <w:caps w:val="false"/>
                <w:smallCaps w:val="false"/>
              </w:rPr>
              <w:t> </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290"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or Units of Stock That Have Not Vested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Number of Unearned Shares, Units or Other Rights That Have Not Vested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(4)</w:t>
            </w:r>
          </w:p>
        </w:tc>
        <w:tc>
          <w:tcPr>
            <w:tcW w:w="290"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or Payout Value of Unearned Shares, Units or Other Rights That Have Not Vested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75" w:type="dxa"/>
            <w:tcBorders/>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970" w:type="dxa"/>
            <w:tcBorders/>
            <w:shd w:fill="CCEEFF" w:val="clear"/>
            <w:vAlign w:val="center"/>
          </w:tcPr>
          <w:p>
            <w:pPr>
              <w:pStyle w:val="TableContents"/>
              <w:bidi w:val="0"/>
              <w:spacing w:before="0" w:after="283"/>
              <w:jc w:val="right"/>
              <w:rPr/>
            </w:pPr>
            <w:r>
              <w:rPr/>
              <w:t>17,799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94" w:type="dxa"/>
            <w:tcBorders/>
            <w:shd w:fill="CCEEFF" w:val="clear"/>
            <w:vAlign w:val="center"/>
          </w:tcPr>
          <w:p>
            <w:pPr>
              <w:pStyle w:val="TableContents"/>
              <w:bidi w:val="0"/>
              <w:spacing w:before="0" w:after="283"/>
              <w:jc w:val="right"/>
              <w:rPr/>
            </w:pPr>
            <w:r>
              <w:rPr/>
              <w:t>61.80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8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19,196</w:t>
            </w:r>
          </w:p>
        </w:tc>
        <w:tc>
          <w:tcPr>
            <w:tcW w:w="290"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590,469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49,020</w:t>
            </w:r>
          </w:p>
        </w:tc>
        <w:tc>
          <w:tcPr>
            <w:tcW w:w="290" w:type="dxa"/>
            <w:tcBorders/>
            <w:shd w:fill="CCEEFF" w:val="clear"/>
            <w:vAlign w:val="center"/>
          </w:tcPr>
          <w:p>
            <w:pPr>
              <w:pStyle w:val="TableContents"/>
              <w:bidi w:val="0"/>
              <w:spacing w:before="0" w:after="283"/>
              <w:jc w:val="left"/>
              <w:rPr>
                <w:position w:val="8"/>
                <w:sz w:val="19"/>
              </w:rPr>
            </w:pP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1,507,855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center"/>
              <w:rPr>
                <w:sz w:val="20"/>
              </w:rPr>
            </w:pPr>
            <w:r>
              <w:rPr>
                <w:sz w:val="20"/>
              </w:rPr>
              <w:t xml:space="preserve">Glen A. Messina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70,126</w:t>
            </w:r>
          </w:p>
        </w:tc>
        <w:tc>
          <w:tcPr>
            <w:tcW w:w="290"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2,157,076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115,174</w:t>
            </w:r>
          </w:p>
        </w:tc>
        <w:tc>
          <w:tcPr>
            <w:tcW w:w="290" w:type="dxa"/>
            <w:tcBorders/>
            <w:shd w:fill="CCEEFF" w:val="cle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3,542,752</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73,529</w:t>
            </w:r>
          </w:p>
        </w:tc>
        <w:tc>
          <w:tcPr>
            <w:tcW w:w="290" w:type="dxa"/>
            <w:tcBorders/>
            <w:shd w:fill="CCEEFF" w:val="clear"/>
            <w:vAlign w:val="center"/>
          </w:tcPr>
          <w:p>
            <w:pPr>
              <w:pStyle w:val="TableContents"/>
              <w:bidi w:val="0"/>
              <w:spacing w:before="0" w:after="283"/>
              <w:jc w:val="left"/>
              <w:rPr>
                <w:position w:val="8"/>
                <w:sz w:val="19"/>
              </w:rPr>
            </w:pP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2,261,752</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35,063</w:t>
            </w:r>
          </w:p>
        </w:tc>
        <w:tc>
          <w:tcPr>
            <w:tcW w:w="290" w:type="dxa"/>
            <w:tcBorders/>
            <w:shd w:fill="CCEEFF" w:val="clear"/>
            <w:vAlign w:val="center"/>
          </w:tcPr>
          <w:p>
            <w:pPr>
              <w:pStyle w:val="TableContents"/>
              <w:bidi w:val="0"/>
              <w:spacing w:before="0" w:after="283"/>
              <w:jc w:val="left"/>
              <w:rPr>
                <w:position w:val="8"/>
                <w:sz w:val="19"/>
              </w:rPr>
            </w:pP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1,078,538</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14,349</w:t>
            </w:r>
          </w:p>
        </w:tc>
        <w:tc>
          <w:tcPr>
            <w:tcW w:w="290" w:type="dxa"/>
            <w:tcBorders/>
            <w:shd w:fill="CCEEFF" w:val="clear"/>
            <w:vAlign w:val="center"/>
          </w:tcPr>
          <w:p>
            <w:pPr>
              <w:pStyle w:val="TableContents"/>
              <w:bidi w:val="0"/>
              <w:spacing w:before="0" w:after="283"/>
              <w:jc w:val="left"/>
              <w:rPr>
                <w:position w:val="8"/>
                <w:sz w:val="19"/>
              </w:rPr>
            </w:pP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441,375</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8,730</w:t>
            </w:r>
          </w:p>
        </w:tc>
        <w:tc>
          <w:tcPr>
            <w:tcW w:w="290" w:type="dxa"/>
            <w:tcBorders/>
            <w:shd w:fill="FFFFFF" w:val="clear"/>
            <w:vAlign w:val="center"/>
          </w:tcPr>
          <w:p>
            <w:pPr>
              <w:pStyle w:val="TableContents"/>
              <w:bidi w:val="0"/>
              <w:spacing w:before="0" w:after="283"/>
              <w:jc w:val="left"/>
              <w:rPr>
                <w:position w:val="8"/>
                <w:sz w:val="19"/>
              </w:rPr>
            </w:pP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268,535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11,395</w:t>
            </w:r>
          </w:p>
        </w:tc>
        <w:tc>
          <w:tcPr>
            <w:tcW w:w="290" w:type="dxa"/>
            <w:tcBorders/>
            <w:shd w:fill="FFFFFF" w:val="clear"/>
            <w:vAlign w:val="center"/>
          </w:tcPr>
          <w:p>
            <w:pPr>
              <w:pStyle w:val="TableContents"/>
              <w:bidi w:val="0"/>
              <w:spacing w:before="0" w:after="283"/>
              <w:jc w:val="left"/>
              <w:rPr>
                <w:position w:val="8"/>
                <w:sz w:val="19"/>
              </w:rPr>
            </w:pPr>
            <w:r>
              <w:rPr>
                <w:position w:val="8"/>
                <w:sz w:val="19"/>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350,510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38,660</w:t>
            </w:r>
          </w:p>
        </w:tc>
        <w:tc>
          <w:tcPr>
            <w:tcW w:w="290" w:type="dxa"/>
            <w:tcBorders/>
            <w:shd w:fill="FFFFFF" w:val="clear"/>
            <w:vAlign w:val="center"/>
          </w:tcPr>
          <w:p>
            <w:pPr>
              <w:pStyle w:val="TableContents"/>
              <w:bidi w:val="0"/>
              <w:spacing w:before="0" w:after="283"/>
              <w:jc w:val="left"/>
              <w:rPr>
                <w:position w:val="8"/>
                <w:sz w:val="19"/>
              </w:rPr>
            </w:pPr>
            <w:r>
              <w:rPr>
                <w:position w:val="8"/>
                <w:sz w:val="19"/>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1,189,182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sz w:val="20"/>
              </w:rPr>
            </w:pPr>
            <w:r>
              <w:rPr>
                <w:sz w:val="20"/>
              </w:rPr>
              <w:t>Sean B. O’Neil</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13,094</w:t>
            </w:r>
          </w:p>
        </w:tc>
        <w:tc>
          <w:tcPr>
            <w:tcW w:w="290" w:type="dxa"/>
            <w:tcBorders/>
            <w:shd w:fill="FFFFFF" w:val="clear"/>
            <w:vAlign w:val="center"/>
          </w:tcPr>
          <w:p>
            <w:pPr>
              <w:pStyle w:val="TableContents"/>
              <w:bidi w:val="0"/>
              <w:spacing w:before="0" w:after="283"/>
              <w:jc w:val="left"/>
              <w:rPr>
                <w:position w:val="8"/>
                <w:sz w:val="19"/>
              </w:rPr>
            </w:pPr>
            <w:r>
              <w:rPr>
                <w:position w:val="8"/>
                <w:sz w:val="19"/>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402,771</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5,698</w:t>
            </w:r>
          </w:p>
        </w:tc>
        <w:tc>
          <w:tcPr>
            <w:tcW w:w="290" w:type="dxa"/>
            <w:tcBorders/>
            <w:shd w:fill="FFFFFF" w:val="clear"/>
            <w:vAlign w:val="center"/>
          </w:tcPr>
          <w:p>
            <w:pPr>
              <w:pStyle w:val="TableContents"/>
              <w:bidi w:val="0"/>
              <w:spacing w:before="0" w:after="283"/>
              <w:jc w:val="left"/>
              <w:rPr>
                <w:position w:val="8"/>
                <w:sz w:val="19"/>
              </w:rPr>
            </w:pPr>
            <w:r>
              <w:rPr>
                <w:position w:val="8"/>
                <w:sz w:val="19"/>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175,270</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4,815</w:t>
            </w:r>
          </w:p>
        </w:tc>
        <w:tc>
          <w:tcPr>
            <w:tcW w:w="290" w:type="dxa"/>
            <w:tcBorders/>
            <w:shd w:fill="FFFFFF" w:val="clear"/>
            <w:vAlign w:val="center"/>
          </w:tcPr>
          <w:p>
            <w:pPr>
              <w:pStyle w:val="TableContents"/>
              <w:bidi w:val="0"/>
              <w:spacing w:before="0" w:after="283"/>
              <w:jc w:val="left"/>
              <w:rPr>
                <w:position w:val="8"/>
                <w:sz w:val="19"/>
              </w:rPr>
            </w:pPr>
            <w:r>
              <w:rPr>
                <w:position w:val="8"/>
                <w:sz w:val="19"/>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148,109</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97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right"/>
              <w:rPr/>
            </w:pPr>
            <w:r>
              <w:rPr/>
              <w:t>-</w:t>
            </w:r>
          </w:p>
        </w:tc>
        <w:tc>
          <w:tcPr>
            <w:tcW w:w="902"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94" w:type="dxa"/>
            <w:tcBorders/>
            <w:shd w:fill="CCEEFF" w:val="clear"/>
            <w:vAlign w:val="center"/>
          </w:tcPr>
          <w:p>
            <w:pPr>
              <w:pStyle w:val="TableContents"/>
              <w:bidi w:val="0"/>
              <w:spacing w:before="0" w:after="283"/>
              <w:jc w:val="right"/>
              <w:rPr/>
            </w:pPr>
            <w:r>
              <w:rPr/>
              <w:t>501.75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3,000</w:t>
            </w:r>
          </w:p>
        </w:tc>
        <w:tc>
          <w:tcPr>
            <w:tcW w:w="290" w:type="dxa"/>
            <w:tcBorders/>
            <w:shd w:fill="CCEEFF" w:val="clear"/>
            <w:vAlign w:val="center"/>
          </w:tcPr>
          <w:p>
            <w:pPr>
              <w:pStyle w:val="TableContents"/>
              <w:bidi w:val="0"/>
              <w:spacing w:before="0" w:after="283"/>
              <w:jc w:val="left"/>
              <w:rPr>
                <w:position w:val="8"/>
                <w:sz w:val="19"/>
              </w:rPr>
            </w:pPr>
            <w:r>
              <w:rPr>
                <w:position w:val="8"/>
                <w:sz w:val="19"/>
              </w:rPr>
              <w:t>(13)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501.75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1,500</w:t>
            </w:r>
          </w:p>
        </w:tc>
        <w:tc>
          <w:tcPr>
            <w:tcW w:w="290" w:type="dxa"/>
            <w:tcBorders/>
            <w:shd w:fill="CCEEFF" w:val="clear"/>
            <w:vAlign w:val="center"/>
          </w:tcPr>
          <w:p>
            <w:pPr>
              <w:pStyle w:val="TableContents"/>
              <w:bidi w:val="0"/>
              <w:spacing w:before="0" w:after="283"/>
              <w:jc w:val="left"/>
              <w:rPr>
                <w:position w:val="8"/>
                <w:sz w:val="19"/>
              </w:rPr>
            </w:pPr>
            <w:r>
              <w:rPr>
                <w:position w:val="8"/>
                <w:sz w:val="19"/>
              </w:rPr>
              <w:t>(14)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501.75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152.10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sz w:val="20"/>
              </w:rPr>
            </w:pPr>
            <w:r>
              <w:rPr>
                <w:sz w:val="20"/>
              </w:rPr>
              <w:t xml:space="preserve">Scott W. Anderson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2,285</w:t>
            </w:r>
          </w:p>
        </w:tc>
        <w:tc>
          <w:tcPr>
            <w:tcW w:w="290"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6,128</w:t>
            </w:r>
          </w:p>
        </w:tc>
        <w:tc>
          <w:tcPr>
            <w:tcW w:w="290" w:type="dxa"/>
            <w:tcBorders/>
            <w:shd w:fill="CCEEFF" w:val="clear"/>
            <w:vAlign w:val="center"/>
          </w:tcPr>
          <w:p>
            <w:pPr>
              <w:pStyle w:val="TableContents"/>
              <w:bidi w:val="0"/>
              <w:spacing w:before="0" w:after="283"/>
              <w:jc w:val="left"/>
              <w:rPr>
                <w:position w:val="8"/>
                <w:sz w:val="19"/>
              </w:rPr>
            </w:pP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188,497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10,518</w:t>
            </w:r>
          </w:p>
        </w:tc>
        <w:tc>
          <w:tcPr>
            <w:tcW w:w="290"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323,534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13,712</w:t>
            </w:r>
          </w:p>
        </w:tc>
        <w:tc>
          <w:tcPr>
            <w:tcW w:w="290" w:type="dxa"/>
            <w:tcBorders/>
            <w:shd w:fill="CCEEFF" w:val="cle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421,781</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9,191</w:t>
            </w:r>
          </w:p>
        </w:tc>
        <w:tc>
          <w:tcPr>
            <w:tcW w:w="290" w:type="dxa"/>
            <w:tcBorders/>
            <w:shd w:fill="CCEEFF" w:val="clear"/>
            <w:vAlign w:val="center"/>
          </w:tcPr>
          <w:p>
            <w:pPr>
              <w:pStyle w:val="TableContents"/>
              <w:bidi w:val="0"/>
              <w:spacing w:before="0" w:after="283"/>
              <w:jc w:val="left"/>
              <w:rPr>
                <w:position w:val="8"/>
                <w:sz w:val="19"/>
              </w:rPr>
            </w:pP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282,715</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5,259</w:t>
            </w:r>
          </w:p>
        </w:tc>
        <w:tc>
          <w:tcPr>
            <w:tcW w:w="290" w:type="dxa"/>
            <w:tcBorders/>
            <w:shd w:fill="CCEEFF" w:val="clear"/>
            <w:vAlign w:val="center"/>
          </w:tcPr>
          <w:p>
            <w:pPr>
              <w:pStyle w:val="TableContents"/>
              <w:bidi w:val="0"/>
              <w:spacing w:before="0" w:after="283"/>
              <w:jc w:val="left"/>
              <w:rPr>
                <w:position w:val="8"/>
                <w:sz w:val="19"/>
              </w:rPr>
            </w:pP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161,767</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5,102</w:t>
            </w:r>
          </w:p>
        </w:tc>
        <w:tc>
          <w:tcPr>
            <w:tcW w:w="290" w:type="dxa"/>
            <w:tcBorders/>
            <w:shd w:fill="CCEEFF" w:val="clear"/>
            <w:vAlign w:val="center"/>
          </w:tcPr>
          <w:p>
            <w:pPr>
              <w:pStyle w:val="TableContents"/>
              <w:bidi w:val="0"/>
              <w:spacing w:before="0" w:after="283"/>
              <w:jc w:val="left"/>
              <w:rPr>
                <w:position w:val="8"/>
                <w:sz w:val="19"/>
              </w:rPr>
            </w:pP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156,938</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2,316</w:t>
            </w:r>
          </w:p>
        </w:tc>
        <w:tc>
          <w:tcPr>
            <w:tcW w:w="290" w:type="dxa"/>
            <w:tcBorders/>
            <w:shd w:fill="FFFFFF" w:val="cle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4,902</w:t>
            </w:r>
          </w:p>
        </w:tc>
        <w:tc>
          <w:tcPr>
            <w:tcW w:w="290" w:type="dxa"/>
            <w:tcBorders/>
            <w:shd w:fill="FFFFFF" w:val="clear"/>
            <w:vAlign w:val="center"/>
          </w:tcPr>
          <w:p>
            <w:pPr>
              <w:pStyle w:val="TableContents"/>
              <w:bidi w:val="0"/>
              <w:spacing w:before="0" w:after="283"/>
              <w:jc w:val="left"/>
              <w:rPr>
                <w:position w:val="8"/>
                <w:sz w:val="19"/>
              </w:rPr>
            </w:pP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150,786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10,518</w:t>
            </w:r>
          </w:p>
        </w:tc>
        <w:tc>
          <w:tcPr>
            <w:tcW w:w="290" w:type="dxa"/>
            <w:tcBorders/>
            <w:shd w:fill="FFFFFF" w:val="clear"/>
            <w:vAlign w:val="center"/>
          </w:tcPr>
          <w:p>
            <w:pPr>
              <w:pStyle w:val="TableContents"/>
              <w:bidi w:val="0"/>
              <w:spacing w:before="0" w:after="283"/>
              <w:jc w:val="left"/>
              <w:rPr>
                <w:position w:val="8"/>
                <w:sz w:val="19"/>
              </w:rPr>
            </w:pPr>
            <w:r>
              <w:rPr>
                <w:position w:val="8"/>
                <w:sz w:val="19"/>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323,534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sz w:val="20"/>
              </w:rPr>
            </w:pPr>
            <w:r>
              <w:rPr>
                <w:sz w:val="20"/>
              </w:rPr>
              <w:t>Dennis Zeleny</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13,894</w:t>
            </w:r>
          </w:p>
        </w:tc>
        <w:tc>
          <w:tcPr>
            <w:tcW w:w="290" w:type="dxa"/>
            <w:tcBorders/>
            <w:shd w:fill="FFFFFF" w:val="clear"/>
            <w:vAlign w:val="center"/>
          </w:tcPr>
          <w:p>
            <w:pPr>
              <w:pStyle w:val="TableContents"/>
              <w:bidi w:val="0"/>
              <w:spacing w:before="0" w:after="283"/>
              <w:jc w:val="left"/>
              <w:rPr>
                <w:position w:val="8"/>
                <w:sz w:val="19"/>
              </w:rPr>
            </w:pPr>
            <w:r>
              <w:rPr>
                <w:position w:val="8"/>
                <w:sz w:val="19"/>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427,379</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7,353</w:t>
            </w:r>
          </w:p>
        </w:tc>
        <w:tc>
          <w:tcPr>
            <w:tcW w:w="290" w:type="dxa"/>
            <w:tcBorders/>
            <w:shd w:fill="FFFFFF" w:val="clear"/>
            <w:vAlign w:val="center"/>
          </w:tcPr>
          <w:p>
            <w:pPr>
              <w:pStyle w:val="TableContents"/>
              <w:bidi w:val="0"/>
              <w:spacing w:before="0" w:after="283"/>
              <w:jc w:val="left"/>
              <w:rPr>
                <w:position w:val="8"/>
                <w:sz w:val="19"/>
              </w:rPr>
            </w:pPr>
            <w:r>
              <w:rPr>
                <w:position w:val="8"/>
                <w:sz w:val="19"/>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226,178</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5,259</w:t>
            </w:r>
          </w:p>
        </w:tc>
        <w:tc>
          <w:tcPr>
            <w:tcW w:w="290" w:type="dxa"/>
            <w:tcBorders/>
            <w:shd w:fill="FFFFFF" w:val="clear"/>
            <w:vAlign w:val="center"/>
          </w:tcPr>
          <w:p>
            <w:pPr>
              <w:pStyle w:val="TableContents"/>
              <w:bidi w:val="0"/>
              <w:spacing w:before="0" w:after="283"/>
              <w:jc w:val="left"/>
              <w:rPr>
                <w:position w:val="8"/>
                <w:sz w:val="19"/>
              </w:rPr>
            </w:pPr>
            <w:r>
              <w:rPr>
                <w:position w:val="8"/>
                <w:sz w:val="19"/>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161,767</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4,783</w:t>
            </w:r>
          </w:p>
        </w:tc>
        <w:tc>
          <w:tcPr>
            <w:tcW w:w="290" w:type="dxa"/>
            <w:tcBorders/>
            <w:shd w:fill="FFFFFF" w:val="clear"/>
            <w:vAlign w:val="center"/>
          </w:tcPr>
          <w:p>
            <w:pPr>
              <w:pStyle w:val="TableContents"/>
              <w:bidi w:val="0"/>
              <w:spacing w:before="0" w:after="283"/>
              <w:jc w:val="left"/>
              <w:rPr>
                <w:position w:val="8"/>
                <w:sz w:val="19"/>
              </w:rPr>
            </w:pPr>
            <w:r>
              <w:rPr>
                <w:position w:val="8"/>
                <w:sz w:val="19"/>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147,125</w:t>
            </w:r>
          </w:p>
        </w:tc>
        <w:tc>
          <w:tcPr>
            <w:tcW w:w="75"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George T. Henley</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17,248</w:t>
            </w:r>
          </w:p>
        </w:tc>
        <w:tc>
          <w:tcPr>
            <w:tcW w:w="290" w:type="dxa"/>
            <w:tcBorders/>
            <w:shd w:fill="CCEEFF" w:val="cle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530,548</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5,370</w:t>
            </w:r>
          </w:p>
        </w:tc>
        <w:tc>
          <w:tcPr>
            <w:tcW w:w="290" w:type="dxa"/>
            <w:tcBorders/>
            <w:shd w:fill="CCEEFF" w:val="clear"/>
            <w:vAlign w:val="center"/>
          </w:tcPr>
          <w:p>
            <w:pPr>
              <w:pStyle w:val="TableContents"/>
              <w:bidi w:val="0"/>
              <w:spacing w:before="0" w:after="283"/>
              <w:jc w:val="left"/>
              <w:rPr>
                <w:position w:val="8"/>
                <w:sz w:val="19"/>
              </w:rPr>
            </w:pP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165,181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equity awards with respect to which, as of December 31, 2023, any applicable performance hurdles have been met but awards remain subject to time-based vesting criteria.</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option awards with respect to which, as of December 31, 2023, the applicable performance hurdles have not been met.</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shown in these columns are determined by multiplying the number of unvested shares or units subject to the award by $30.76, the closing price of a share of our common stock on the New York Stock Exchange on December 29, 2023 (the last trading day of 2022).</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equity awards with respect to which, as of December 31, 2023, the applicable time-based and/or performance vesting criteria have not been met.</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RSUs granted March 2, 2021. One-third of granted units vested on each of the first and second anniversaries of the grant, with the remaining units vesting on the third anniversary of the grant date, and which will settle in shares.</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(6)</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RSUs granted March 31, 2022 (June 13, 2022 to Mr. O’Neil). One-third of granted units vested on the first anniversary of the grant, with the remaining units vesting in equal tranches on the second and third anniversaries of the grant date, and which will settle in shares.</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RSUs granted April 3, 2023, vesting in equal tranches on the first, second and third anniversaries of the grant date, and which will settle in shares.</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(8)</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PRSUs granted March 2, 2021, vesting on the third anniversary of the grant date. These PRSUs are earned based on the Company’s TSR relative to its peer group during four weighted performance periods (the first from March 2, 2021 through March 2, 2022 weighted at 15%, the second from March 2, 2022 through March 2, 2023 weighted at 15%, the third from March 2, 2023 through March 2, 2024 weighted at 15%, and the fourth from March 2, 2021 through March 2, 2024 weighted at 55%). Performance during the first and second periods earned 175.2% and 133.2% of target units, respectively, subject to continued vesting requirements. Awards will settle in shares, if earned. Amounts reported assume maximum levels of achievement.</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(9)</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PRSUs granted March 31, 2022 (June 13, 2022 to Mr. O’Neil), vesting on the third anniversary of the grant date. These PRSUs are earned based on the Company’s TSR relative to a performance peer group during four weighted performance periods (the first from March 31, 2022 through March 31, 2023 weighted at 15%, the second from March 31, 2023 through March 31, 2024 weighted at 15%, the third from March 31, 2024 through March 31, 2025 weighted at 15%, and the fourth from March 31, 2022 through March 31, 2025 weighted at 55%). Performance during the first period earned 181.8% of target units, subject to continued vesting requirements. Awards will settle in shares, if earned. Amounts reported assume target levels of achievement.</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(10)</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PRSUs granted April 3, 2023, vesting on the third anniversary of the grant date. These PRSUs are earned based on the Company’s TSR relative to a performance peer group during multiple performance periods between April 3, 2023 through April 3, 2026, as described in the “2023 Long-Term Incentive (LTIP) Awards” section above. Awards will settle in shares, if earned. Amounts reported assume minimum levels of achievement.</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(11)</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PRSUs granted July 31, 2023, vesting on the anniversary of the grant date. These PRSUs are earned based on the Company’s TSR relative to its peer group during the performance period between July 31, 2023 through July 31, 2024, as described in the “2023 Long-Term Incentive Awards” section above, and which will settle in shares, if earned. Amounts reported assume minimum levels of achievement.</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(12)</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RSUs granted June 13, 2022 to Mr. O’Neil. One-fourth of granted units vested on the first anniversary of the grant, with the remaining units vesting in equal tranches on the second, third and fourth anniversaries of the grant date, and which will settle in shares.</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(13)</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non-qualified stock options (NQSOs) granted to Mr. Anderson May 14, 2014, one-fourth of which vest upon achieving a stock price of $1,003.50 and compounded annual gain of 20% over the exercise price, with the balance vesting one-fourth each subsequent anniversary.</w:t>
            </w:r>
          </w:p>
        </w:tc>
      </w:tr>
      <w:tr>
        <w:trPr/>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(14)</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NQSOs granted to Mr. Anderson May 14, 2014, one-fourth of which vest upon achieving a stock price of $1,505.25 and compounded annual gain of 25% over the exercise price, with the balance vesting one-fourth each subsequent anniversary.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Exercises and Stock Vested During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relating to the amounts realized on the exercise of options and the vesting of restricted stock during fiscal year 2023 for the individuals named in the Summary Compensation Table.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2"/>
        <w:gridCol w:w="60"/>
        <w:gridCol w:w="431"/>
        <w:gridCol w:w="1884"/>
        <w:gridCol w:w="99"/>
        <w:gridCol w:w="99"/>
        <w:gridCol w:w="335"/>
        <w:gridCol w:w="1487"/>
        <w:gridCol w:w="60"/>
        <w:gridCol w:w="60"/>
        <w:gridCol w:w="158"/>
        <w:gridCol w:w="2120"/>
        <w:gridCol w:w="60"/>
        <w:gridCol w:w="60"/>
        <w:gridCol w:w="99"/>
        <w:gridCol w:w="1632"/>
        <w:gridCol w:w="79"/>
      </w:tblGrid>
      <w:tr>
        <w:trPr/>
        <w:tc>
          <w:tcPr>
            <w:tcW w:w="14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Stock Awards</w:t>
            </w:r>
          </w:p>
        </w:tc>
        <w:tc>
          <w:tcPr>
            <w:tcW w:w="79" w:type="dxa"/>
            <w:tcBorders/>
            <w:vAlign w:val="center"/>
          </w:tcPr>
          <w:p>
            <w:pPr>
              <w:pStyle w:val="TableContents"/>
              <w:bidi w:val="0"/>
              <w:spacing w:before="0" w:after="283"/>
              <w:jc w:val="left"/>
              <w:rPr/>
            </w:pPr>
            <w:r>
              <w:rPr/>
              <w:t> </w:t>
            </w:r>
          </w:p>
        </w:tc>
      </w:tr>
      <w:tr>
        <w:trPr/>
        <w:tc>
          <w:tcPr>
            <w:tcW w:w="1482"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Name</w:t>
            </w:r>
          </w:p>
        </w:tc>
        <w:tc>
          <w:tcPr>
            <w:tcW w:w="60" w:type="dxa"/>
            <w:tcBorders/>
            <w:vAlign w:val="center"/>
          </w:tcPr>
          <w:p>
            <w:pPr>
              <w:pStyle w:val="TableContents"/>
              <w:bidi w:val="0"/>
              <w:spacing w:before="0" w:after="283"/>
              <w:jc w:val="center"/>
              <w:rPr/>
            </w:pPr>
            <w:r>
              <w:rPr/>
              <w:t> </w:t>
            </w:r>
          </w:p>
        </w:tc>
        <w:tc>
          <w:tcPr>
            <w:tcW w:w="231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Acquired on Exercise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822"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Realized on Exercise</w:t>
            </w:r>
            <w:r>
              <w:rPr>
                <w:rFonts w:ascii="Times New Roman;Times;Serif" w:hAnsi="Times New Roman;Times;Serif"/>
                <w:b/>
                <w:i w:val="false"/>
                <w:caps w:val="false"/>
                <w:smallCaps w:val="false"/>
                <w:position w:val="7"/>
                <w:sz w:val="16"/>
                <w:sz w:val="20"/>
              </w:rPr>
              <w:t>(1)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78"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Acquired on Vesting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1"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Realized on Vesting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79" w:type="dxa"/>
            <w:tcBorders/>
            <w:vAlign w:val="center"/>
          </w:tcPr>
          <w:p>
            <w:pPr>
              <w:pStyle w:val="TableContents"/>
              <w:bidi w:val="0"/>
              <w:spacing w:before="0" w:after="283"/>
              <w:jc w:val="center"/>
              <w:rPr/>
            </w:pPr>
            <w:r>
              <w:rPr/>
              <w:t> </w:t>
            </w:r>
          </w:p>
        </w:tc>
      </w:tr>
      <w:tr>
        <w:trPr/>
        <w:tc>
          <w:tcPr>
            <w:tcW w:w="1482" w:type="dxa"/>
            <w:tcBorders/>
            <w:shd w:fill="CCEEFF" w:val="clear"/>
            <w:vAlign w:val="center"/>
          </w:tcPr>
          <w:p>
            <w:pPr>
              <w:pStyle w:val="TableContents"/>
              <w:bidi w:val="0"/>
              <w:spacing w:before="0" w:after="283"/>
              <w:jc w:val="left"/>
              <w:rPr/>
            </w:pPr>
            <w:r>
              <w:rPr/>
              <w:t>Glen A. Messina</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1884"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2120" w:type="dxa"/>
            <w:tcBorders/>
            <w:shd w:fill="CCEEFF" w:val="clear"/>
            <w:vAlign w:val="center"/>
          </w:tcPr>
          <w:p>
            <w:pPr>
              <w:pStyle w:val="TableContents"/>
              <w:bidi w:val="0"/>
              <w:spacing w:before="0" w:after="283"/>
              <w:jc w:val="right"/>
              <w:rPr/>
            </w:pPr>
            <w:r>
              <w:rPr/>
              <w:t>178,872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right"/>
              <w:rPr/>
            </w:pPr>
            <w:r>
              <w:rPr/>
              <w:t>4,756,373</w:t>
            </w:r>
          </w:p>
        </w:tc>
        <w:tc>
          <w:tcPr>
            <w:tcW w:w="79" w:type="dxa"/>
            <w:tcBorders/>
            <w:shd w:fill="CCEEFF" w:val="clear"/>
            <w:vAlign w:val="center"/>
          </w:tcPr>
          <w:p>
            <w:pPr>
              <w:pStyle w:val="TableContents"/>
              <w:bidi w:val="0"/>
              <w:spacing w:before="0" w:after="283"/>
              <w:jc w:val="left"/>
              <w:rPr/>
            </w:pPr>
            <w:r>
              <w:rPr/>
              <w:t> </w:t>
            </w:r>
          </w:p>
        </w:tc>
      </w:tr>
      <w:tr>
        <w:trPr/>
        <w:tc>
          <w:tcPr>
            <w:tcW w:w="1482" w:type="dxa"/>
            <w:tcBorders/>
            <w:shd w:fill="FFFFFF" w:val="clear"/>
            <w:vAlign w:val="center"/>
          </w:tcPr>
          <w:p>
            <w:pPr>
              <w:pStyle w:val="TableContents"/>
              <w:bidi w:val="0"/>
              <w:spacing w:before="0" w:after="283"/>
              <w:jc w:val="left"/>
              <w:rPr/>
            </w:pPr>
            <w:r>
              <w:rPr/>
              <w:t>Sean B. O’Neil</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88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120" w:type="dxa"/>
            <w:tcBorders/>
            <w:shd w:fill="FFFFFF" w:val="clear"/>
            <w:vAlign w:val="center"/>
          </w:tcPr>
          <w:p>
            <w:pPr>
              <w:pStyle w:val="TableContents"/>
              <w:bidi w:val="0"/>
              <w:spacing w:before="0" w:after="283"/>
              <w:jc w:val="right"/>
              <w:rPr/>
            </w:pPr>
            <w:r>
              <w:rPr/>
              <w:t>17,250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right"/>
              <w:rPr/>
            </w:pPr>
            <w:r>
              <w:rPr/>
              <w:t>514,222</w:t>
            </w:r>
          </w:p>
        </w:tc>
        <w:tc>
          <w:tcPr>
            <w:tcW w:w="79" w:type="dxa"/>
            <w:tcBorders/>
            <w:shd w:fill="FFFFFF" w:val="clear"/>
            <w:vAlign w:val="center"/>
          </w:tcPr>
          <w:p>
            <w:pPr>
              <w:pStyle w:val="TableContents"/>
              <w:bidi w:val="0"/>
              <w:spacing w:before="0" w:after="283"/>
              <w:jc w:val="left"/>
              <w:rPr/>
            </w:pPr>
            <w:r>
              <w:rPr/>
              <w:t> </w:t>
            </w:r>
          </w:p>
        </w:tc>
      </w:tr>
      <w:tr>
        <w:trPr/>
        <w:tc>
          <w:tcPr>
            <w:tcW w:w="1482" w:type="dxa"/>
            <w:tcBorders/>
            <w:shd w:fill="CCEEFF" w:val="clear"/>
            <w:vAlign w:val="center"/>
          </w:tcPr>
          <w:p>
            <w:pPr>
              <w:pStyle w:val="TableContents"/>
              <w:bidi w:val="0"/>
              <w:spacing w:before="0" w:after="283"/>
              <w:jc w:val="left"/>
              <w:rPr/>
            </w:pPr>
            <w:r>
              <w:rPr/>
              <w:t>Scott W. Anderson</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1884"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2120" w:type="dxa"/>
            <w:tcBorders/>
            <w:shd w:fill="CCEEFF" w:val="clear"/>
            <w:vAlign w:val="center"/>
          </w:tcPr>
          <w:p>
            <w:pPr>
              <w:pStyle w:val="TableContents"/>
              <w:bidi w:val="0"/>
              <w:spacing w:before="0" w:after="283"/>
              <w:jc w:val="right"/>
              <w:rPr/>
            </w:pPr>
            <w:r>
              <w:rPr/>
              <w:t>23,371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right"/>
              <w:rPr/>
            </w:pPr>
            <w:r>
              <w:rPr/>
              <w:t>620,237</w:t>
            </w:r>
          </w:p>
        </w:tc>
        <w:tc>
          <w:tcPr>
            <w:tcW w:w="79" w:type="dxa"/>
            <w:tcBorders/>
            <w:shd w:fill="CCEEFF" w:val="clear"/>
            <w:vAlign w:val="center"/>
          </w:tcPr>
          <w:p>
            <w:pPr>
              <w:pStyle w:val="TableContents"/>
              <w:bidi w:val="0"/>
              <w:spacing w:before="0" w:after="283"/>
              <w:jc w:val="left"/>
              <w:rPr/>
            </w:pPr>
            <w:r>
              <w:rPr/>
              <w:t> </w:t>
            </w:r>
          </w:p>
        </w:tc>
      </w:tr>
      <w:tr>
        <w:trPr/>
        <w:tc>
          <w:tcPr>
            <w:tcW w:w="1482" w:type="dxa"/>
            <w:tcBorders/>
            <w:shd w:fill="FFFFFF" w:val="clear"/>
            <w:vAlign w:val="center"/>
          </w:tcPr>
          <w:p>
            <w:pPr>
              <w:pStyle w:val="TableContents"/>
              <w:bidi w:val="0"/>
              <w:spacing w:before="0" w:after="283"/>
              <w:jc w:val="left"/>
              <w:rPr/>
            </w:pPr>
            <w:r>
              <w:rPr/>
              <w:t>Dennis Zeleny</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88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120" w:type="dxa"/>
            <w:tcBorders/>
            <w:shd w:fill="FFFFFF" w:val="clear"/>
            <w:vAlign w:val="center"/>
          </w:tcPr>
          <w:p>
            <w:pPr>
              <w:pStyle w:val="TableContents"/>
              <w:bidi w:val="0"/>
              <w:spacing w:before="0" w:after="283"/>
              <w:jc w:val="right"/>
              <w:rPr/>
            </w:pPr>
            <w:r>
              <w:rPr/>
              <w:t>30,298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right"/>
              <w:rPr/>
            </w:pPr>
            <w:r>
              <w:rPr/>
              <w:t>799,200</w:t>
            </w:r>
          </w:p>
        </w:tc>
        <w:tc>
          <w:tcPr>
            <w:tcW w:w="79" w:type="dxa"/>
            <w:tcBorders/>
            <w:shd w:fill="FFFFFF" w:val="clear"/>
            <w:vAlign w:val="center"/>
          </w:tcPr>
          <w:p>
            <w:pPr>
              <w:pStyle w:val="TableContents"/>
              <w:bidi w:val="0"/>
              <w:spacing w:before="0" w:after="283"/>
              <w:jc w:val="left"/>
              <w:rPr/>
            </w:pPr>
            <w:r>
              <w:rPr/>
              <w:t> </w:t>
            </w:r>
          </w:p>
        </w:tc>
      </w:tr>
      <w:tr>
        <w:trPr/>
        <w:tc>
          <w:tcPr>
            <w:tcW w:w="1482" w:type="dxa"/>
            <w:tcBorders/>
            <w:shd w:fill="CCEEFF" w:val="clear"/>
            <w:vAlign w:val="center"/>
          </w:tcPr>
          <w:p>
            <w:pPr>
              <w:pStyle w:val="TableContents"/>
              <w:bidi w:val="0"/>
              <w:spacing w:before="0" w:after="283"/>
              <w:jc w:val="left"/>
              <w:rPr/>
            </w:pPr>
            <w:r>
              <w:rPr/>
              <w:t>George T. Henley</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1884"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2120" w:type="dxa"/>
            <w:tcBorders/>
            <w:shd w:fill="CCEEFF" w:val="clear"/>
            <w:vAlign w:val="center"/>
          </w:tcPr>
          <w:p>
            <w:pPr>
              <w:pStyle w:val="TableContents"/>
              <w:bidi w:val="0"/>
              <w:spacing w:before="0" w:after="283"/>
              <w:jc w:val="right"/>
              <w:rPr/>
            </w:pPr>
            <w:r>
              <w:rPr/>
              <w:t>18,302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right"/>
              <w:rPr/>
            </w:pPr>
            <w:r>
              <w:rPr/>
              <w:t>551,455</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options were exercised during 2023.</w:t>
            </w:r>
          </w:p>
        </w:tc>
      </w:tr>
      <w:tr>
        <w:trPr/>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99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shown in this column for stock awards are calculated based on the closing price of a share of our common stock on the New York Stock Exchange on the date of vesting.</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non-disclosure, non-competition and non-solicitation agreements discussed above under “Restrictive Covenants,” and our clawback policy, as applicable. In addition, a named executive officer would typically retain any vested portion of prior equity awards granted through the 1998 Annual Incentive Plan, our prior 2007 and 2017 equity incentive plans and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provisions in our option, RSU and PRSU award agreements relating to change in control support our compelling business need to incentivize the retention of key employees during the uncertain times preceding a potential change in control. As described below, our RSUs and PRSUs provide for accelerated vesting following a change in control only if such change in control is followed by actual or constructive termination (i.e., a “double trigger”), in order to further incentivize post-change in control retention and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Treatment of Options. </w:t>
      </w:r>
      <w:r>
        <w:rPr>
          <w:rFonts w:ascii="Times New Roman;Times;Serif" w:hAnsi="Times New Roman;Times;Serif"/>
          <w:b w:val="false"/>
          <w:i w:val="false"/>
          <w:caps w:val="false"/>
          <w:smallCaps w:val="false"/>
          <w:sz w:val="20"/>
        </w:rPr>
        <w:t>Our stock option agreements generally provide that, in the event of death, disability, retirement or termination by the Company without 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 (iii) all vested options generally terminate within a specified timeframe. Upon termination for cause, all vested and unvested options are immediately terminated. Additionally, pursuant to these stock option agreements, if there is a “change in control” as defined in the applicable stock option agreement, all options would immediately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Treatment of RSUs and PRSUs.</w:t>
      </w:r>
      <w:r>
        <w:rPr>
          <w:rFonts w:ascii="Times New Roman;Times;Serif" w:hAnsi="Times New Roman;Times;Serif"/>
          <w:b w:val="false"/>
          <w:i w:val="false"/>
          <w:caps w:val="false"/>
          <w:smallCaps w:val="false"/>
          <w:sz w:val="20"/>
        </w:rPr>
        <w:t xml:space="preserve"> In the case of death or disability, the awards will immediately vest on a pro-rata basis in proportion to the percentage of the vesting period the participant served prior to termination, except that for the PRSUs granted July 31, 2023, all unvested units will vest. For the PRSUs granted in 2021 or 2022, any outstanding and incomplete measurement periods shall be deemed to have been achieved at target level. For the PRSUs granted in 2023, any open and incomplete measurement period shall be measured as of the termination date, and any measurement periods yet to begin shall be deemed to have been achieved at target level.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voluntary resignation (other than for good reason, as defined in the applicable award agreements), any unvested portion of an award will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without cause or retirement, the RSUs will immediately vest on a pro-rata basis in proportion to the percentage of the vesting period the participant served prior to termination. For the PRSUs granted in 2021 or 2022, the number of units that remain eligible to become vested, subject to achievement of applicable performance objectives at the end of the three-year cliff-vesting period, are calculated on a pro-rata basis in proportion to the percentage of the vesting period the participant served prior to termination. For the performance-restricted stock units granted April 3, 2023, the PRSUs will immediately vest on a pro-rata basis in proportion to the percentage of the vesting period the participant served prior to termination, any open and incomplete measurement period shall be measured as of the termination date, and any measurement periods yet to begin shall be deemed to have been achieved at target level. For the awards granted July 31, 2023, all unvested units will immediately vest and the measurement period shall be measured as of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awards continue vesting in accordance with their terms, and any outstanding and incomplete measurement periods shall be deemed to have been achieved at target level. If, within 12 months of such change in control, the Company terminates the participant’s employment for any reason other than for cause, or the participant resigns for good reason, the awards will vest at target level as of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Payments for Mr. Messina. </w:t>
      </w:r>
      <w:r>
        <w:rPr>
          <w:rFonts w:ascii="Times New Roman;Times;Serif" w:hAnsi="Times New Roman;Times;Serif"/>
          <w:b w:val="false"/>
          <w:i w:val="false"/>
          <w:caps w:val="false"/>
          <w:smallCaps w:val="false"/>
          <w:sz w:val="20"/>
        </w:rPr>
        <w:t>In the event of Mr. Messina’s termination without cause or resignation for good reason, under the terms of his offer letter he will be entitled to receive (i) a lump sum termination payment in an amount equal to the sum of his base salary plus his annual target incentive, plus the estimated cost of 18 months’ COBRA benefit premiums, (ii) a pro rata portion of his annual bonus payment based on actual achievement of Ocwen performance objectives, and (iii) payment of any unpaid prior year bonus. If within two years following a change in control his employment is terminated without cause or he resigns for good reason, the value of his lump sum termination payment will increase to two years of base salary, target incentive and COBRA benefit premiums, in addition to continued bonus eligibility outlined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Payments for Mr. O’Neil.</w:t>
      </w:r>
      <w:r>
        <w:rPr>
          <w:rFonts w:ascii="Times New Roman;Times;Serif" w:hAnsi="Times New Roman;Times;Serif"/>
          <w:b w:val="false"/>
          <w:i w:val="false"/>
          <w:caps w:val="false"/>
          <w:smallCaps w:val="false"/>
          <w:sz w:val="20"/>
        </w:rPr>
        <w:t xml:space="preserve"> In the event of Mr. O’Neil’s termination without cause or resignation for good reason within his first four years of employment, under the terms of his offer letter he will be entitled to receive (i) the value of any unpaid cash sign-on bonus payments, (ii) any unvested sign-on restricted stock units, and (iii) severance benefits consistent with a qualifying termination of employment under the applicable Severance Plan,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Severance Plans. </w:t>
      </w:r>
      <w:r>
        <w:rPr>
          <w:rFonts w:ascii="Times New Roman;Times;Serif" w:hAnsi="Times New Roman;Times;Serif"/>
          <w:b w:val="false"/>
          <w:i w:val="false"/>
          <w:caps w:val="false"/>
          <w:smallCaps w:val="false"/>
          <w:sz w:val="20"/>
        </w:rPr>
        <w:t>Messrs. Anderson, O’Neil and Zeleny are eligible for severance benefits upon a qualifying termination of employment, conditioned upon the execution of a separation and release agreement, consistent with either the United States Basic Severance Plan (the Severance Plan) or the United States Change in Control Severance Plan (the CIC Plan).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Severance Plan, if an executive officer’s employment with the Company is terminated by the Company due to an eligible termination as defined in the Severance Plan, the executive will be entitled to receive the following benefits: (i) a lump sum payment equal to 18 times the monthly base salary rate; and (ii) eligibility for subsidized COBRA benefit premiums for continued healthcare coverage for up to 18 months, if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CIC Plan, if a Change in Control (as defined in the CIC Plan) occurs and either the participant’s employment is involuntarily terminated or he or she resigns for good reason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and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and (ii) eligibility for subsidized COBRA benefit premiums for continued healthcare coverage for up to 24 months, if elected.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Disclosure of Payments 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potential benefits that each named executive officer serving as of December 31, 2023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any outstanding equity awards that would accelerate is determined by multiplying (i) the number of unvested restricted stock units held by the named executive officer that would accelerate by (ii) $30.76, the closing price of a share of our common stock on the New York Stock Exchange on December 29, 2023 (the last trading day of the year). Additionally, at that share price, no stock options for which vesting would accelerate had value.</w:t>
      </w:r>
    </w:p>
    <w:p>
      <w:pPr>
        <w:pStyle w:val="TextBody"/>
        <w:bidi w:val="0"/>
        <w:spacing w:before="0" w:after="0"/>
        <w:ind w:left="0" w:right="0" w:hanging="0"/>
        <w:jc w:val="both"/>
        <w:rPr>
          <w:caps w:val="false"/>
          <w:smallCaps w:val="false"/>
        </w:rPr>
      </w:pPr>
      <w:r>
        <w:rPr>
          <w:caps w:val="false"/>
          <w:smallCaps w:val="false"/>
        </w:rPr>
        <w:t> </w:t>
      </w:r>
    </w:p>
    <w:tbl>
      <w:tblPr>
        <w:tblW w:w="10420" w:type="dxa"/>
        <w:jc w:val="left"/>
        <w:tblInd w:w="0" w:type="dxa"/>
        <w:tblLayout w:type="fixed"/>
        <w:tblCellMar>
          <w:top w:w="0" w:type="dxa"/>
          <w:left w:w="0" w:type="dxa"/>
          <w:bottom w:w="28" w:type="dxa"/>
          <w:right w:w="0" w:type="dxa"/>
        </w:tblCellMar>
      </w:tblPr>
      <w:tblGrid>
        <w:gridCol w:w="965"/>
        <w:gridCol w:w="60"/>
        <w:gridCol w:w="242"/>
        <w:gridCol w:w="1053"/>
        <w:gridCol w:w="60"/>
        <w:gridCol w:w="60"/>
        <w:gridCol w:w="70"/>
        <w:gridCol w:w="1150"/>
        <w:gridCol w:w="60"/>
        <w:gridCol w:w="60"/>
        <w:gridCol w:w="74"/>
        <w:gridCol w:w="1221"/>
        <w:gridCol w:w="60"/>
        <w:gridCol w:w="60"/>
        <w:gridCol w:w="242"/>
        <w:gridCol w:w="1053"/>
        <w:gridCol w:w="60"/>
        <w:gridCol w:w="60"/>
        <w:gridCol w:w="66"/>
        <w:gridCol w:w="1229"/>
        <w:gridCol w:w="60"/>
        <w:gridCol w:w="60"/>
        <w:gridCol w:w="60"/>
        <w:gridCol w:w="980"/>
        <w:gridCol w:w="60"/>
        <w:gridCol w:w="60"/>
        <w:gridCol w:w="66"/>
        <w:gridCol w:w="1094"/>
        <w:gridCol w:w="75"/>
      </w:tblGrid>
      <w:tr>
        <w:trPr/>
        <w:tc>
          <w:tcPr>
            <w:tcW w:w="10420" w:type="dxa"/>
            <w:gridSpan w:val="29"/>
            <w:tcBorders>
              <w:bottom w:val="single" w:sz="12" w:space="0" w:color="000000"/>
            </w:tcBorders>
            <w:vAlign w:val="center"/>
          </w:tcPr>
          <w:p>
            <w:pPr>
              <w:pStyle w:val="TableContents"/>
              <w:bidi w:val="0"/>
              <w:spacing w:before="0" w:after="283"/>
              <w:jc w:val="center"/>
              <w:rPr>
                <w:b/>
              </w:rPr>
            </w:pPr>
            <w:r>
              <w:rPr>
                <w:b/>
              </w:rPr>
              <w:t>Potential Payments upon Termination of Employment or Change in Control</w:t>
            </w:r>
          </w:p>
        </w:tc>
      </w:tr>
      <w:tr>
        <w:trPr/>
        <w:tc>
          <w:tcPr>
            <w:tcW w:w="965" w:type="dxa"/>
            <w:tcBorders>
              <w:bottom w:val="single" w:sz="12"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295" w:type="dxa"/>
            <w:gridSpan w:val="2"/>
            <w:tcBorders>
              <w:bottom w:val="single" w:sz="12" w:space="0" w:color="000000"/>
            </w:tcBorders>
            <w:vAlign w:val="center"/>
          </w:tcPr>
          <w:p>
            <w:pPr>
              <w:pStyle w:val="TableContents"/>
              <w:bidi w:val="0"/>
              <w:spacing w:before="0" w:after="283"/>
              <w:jc w:val="center"/>
              <w:rPr>
                <w:b/>
              </w:rPr>
            </w:pPr>
            <w:r>
              <w:rPr>
                <w:b/>
              </w:rPr>
              <w:t>Voluntary Termination without Good Reason or Involuntary Termination for Cause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Voluntary Resignation with Good Reason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95" w:type="dxa"/>
            <w:gridSpan w:val="2"/>
            <w:tcBorders>
              <w:bottom w:val="single" w:sz="12" w:space="0" w:color="000000"/>
            </w:tcBorders>
            <w:vAlign w:val="center"/>
          </w:tcPr>
          <w:p>
            <w:pPr>
              <w:pStyle w:val="TableContents"/>
              <w:bidi w:val="0"/>
              <w:spacing w:before="0" w:after="283"/>
              <w:jc w:val="center"/>
              <w:rPr>
                <w:b/>
              </w:rPr>
            </w:pPr>
            <w:r>
              <w:rPr>
                <w:b/>
              </w:rPr>
              <w:t>Involuntary Termination Not for Cause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95" w:type="dxa"/>
            <w:gridSpan w:val="2"/>
            <w:tcBorders>
              <w:bottom w:val="single" w:sz="12" w:space="0" w:color="000000"/>
            </w:tcBorders>
            <w:vAlign w:val="center"/>
          </w:tcPr>
          <w:p>
            <w:pPr>
              <w:pStyle w:val="TableContents"/>
              <w:bidi w:val="0"/>
              <w:spacing w:before="0" w:after="283"/>
              <w:jc w:val="center"/>
              <w:rPr>
                <w:b/>
              </w:rPr>
            </w:pPr>
            <w:r>
              <w:rPr>
                <w:b/>
              </w:rPr>
              <w:t>Change in Control without Termination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95" w:type="dxa"/>
            <w:gridSpan w:val="2"/>
            <w:tcBorders>
              <w:bottom w:val="single" w:sz="12" w:space="0" w:color="000000"/>
            </w:tcBorders>
            <w:vAlign w:val="center"/>
          </w:tcPr>
          <w:p>
            <w:pPr>
              <w:pStyle w:val="TableContents"/>
              <w:bidi w:val="0"/>
              <w:spacing w:before="0" w:after="283"/>
              <w:jc w:val="center"/>
              <w:rPr>
                <w:b/>
              </w:rPr>
            </w:pPr>
            <w:r>
              <w:rPr>
                <w:b/>
              </w:rPr>
              <w:t>Change in Control with Qualifying Termination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Disability or Death</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Retirement</w:t>
            </w:r>
          </w:p>
        </w:tc>
        <w:tc>
          <w:tcPr>
            <w:tcW w:w="75" w:type="dxa"/>
            <w:tcBorders/>
            <w:tcMar>
              <w:bottom w:w="0" w:type="dxa"/>
            </w:tcMar>
            <w:vAlign w:val="center"/>
          </w:tcPr>
          <w:p>
            <w:pPr>
              <w:pStyle w:val="TableContents"/>
              <w:bidi w:val="0"/>
              <w:spacing w:before="0" w:after="283"/>
              <w:jc w:val="center"/>
              <w:rPr/>
            </w:pPr>
            <w:r>
              <w:rPr/>
              <w:t> </w:t>
            </w:r>
          </w:p>
        </w:tc>
      </w:tr>
      <w:tr>
        <w:trPr/>
        <w:tc>
          <w:tcPr>
            <w:tcW w:w="965" w:type="dxa"/>
            <w:tcBorders/>
            <w:shd w:fill="CCEEFF" w:val="clear"/>
            <w:tcMar>
              <w:bottom w:w="0" w:type="dxa"/>
            </w:tcMar>
            <w:vAlign w:val="center"/>
          </w:tcPr>
          <w:p>
            <w:pPr>
              <w:pStyle w:val="TableContents"/>
              <w:bidi w:val="0"/>
              <w:spacing w:before="0" w:after="283"/>
              <w:jc w:val="left"/>
              <w:rPr/>
            </w:pPr>
            <w:r>
              <w:rPr/>
              <w:t>Glen A. Messina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4,110,159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right"/>
              <w:rPr/>
            </w:pPr>
            <w:r>
              <w:rPr/>
              <w:t>6,307,437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17,004,029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5,190,129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2,197,278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283"/>
              <w:jc w:val="left"/>
              <w:rPr/>
            </w:pPr>
            <w:r>
              <w:rPr/>
              <w:t>Sean B. O’Neil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2,289,182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right"/>
              <w:rPr/>
            </w:pPr>
            <w:r>
              <w:rPr/>
              <w:t>2,624,631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4,036,755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762,172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553,994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pPr>
            <w:r>
              <w:rPr/>
              <w:t>Scott W.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right"/>
              <w:rPr/>
            </w:pPr>
            <w:r>
              <w:rPr/>
              <w:t>1,140,957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2,545,290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755,125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390,957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283"/>
              <w:jc w:val="left"/>
              <w:rPr/>
            </w:pPr>
            <w:r>
              <w:rPr/>
              <w:t>Dennis Zeleny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right"/>
              <w:rPr/>
            </w:pPr>
            <w:r>
              <w:rPr/>
              <w:t>1,117,742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2,428,556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701,515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367,742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Payments for George Henley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December 31, 2023, Mr. Henley departed the Company as Executive Vice President and Chief Growth Officer. The Company entered into a separation and release agreement with Mr. Henley in connection with a leadership transition initiated by Ocwen, pursuant to which he received the benefits entitled to him under the Severance Plan (see “All Other Compensation” table above) and settlement of outstanding RSU and PRSU awards pursuant to the applicable terms of the respective awards (see “Option Exercises and Stock Vested During 2023” table and “Potential Payments upon Termination or Change in Control” section above). The separation and release agreement provides for a release of claims against the Company and for Mr. Henley to comply with certain non-solicitation and other covenants in the interest of the Company. As a participant in Ocwen’s Executive Non-Qualified Deferred Compensation Plan, upon his termination Mr. Henley was entitled to previously deferred compensation amounts and related earnings which are not included in the above amounts.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AN AMENDMENT TO OUR ARTICLES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CHANGE OUR NAME TO ONITY GROUP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2024, the Board adopted a resolution approving an amendment to Article I of the Company’s Amended and Restated Articles of Incorporation, as amended (our Articles of Incorporation) to effect a name change and recommended that the name change amendment be submitted to shareholders for approval. The Board believes that it is in the best interest of the Company to change its name from Ocwen Financial Corporation to Onity Group Inc. and recommends the approval of the name change amendment to the Company’s shareholders.</w:t>
      </w:r>
    </w:p>
    <w:p>
      <w:pPr>
        <w:pStyle w:val="TextBody"/>
        <w:bidi w:val="0"/>
        <w:spacing w:before="0" w:after="0"/>
        <w:ind w:left="0" w:right="0" w:firstLine="36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Reasons for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five years, the Company has embarked on an extensive transformation of its business. During this time, Ocwen has steadily grown its mortgage servicing and subservicing portfolios, built a strong and scalable servicing platform with industry-leading cost and operational performance, added multi-channel originations and asset management capabilities, established multiple capital partner relationships to enable capital-light servicing growth, and made significant technology investments to modernize its global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Rebranding to Onity Group is the culmination of the Company’s transformation, growth and expansion into a balanced and diversified mortgage company and reflects the confidence of the Board and management in the strength of the business and its long-term enterprise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operating subsidiary, PHH Mortgage Corporation, will maintain its current name at this time. The Company expects to begin rebranding PHH Mortgage Corporation to Onity Mortgage later this year to align this subsidiary’s name with the new name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Rationale for the new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Deeply embedded in the Company’s culture is its intention to consistently deliver on its commitments to achieve positive outcomes for all of its stakeholders. This attitude is central to the Company’s mission, values and operating principles, and the Company firmly believes that all employees must strive to deliver this level of commitment and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rigorous research and brand strategy development analysis, the Company selected Onity as its primary brand name. The Company believes its new name reflects the capabilities of a hard-working team with a can-do, problem-solving culture and the promise of dependability, performance and support. Within the name Onity is the phrase “on it,” which conveys action and commitment to getting the job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change amendment is approved by shareholders, the name change will be effective when the amendment to the Articles of Incorporation is filed with the Secretary of State of the State of Florida. The Company has reserved the NYSE stock symbol “ONIT.” If the name change amendment is approved, the Company intends to request that its common stock trade under this new stock symbol, rather than under the current “OCN” symbol.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change amendment is approved by shareholders, Article I of the Company’s Articles of Incorporation will be amended to read in its entirety as follows: “The name of this corporation is Onity Group Inc.” No other changes to the Articles of Incorporation will be included in the amendment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the Company’s name will not in any way affect the voting or other rights that accompany the Company’s common stock or the validity or transferability of our shares currently outstanding, and no action by shareholders will be required in connection with the name change.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YOU VOTE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AMENDMENT TO OUR ARTICLES OF INCORPORATION TO CHANGE OUR NAME TO ONITY GROUP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APPOINTMENT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has appointed Deloitte &amp; Touche LLP, independent registered public accountants, to be our independent registered public accounting firm for the year ending December 31, 2024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Deloitte &amp; Touche LLP will be present at the Annual Meeting, will be given the opportunity to make a statement, if they so desire, and will be available to respond to appropriate questions from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YOU VOTE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DELOITTE &amp; TOUCHE LLP AS OUR INDEPENDENT REGISTERED PUBLIC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FIRM FOR 2024.</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 has: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discussed with management Ocwen’s audited financial statements as of and for the year ended December 31,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Discussed with Deloitte &amp; Touche LLP, Ocwen’s independent registered public accounting firm, the matters required to be discussed by the applicable requirements of the Public Company Accounting Oversight Board and the Securities and Exchange Commission;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the review and discussion referred to above, the Audit Committee recommended to the Board of Directors that the audited financial statements be included in Ocwen’s annual report on Form 10-K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operates under a written charter approved by our Board of Directors, a copy of which is available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220"/>
        <w:gridCol w:w="60"/>
        <w:gridCol w:w="2300"/>
      </w:tblGrid>
      <w:tr>
        <w:trPr/>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12, 2024</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Committee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J. Bowers, Chair</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Jenne K. Britell, Director</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Jacques J. Busquet,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Deloitte &amp; Touche LLP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aggregate fees billed to Ocwen for professional services by Deloitte &amp; Touche LLP for fiscal years 2023 and 2022:</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970"/>
        <w:gridCol w:w="60"/>
        <w:gridCol w:w="140"/>
        <w:gridCol w:w="980"/>
        <w:gridCol w:w="60"/>
        <w:gridCol w:w="60"/>
        <w:gridCol w:w="140"/>
        <w:gridCol w:w="980"/>
        <w:gridCol w:w="75"/>
      </w:tblGrid>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b/>
              </w:rPr>
            </w:pPr>
            <w:r>
              <w:rPr>
                <w:b/>
              </w:rPr>
              <w:t>Audit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2,769,498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3,617,086</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b/>
              </w:rPr>
            </w:pPr>
            <w:r>
              <w:rPr>
                <w:b/>
              </w:rPr>
              <w:t>Audit Related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850,350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1,287,416</w:t>
            </w:r>
          </w:p>
        </w:tc>
        <w:tc>
          <w:tcPr>
            <w:tcW w:w="7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b/>
              </w:rPr>
            </w:pPr>
            <w:r>
              <w:rPr>
                <w:b/>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1,164,982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1,094,928</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b/>
              </w:rPr>
            </w:pPr>
            <w:r>
              <w:rPr>
                <w:b/>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4,784,830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5,999,430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Fees.</w:t>
      </w:r>
      <w:r>
        <w:rPr>
          <w:rFonts w:ascii="Times New Roman;Times;Serif" w:hAnsi="Times New Roman;Times;Serif"/>
          <w:b w:val="false"/>
          <w:i w:val="false"/>
          <w:caps w:val="false"/>
          <w:smallCaps w:val="false"/>
          <w:sz w:val="20"/>
        </w:rPr>
        <w:t xml:space="preserve"> This category includes the aggregate fees billed for professional services rendered for the audits of Ocwen’s consolidated financial statements for fiscal years 2023 and 2022, for the reviews of the financial statements included in Ocwen’s quarterly reports on Form 10-Q during fiscal years 2023 and 2022 and for services that are normally provided by the independent registered public accounting firm in connection with statutory and regulatory filings or engagements for the relevant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Related Fees.</w:t>
      </w:r>
      <w:r>
        <w:rPr>
          <w:rFonts w:ascii="Times New Roman;Times;Serif" w:hAnsi="Times New Roman;Times;Serif"/>
          <w:b w:val="false"/>
          <w:i w:val="false"/>
          <w:caps w:val="false"/>
          <w:smallCaps w:val="false"/>
          <w:sz w:val="20"/>
        </w:rPr>
        <w:t xml:space="preserve"> This category includes the aggregate fees billed for reporting on internal controls relating to servicing operations and evaluation procedures performed in connection with documentation relating to a collateralized note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Tax Fees.</w:t>
      </w:r>
      <w:r>
        <w:rPr>
          <w:rFonts w:ascii="Times New Roman;Times;Serif" w:hAnsi="Times New Roman;Times;Serif"/>
          <w:b w:val="false"/>
          <w:i w:val="false"/>
          <w:caps w:val="false"/>
          <w:smallCaps w:val="false"/>
          <w:sz w:val="20"/>
        </w:rPr>
        <w:t xml:space="preserve"> This category includes the aggregate fees billed in each of the last two fiscal years for professional services rendered by the independent registered public accounting firm for tax compliance, tax planning and tax advice.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All Other Fees.</w:t>
      </w:r>
      <w:r>
        <w:rPr>
          <w:rFonts w:ascii="Times New Roman;Times;Serif" w:hAnsi="Times New Roman;Times;Serif"/>
          <w:b w:val="false"/>
          <w:i w:val="false"/>
          <w:caps w:val="false"/>
          <w:smallCaps w:val="false"/>
          <w:sz w:val="20"/>
        </w:rPr>
        <w:t xml:space="preserve"> This category includes the aggregate amounts billed in each of the last two fiscal years by the independent registered public accounting firm that are not reported above under “Audit Fees,” “Audit-Related Fees” or “Tax Fees.”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evaluated the non-audit-related services provided by and fees paid to Deloitte &amp; Touche LLP in 2023 and 2022 and the proposed services for 2024 and determined that such services and fees are compatible with the independence of Deloitte &amp; Touche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Principles for Audit Committee Pre-Approval of Audit and Non-Audit Services Provided by the Independent Auditor (the Pre-Approval Principles). </w:t>
      </w:r>
      <w:r>
        <w:rPr>
          <w:rFonts w:ascii="Times New Roman;Times;Serif" w:hAnsi="Times New Roman;Times;Serif"/>
          <w:b w:val="false"/>
          <w:i w:val="false"/>
          <w:caps w:val="false"/>
          <w:smallCaps w:val="false"/>
          <w:sz w:val="20"/>
        </w:rPr>
        <w:t>The 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does not delegate its responsibilities to pre-approve services performed by the independent auditor to management.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TO APPROVE NAMED EXECUTIVE OFFICER COMPENSATION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Four)</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pursuant to Section 14A of the Securities Exchange Act of 1934, as amended, the Company is presenting this proposal which gives you as a shareholder the opportunity to approve or not approve our pay program for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more detail under the heading “Executive Compensation,” we believe our executive compensation programs are effectively designed, are in alignment with the interests of our shareholders and are instrumental to achieving our business strategy. At our Annual Meeting of Shareholders in 2023, we received 85% of votes cast on our Say-on-Pay proposal in favor of our named executive officer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considered the result of the 2023 Say-on-Pay proposal, as well as input gathered from advisors, shareholders and investors, in designing our 2023 executive compensation program. We discussed progress made toward Ocwen’s return to profitability, execution against the objectives in our business strategy, including growth in our servicing and originations channels, and how the metrics found in our executive pay programs tied back directly to achievement on those objectives. In particular, we demonstrated how AIP metrics were tied to improving profitability, continued cost reduction, improved operating metrics, and customer and employee satisfaction. We also continued to align our Long-Term Incentive program to performance metrics based on total shareholder return relative to our peer group, and provided for awards to settle in shares of common stock in response to shareholder expectations to increase management’s ownership in the company. We believe that on the basis of our disclosures and shareholder communications, shareholders understood and supported the linkage of our executive pay programs to profitability, accelerating growth, cost leadership and improving customer and client satisfaction during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will ask our shareholders to vote on the following proposed resolution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Company’s shareholders approve, on an advisory basis, the compensation of the named executive officers, as disclosed in the Company’s Proxy Statement for the 2024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Compensation Committee and our Board of Directors intend to carefully consider the shareholder vote resulting from this proposal, the final vote will not be binding on us and is advisory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2023 Annual Meeting for Shareholders, who voted overwhelmingly to advise the Company to hold Say-on-Pay votes annually. Our Board of Directors continues to believe that Say-on-Pay votes should be conducted every year so that our shareholders may annually express their views on our executive compensation program and have adopted our shareholders’ recommendation to hold the Say-on-Pay vote every year. Therefore, we expect that the next such vote will occur at the 2025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YOU VOTE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ON AN ADVISORY BASIS, OF THE COMPENSATION OF THE COMPANY’S NAMED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AS DISCLOSED IN THIS PROXY STATEMENT.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AMENDMENT TO THE OCWEN FINANCIAL CORPORATION 2021 EQUITY INCENTIVE PLAN TO INCREASE AVAILABLE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Annual Meeting, shareholders will be asked to approve an amendment (the 2021 Plan Amendment) to the Ocwen Financial Corporation 2021 Equity Incentive Plan (the 2021 Plan) to increase the number of shares that may be issued under the plan as described below. The proposed amendment was adopted, subject to shareholder approval, by our Board of Directors on April 12, 2024. The full text of the 2021 Plan Amendment and the 2021 Plan as currently in effect are included below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incentives and stock-based awards focus employees on the objective of creating shareholder value and promoting the success of the Company, and that incentive compensation plans like the 2021 Plan are an important attraction, retention and motivation tool for participants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presently makes grants under the 2021 Plan. In addition, awards remain outstanding under the 2017 Performance Incentive Plan (the 2017 Plan) and the 2007 Equity Incentive Plan (the “2007 Plan” and together with the 2017 Plan, the Legacy Plans). As of March 31, 2024, a total of 886,381 shares of the Company’s common stock were subject to outstanding awards granted under the 2021 Plan and 38,712 shares were subject to outstanding awards granted under Legacy Plans. As of March 31, 2024, 78,105 shares of the Company’s common stock were available for new award grants under the 2021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the number of shares currently available under the 2021 Plan does not give the Company sufficient flexibility to adequately provide for future incentives. If shareholders approve the 2021 Plan Amendment, an additional 350,000 shares of the Company’s common stock will be made available for award grants under the 2021 Plan. In addition, any shares of common stock underlying RSUs granted under the Legacy Plans that fail to vest, are canceled, or otherwise terminate will also be available for award grant purposes under the 2021 Plan. None of the shares of the Company’s common stock underlying stock options that expire, are canceled, or otherwise terminate will be available for award grant purposes under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December 31, 2020, to December 31, 2023, fully-diluted book value has increased 1% while estimated share count after cashless exercise of warrants issued to Oaktree has decreased 3%. The addition of 350,000 shares to the 2021 Plan would result in a less than 0.5% increase to share count, as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57950" cy="2447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457950" cy="2447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Shares Outstanding at each year-end also includes warrants, outstanding equity awards and shares available in 2021 Plan.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warrants issued to Oaktree are cashlessly exercised using 10-day average of Volume Weighted Average Price (10 days ending on preceding day of exercise) on 12/31/2023 of $29.83.</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EIP Activity in 2021 and 2022 includes grants, performance adjustments, and share recycling for taxes, forfeits and expiration.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shareholders do not approve the 2021 Plan Amendment, the Company will continue to have the authority to grant awards subject to share availability under the 2021 Plan. If shareholders approve the 2021 Plan Amendment, there will be no impact on awards then outstanding under the 2021 Plan or Legacy Plans.</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Description of the 2021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principal terms of the 2021 Plan are summarized below. The following summary is qualified in its entirety by the full text of the 2021 Plan, which is included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Purpose</w:t>
      </w:r>
      <w:r>
        <w:rPr>
          <w:rFonts w:ascii="Times New Roman;Times;Serif" w:hAnsi="Times New Roman;Times;Serif"/>
          <w:b w:val="false"/>
          <w:i w:val="false"/>
          <w:caps w:val="false"/>
          <w:smallCaps w:val="false"/>
          <w:sz w:val="20"/>
        </w:rPr>
        <w:t>. The purpose of the 2021 Plan is to promote the success of the Company by providing an additional means for us to attract, motivate, retain and reward selected employees and other eligible persons through the grant of awards. Equity-based awards are also intended to further align the interests of award recipients and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Administration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Our Board of Directors or one or more committees appointed by our Board of Directors will administer the 2021 Plan. Our Board of Directors has delegated general administrative authority for the 2021 Plan to the Compensation Committee. The Board of Directors or a committee thereof (within its delegated authority) may delegate different levels of authority to different committees or persons with administrative and grant authority under the 2021 Plan. (The appropriate acting body, be it the Board of Directors or a committee or other person within its delegated authority, is referred to in this proposal as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has broad authority under the 2021 Plan, including, without limitation, the authority:</w:t>
      </w:r>
    </w:p>
    <w:p>
      <w:pPr>
        <w:pStyle w:val="TextBody"/>
        <w:bidi w:val="0"/>
        <w:spacing w:before="0" w:after="0"/>
        <w:ind w:left="0" w:right="0" w:firstLine="72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select eligible participants and determine the type(s) of award(s) that they are to receive;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grant awards and determine the terms and conditions of awards, including the price (if any) to be paid for the shares or the award and, in the case of share-based awards, the number of shares to be offered or awarded;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cancel, modify, or waive the Company’s rights with respect to, or modify, discontinue, suspend, or terminate any or all outstanding awards, subject to any required consents;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of the 2021 Plan, to make certain adjustments to an outstanding award and to authorize the conversion, succession or substitution of an award;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method of payment of any purchase price for an award or shares of the Company’s common stock delivered under the 2021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tc>
      </w:tr>
    </w:tbl>
    <w:p>
      <w:pPr>
        <w:pStyle w:val="TextBody"/>
        <w:bidi w:val="0"/>
        <w:spacing w:before="0" w:after="0"/>
        <w:ind w:left="0" w:right="0" w:hanging="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form of any award agreements used under the 2021 Plan;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construe and interpret the 2021 Plan, make rules for the administration of the 2021 Plan, and make all other determinations for the administration of the 2021 Plan.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Repricing.</w:t>
      </w:r>
      <w:r>
        <w:rPr>
          <w:rFonts w:ascii="Times New Roman;Times;Serif" w:hAnsi="Times New Roman;Times;Serif"/>
          <w:b w:val="false"/>
          <w:i w:val="false"/>
          <w:caps w:val="false"/>
          <w:smallCaps w:val="false"/>
          <w:sz w:val="20"/>
        </w:rPr>
        <w:t xml:space="preserve"> In no case (except due to an adjustment to reflect a stock split or other event referred to under “Adjustments” below, or any repricing that may be approved by shareholders) will the Administrator (1) amend an outstanding stock option or stock appreciation right to reduce the exercise price or base price of the award, (2) cancel, exchange, or surrender an outstanding stock option or stock appreciation right in exchange for cash or other awards at any time that the exercise price or base price of the award is greater than fair market value or under any other circumstances that would constitute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Eligibility. </w:t>
      </w:r>
      <w:r>
        <w:rPr>
          <w:rFonts w:ascii="Times New Roman;Times;Serif" w:hAnsi="Times New Roman;Times;Serif"/>
          <w:b w:val="false"/>
          <w:i w:val="false"/>
          <w:caps w:val="false"/>
          <w:smallCaps w:val="false"/>
          <w:sz w:val="20"/>
        </w:rPr>
        <w:t>Persons eligible to receive awards under the 2021 Plan include officers or employees of the Company or any of its subsidiaries, directors of the Company, and certain consultants and advisors to the Company or any of its subsidiaries. As of March 31, 2024, the Company and its subsidiaries had approximately 4,400 employees (including all of the Company’s named executive officers other than Mr. Henley), and six members of our Board of Directors who are not employed by the Company or any of its subsidiaries (non-management directors), all of which are considered eligible under the 2021 Plan. Upon her Board appointment, Ms. Merkle also became eligible under the 2021 Plan. In 2023, 92 employees and all non-management directors received awards under the 2021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Existing Aggregate Share Limit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Before giving effect to the proposed 2021 Plan Amendment, the maximum number of shares of the Company’s common stock that may be issued or transferred pursuant to awards under the 2021 Plan, as amended equals the sum of the following (such total number of shares, the Share Limit):</w:t>
      </w:r>
    </w:p>
    <w:p>
      <w:pPr>
        <w:pStyle w:val="TextBody"/>
        <w:bidi w:val="0"/>
        <w:spacing w:before="0" w:after="0"/>
        <w:ind w:left="0" w:right="0" w:hanging="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940,000 shares, plus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additional award grant purposes under the 2017 Plan as of May 25, 2021, the date our shareholders approved the 2021 Plan (the Stockholder Approval Date), plus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any shares subject to restricted stock and restricted stock unit awards granted under the Legacy Plans that are outstanding and unvested as of the Stockholder Approval Date which are forfeited, terminated, cancelled, or otherwise reacquired after the Stockholder Approval Date without having become vested (with any such shares taken into account based on the premium share-counting rule discussed below for full-value awards).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approximately 4,981 shares were subject to potential forfeit under restricted stock and restricted stock unit awards then outstanding under the Legacy Plans before taking into account the premium share-counting rule discussed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in respect of any “full-value award” granted under the 2021 Plan will be counted against the Share Limit as 1.2 shares for every one share actually issued in connection with the award. For example, if the Company granted a bonus of 100 shares of its common stock under the 2021 Plan, 120 shares would be counted against the Share Limit with respect to that award. For this purpose, a “full-value award” generally means any award granted under the 2021 Plan other than a stock option or stock appreciation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Increased Aggregate Share Limit, if Approved by Shareholders. </w:t>
      </w:r>
      <w:r>
        <w:rPr>
          <w:rFonts w:ascii="Times New Roman;Times;Serif" w:hAnsi="Times New Roman;Times;Serif"/>
          <w:b w:val="false"/>
          <w:i w:val="false"/>
          <w:caps w:val="false"/>
          <w:smallCaps w:val="false"/>
          <w:sz w:val="20"/>
        </w:rPr>
        <w:t>If shareholders approve the 2021 Plan Amendment, the Share Limit, as defined above, will be increased by an additional 350,000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Additional Share Limits</w:t>
      </w:r>
      <w:r>
        <w:rPr>
          <w:rFonts w:ascii="Times New Roman;Times;Serif" w:hAnsi="Times New Roman;Times;Serif"/>
          <w:b w:val="false"/>
          <w:i w:val="false"/>
          <w:caps w:val="false"/>
          <w:smallCaps w:val="false"/>
          <w:sz w:val="20"/>
        </w:rPr>
        <w:t>. The following other limits are also contained in the 2021 Plan. These limits are in addition to, and not in lieu of, the Share Limit for the plan described above and, in the case of share-based limits, are applied on a one-for-one basis without applying the premium share-counting ratio for full-value awards discussed above.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that may be delivered pursuant to options qualified as incentive stock options granted under the plan is 333,333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grant date fair value for awards granted to a non-management director under the 2021 Plan during any one calendar year is $300,000, except that this limit will be $400,000 as to (1) a non-management director who is serving as the independent Chair of the Board of Directors or as a lead independent director at the time the applicable grant is made or (2) any new non-management director for the calendar year in which the non-management director is first elected or appointed to the Board of Directors. For purposes of this limit, the “grant date fair value” of an award means the value of the award on the date of grant of the award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non-management directors as a group.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Share-Limit Counting Rules. </w:t>
      </w:r>
      <w:r>
        <w:rPr>
          <w:rFonts w:ascii="Times New Roman;Times;Serif" w:hAnsi="Times New Roman;Times;Serif"/>
          <w:b w:val="false"/>
          <w:i w:val="false"/>
          <w:caps w:val="false"/>
          <w:smallCaps w:val="false"/>
          <w:sz w:val="20"/>
        </w:rPr>
        <w:t>The Share Limit of the 2021 Plan is subject to the following rules: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are subject to or underlie full-value awards which expire or for any reason are canceled, terminated, forfeited, fail to vest, or for any other reason are not paid or delivered under the 2021 Plan will not be counted against the Share Limit and will again be available for subsequent awards under the 2021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underlie stock appreciation rights and stock options which expire or for any reason are cancelled or terminated, are forfeited, fail to vest, or for any other reason are not paid or delivered under the 2021 Plan shall be counted against the Share Limit and shall not be available for subsequent awards under the 2021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shares are delivered pursuant to the exercise of a stock option or stock appreciation right granted under the 2021 Plan, the number of shares as to which the portion of the stock option or stock appreciation right is exercised shall be counted against the Share Limit. (For purposes of clarity, if a stock option or stock appreciation right relates to 100,000 shares and is exercised at a time when the net number of shares due to the participant is 15,000 shares (taking into account any shares withheld to satisfy any applicable exercise or base price of the award and any shares withheld to satisfy any tax withholding obligations arising in connection with such exercise), 100,000 shares shall be charged against the Share Limit with respect to such award.)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are exchanged by a participant or withheld by the Company to pay the exercise price of a stock option or stock appreciation right granted under the 2021 Plan, as well as any shares exchanged or withheld to satisfy the tax withholding obligations related to any stock option or stock appreciation right, will not be available for subsequent awards under the 2021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are exchanged by a participant or withheld by the Company as full or partial payment in connection with any full-value award granted under the 2021 Plan or the Legacy Plans, as well as any shares exchanged by a participant or withheld by the Company to satisfy the tax withholding obligations related to any full-value award granted under the 2021 Plan or the Legacy Plans, will not be counted against the Share Limit and will again be available for subsequent awards under the 2021 Plan (with any such shares becoming available for subsequent awards taking into account the premium share-counting rule discussed above for full-value awards).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shares are delivered in respect of a dividend equivalent right, the actual number of shares delivered with respect to the award shall be counted against the Share Limit. (For purposes of clarity, if 1,000 dividend equivalent rights are granted and outstanding when the Company pays a dividend, and 50 shares are delivered in payment of those rights with respect to that dividend, 60 shares shall be counted against the Share Limit, after giving effect to the share-counting rule discussed above for full-value awards.) Except as otherwise provided by the Administrator, shares delivered in respect of dividend equivalent rights shall not count against any individual award limit under the 2021 Plan other than the aggregate Share Limit.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2021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2021 Plan. The Company may not increase the applicable share limits of the 2021 Plan by repurchasing shares of common stock on the market (by using cash received through the exercise of stock options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Types of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2021 Plan authorizes stock options, stock appreciation rights, and other forms of awards granted or denominated in the Company’s common stock or units of the Company’s common stock, as well as cash bonus awards. The 2021 Plan retains flexibility to offer competitive incentives and to tailor benefits to specific needs and circumstances. Any award may be structured to be paid or settled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option is the right to purchase shares of the Company’s common stock at a future date at a specified price per share (exercise price). The per share exercise price of an option generally may not be less than the fair market value of a share of the Company’s common stock on the date of grant. The maximum term of an option is ten years from the date of grant. An option may either be an incentive stock option or a nonqualified stock option. Incentive stock option benefits are taxed differently from nonqualified stock options, as described under “Federal Income Tax Consequences of Awards Under the 2021 Plan” below. Incentive stock options are also subject to more restrictive terms and are limited in amount by the U.S. Internal Revenue Code and the 2021 Plan. Incentive stock options may only be granted to employees of the Company or a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appreciation right is the right to receive payment of an amount equal to the excess of the fair market value of a share of the Company’s common stock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share of the Company’s common stock on the date of grant. Stock appreciation rights may be granted in connection with other awards or independently. The maximum term of a stock appreciation right is ten years from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types of awards that may be granted under the 2021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awards under the 2021 Plan (including awards of stock options and stock appreciation rights) may be fully-vested at grant or may be subject to time- and/or performance-based vesting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Minimum Vesting Requirement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described below, each award granted under the 2021 Plan will be subject to a minimum vesting period of one year. An award may provide that it will vest earlier than the first anniversary of the date of grant of the award due to the death, disability, or involuntary termination of the employment or services of the award holder, or in connection with a “Change in Control” of the Company (as such term is defined in the 2021 Plan). Awards may, however, be granted under the 2021 Plan with minimum vesting requirements of less than one year, or no vesting requirements, provided that the total number of shares of the Company’s common stock subject to such awards will not exceed 5% of the Share Limit.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Equivalents; Deferrals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Administrator may provide for the deferred payment of awards, and may determine the other terms applicable to deferrals. The Administrator may provide that awards under the 2021 Plan (other than options or stock appreciation rights), and/or deferrals, earn dividends or dividend equivalents based on the amount of dividends paid on outstanding shares of Common Stock, provided that as to any dividend equivalent rights granted in connection with an award granted under the 2021 Plan that is subject to vesting requirements, no dividend equivalent payment will be made as to a portion of an award unless the related vesting conditions of that portion of an award are satisfied (or, in the case of a restricted stock or similar award where the dividend must be paid as a matter of law, the dividend payment will be subject to forfeiture or repayment, as the case may be, if the related vesting conditions are not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Assumption and Termination of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an event occurs in which the Company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Company, awards then-outstanding under the 2021 Plan may not automatically become fully vested pursuant to the provisions of the 2021 Plan so long as such awards are assumed, substituted for or otherwise continued (i.e. no “single-trigger” awards). However, if awards then-outstanding under the 2021 Plan are to be terminated in such circumstances (without being assumed or substituted for), such awards would generally become fully vested (with any performance goals applicable to the award being deemed met at the “target” performance level), subject to any exceptions that the Administrator may provide for in an applicable award agreement. The Administrator also has the discretion to establish other change in control provisions with respect to awards granted under the 2021 Plan, subject to the prohibition on “single-trigger” awards. For example, the Administrator could provide for the acceleration of vesting or payment of an award in connection with a corporate event followed by termination of the award holder’s employment. For the treatment of outstanding equity awards held by our named executive officers in connection with a termination of employment and/or a change in control of the Company, please see the discussion under the heading “Potential Payments Upon Termination or Change in Control”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Restrictions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certain exceptions contained in Section 5.7 of the 2021 Plan, awards under the 2021 Plan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As is customary in incentive plans of this nature, each share limit and the number and kind of shares available under the 2021 Plan and 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Limit on Other Authority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2021 Plan does not limit the authority of the Board of Directors or any committee to grant awards or authorize any other compensation, with or without reference to the Company’s common stock, under any other plan or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Termination of or Changes to the 2021 Plan and Outstanding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Board of Directors may amend or terminate the 2021 Plan at any time and in any manner. Shareholder approval for an amendment will be required only to the extent then required by applicable law or deemed necessary or advisable by the Board of Directors. Unless terminated earlier by the Board of Directors and subject to any extension that may be approved by shareholders, the authority to grant new awards under the 2021 Plan will terminate on April 14, 2031.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 of Awards under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consequences of the 2021 Plan under current federal law, which is subject to change, are summarized in the following discussion of the general tax principles applicable to the 2021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federal income tax consequences of other awards authorized under the 2021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award is accelerated under the 2021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Benefits under the 2021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approved any awards that are conditioned upon shareholder approval of the 2021 Plan Amendment. The Company is not currently considering any other specific award grants under the 2021 Plan, other than the annual grants of restricted stock units to our non-management directors described in the following paragraph. If the 2021 Plan Amendment had been in existence in fiscal year 2023, the Company expects that its award grants for fiscal year 2023 would not have been substantially different from those actually made in that year under the 2021 Plan. For information regarding stock-based awards granted to the Company’s named executive officers during fiscal year 2023, please see the discussion under the heading “Executive Compensation” above. The Company granted similar awards in March 2024. The Company generally expects to continue granting similar awards on an annual basis under the 2021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“Board of Directors Compensation” above, our current compensation policy for non-management directors provides for each non-management director to receive an annual award of restricted stock units, with the number of shares subject to each award to be determined by dividing $120,000 by the closing price of our stock as reported on the New York Stock Exchange on the grant date as described above. Assuming, for illustrative purposes only, that the price of the common stock used for the conversion of the dollar amount set forth above into shares is $50, the number of shares that would be allocated to the Company’s six non-management directors as a group following the 2024 Annual Meeting pursuant to the annual grant formula is approximately 14,400 shares per year and approximately 100,800 shares in the aggregate over the remaining seven years of the 10-year term of the 2021 Plan. This calculation also assumes that there continue to be six non-management directors seated and that there are no changes to the awards granted under the director equity grant program.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include additional information to help you assess the potential dilutive impact of the Company’s equity awards and the 2021 Plan Amendment. The Legacy Plans and 2021 Plan are the Company’s only equity plans with outstanding awards. No new grants may be authorized under the Legacy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Overhang</w:t>
      </w:r>
      <w:r>
        <w:rPr>
          <w:rFonts w:ascii="Times New Roman;Times;Serif" w:hAnsi="Times New Roman;Times;Serif"/>
          <w:b w:val="false"/>
          <w:i w:val="false"/>
          <w:caps w:val="false"/>
          <w:smallCaps w:val="false"/>
          <w:sz w:val="20"/>
        </w:rPr>
        <w:t>” refers to the number of shares of the Company’s common stock that are subject to outstanding awards under our equity compensation plans (i.e. the Legacy Plans and the 2021 Plan) or remain available for new award grants. As of December 31, 2023, 789,589 shares of the Company’s common stock were subject to outstanding restricted stock and restricted stock unit awards, including 477,006 shares subject to performance-based vesting criteria, 39,157 shares of the Company’s common stock were subject to outstanding stock options, including 4,500 shares subject to performance-based vesting criteria, and 334,763 shares of the Company’s common stock were available for new award grants under the 2021 Plan. As of December 31, 2023, the weighted average exercise price and weighted average remaining term of outstanding stock options were $158.81 and 2.8 years, respectively. In this 2021 Plan Amendment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and before applying the applicable provisions for counting these awards against the plan’s Share Limit as 1.2 for every share actually issued pursuant to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weighted-average number of shares of the Company’s common stock issued and outstanding in each of the last three fiscal years was 9,021,975 shares issued and outstanding in 2021, 8,647,399 shares issued and outstanding in 2022, and 7,635,584 shares issued and outstanding in 2023. The number of shares of the Company’s common stock issued and outstanding as of December 31, 2023 and March 31, 2024 was 7,684,401 and 7,784,253 shares,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Burn rate</w:t>
      </w:r>
      <w:r>
        <w:rPr>
          <w:rFonts w:ascii="Times New Roman;Times;Serif" w:hAnsi="Times New Roman;Times;Serif"/>
          <w:b w:val="false"/>
          <w:i w:val="false"/>
          <w:caps w:val="false"/>
          <w:smallCaps w:val="false"/>
          <w:sz w:val="20"/>
        </w:rPr>
        <w:t>” refers to the number of shares that are subject to awards that we grant over a particular period of time. The total number of shares of the Company’s common stock subject to awards that the Company granted under the Legacy Plans and the 2021 Plan since its approval by shareholders on May 25, 2021 and to date (as of March 31, 2024) for 2024, are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250,832 shares in 2021 (which was 2.8% of the basic weighted-average number of shares of the Company’s common stock issued and outstanding in 2021), all of which were shares subject to restricted stock and restricted stock unit awards (including 116,207 subject to performance-based vesting conditions, assuming achievement of target performance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388,683 shares in 2022 (which was 4.5% of the basic weighted-average number of shares of the Company’s common stock issued and outstanding in 2022), all of which were shares subject to restricted stock and restricted stock unit awards (including 151,452 subject to performance-based vesting conditions, assuming achievement of target performance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390,059 shares in 2023 (which was 5.1% of the basic weighted-average number of shares of the Company’s common stock issued and outstanding in 2023), all of which were shares subject to restricted stock and restricted stock unit awards (including 226,592 subject to performance-based vesting conditions, assuming achievement of target performance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308,269 shares in 2024 through March 31, 2024 (which was 4.0% of the number of shares of the Company’s common stock issued and outstanding on March 31, 2024), all of which were shares subject to restricted stock and restricted stock unit awards (including 150,434 subject to performance-based vesting conditions, assuming achievement of target performance levels).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the total number of shares of the Company’s common stock subject to awards granted under the 2017 Plan and 2021 Plan per year over the last three fiscal years (2021, 2022 and 2023) has been, on average, 4.1% of the weighted-average number of shares of the Company’s common stock issued and outstanding for the corresponding year. Performance-based vesting awards have been included above in the period in which the award was granted. The actual number of performance-based vesting restricted stock and restricted stock unit awards that became eligible to vest in each period because the applicable performance-based condition was satisfied in that year (subject to the satisfaction of any applicable time-based vesting requirements) was as follows: 15,873 in 2021, 30,254 in 2022, 149,780 in 2023 and 64,853 to date (as of March 31, 2024) in 2024. No stock options have been granted in the last three fiscal years or to date in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our common stock that were subject to awards granted under the 2017 Plan and the 2021 Plan that terminated or expired in each of the last three fiscal years and to date (as of March 31, 2024) in 2023, are as follows: 20,367 in 2021, 177,354 in 2022, 30,824 in 2023, and 141,870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anticipates that the 350,000 additional shares requested for the 2021 Plan Amendment (together with the shares available for new award grants under the 2021 Plan on the Annual Meeting date and assuming usual levels of shares becoming available for new awards as a result of forfeitures of outstanding awards) will provide the Company with flexibility to continue to grant equity awards under the 2021 Plan through the remainder of 2024, approximately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and existing employees in connection with acquisitions, the need to attract and retain key talent, including through the use retention incentives especially during volatile periods such as this one, the type of awards the Company grants, and how the Company chooses to balance total compensation between cash and equity-based awards. The Compensation Committee, with the input of its independent consultant, regularly evaluates all the preceding circumstances and evaluates the appropriateness of share utilization.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market price for a share of the Company’s common stock as of March 28, 2024, the last closing price prior to March 31, 2024, was $27.01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Past Grants under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awards covering 1,105,437 shares of our common stock had been granted under the 2021 Plan since its approval by shareholders May 25, 2021. The following table shows information regarding (1) the distribution of those awards among the persons and groups identified below, (2) stock units that have vested and become payable prior to that date, and (3) stock units that are outstanding as of that date. For purposes of this table, outstanding stock units that are subject to performance-based vesting conditions are reflected at the target payout level. No stock options have been granted under the 2021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4"/>
        <w:gridCol w:w="60"/>
        <w:gridCol w:w="109"/>
        <w:gridCol w:w="1789"/>
        <w:gridCol w:w="60"/>
        <w:gridCol w:w="60"/>
        <w:gridCol w:w="130"/>
        <w:gridCol w:w="1745"/>
        <w:gridCol w:w="60"/>
        <w:gridCol w:w="60"/>
        <w:gridCol w:w="183"/>
        <w:gridCol w:w="2456"/>
        <w:gridCol w:w="79"/>
      </w:tblGrid>
      <w:tr>
        <w:trPr/>
        <w:tc>
          <w:tcPr>
            <w:tcW w:w="34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Restricted Stock / Units</w:t>
            </w:r>
          </w:p>
        </w:tc>
        <w:tc>
          <w:tcPr>
            <w:tcW w:w="79" w:type="dxa"/>
            <w:tcBorders/>
            <w:vAlign w:val="center"/>
          </w:tcPr>
          <w:p>
            <w:pPr>
              <w:pStyle w:val="TableContents"/>
              <w:bidi w:val="0"/>
              <w:spacing w:before="0" w:after="283"/>
              <w:jc w:val="left"/>
              <w:rPr/>
            </w:pPr>
            <w:r>
              <w:rPr/>
              <w:t> </w:t>
            </w:r>
          </w:p>
        </w:tc>
      </w:tr>
      <w:tr>
        <w:trPr/>
        <w:tc>
          <w:tcPr>
            <w:tcW w:w="34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Shares/Units Subject to Past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Shares/Units Vested as of March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Shares/Units Outstanding and Unvested as of March 31, 2024</w:t>
            </w:r>
          </w:p>
        </w:tc>
        <w:tc>
          <w:tcPr>
            <w:tcW w:w="79" w:type="dxa"/>
            <w:tcBorders/>
            <w:vAlign w:val="center"/>
          </w:tcPr>
          <w:p>
            <w:pPr>
              <w:pStyle w:val="TableContents"/>
              <w:bidi w:val="0"/>
              <w:spacing w:before="0" w:after="283"/>
              <w:jc w:val="center"/>
              <w:rPr/>
            </w:pPr>
            <w:r>
              <w:rPr/>
              <w:t> </w:t>
            </w:r>
          </w:p>
        </w:tc>
      </w:tr>
      <w:tr>
        <w:trPr/>
        <w:tc>
          <w:tcPr>
            <w:tcW w:w="341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Named Executive Officers</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56"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3414" w:type="dxa"/>
            <w:tcBorders/>
            <w:shd w:fill="FFFFFF" w:val="clear"/>
            <w:vAlign w:val="center"/>
          </w:tcPr>
          <w:p>
            <w:pPr>
              <w:pStyle w:val="TableContents"/>
              <w:bidi w:val="0"/>
              <w:spacing w:before="0" w:after="283"/>
              <w:jc w:val="left"/>
              <w:rPr/>
            </w:pPr>
            <w:r>
              <w:rPr/>
              <w:t>Glen A. Messina</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9" w:type="dxa"/>
            <w:tcBorders/>
            <w:shd w:fill="FFFFFF" w:val="clear"/>
            <w:vAlign w:val="center"/>
          </w:tcPr>
          <w:p>
            <w:pPr>
              <w:pStyle w:val="TableContents"/>
              <w:bidi w:val="0"/>
              <w:spacing w:before="0" w:after="283"/>
              <w:jc w:val="right"/>
              <w:rPr/>
            </w:pPr>
            <w:r>
              <w:rPr/>
              <w:t>469,088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49,019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456" w:type="dxa"/>
            <w:tcBorders/>
            <w:shd w:fill="FFFFFF" w:val="clear"/>
            <w:vAlign w:val="center"/>
          </w:tcPr>
          <w:p>
            <w:pPr>
              <w:pStyle w:val="TableContents"/>
              <w:bidi w:val="0"/>
              <w:spacing w:before="0" w:after="283"/>
              <w:jc w:val="right"/>
              <w:rPr/>
            </w:pPr>
            <w:r>
              <w:rPr/>
              <w:t>418,062</w:t>
            </w:r>
          </w:p>
        </w:tc>
        <w:tc>
          <w:tcPr>
            <w:tcW w:w="79" w:type="dxa"/>
            <w:tcBorders/>
            <w:shd w:fill="FFFFFF" w:val="clear"/>
            <w:vAlign w:val="center"/>
          </w:tcPr>
          <w:p>
            <w:pPr>
              <w:pStyle w:val="TableContents"/>
              <w:bidi w:val="0"/>
              <w:spacing w:before="0" w:after="283"/>
              <w:jc w:val="left"/>
              <w:rPr/>
            </w:pPr>
            <w:r>
              <w:rPr/>
              <w:t> </w:t>
            </w:r>
          </w:p>
        </w:tc>
      </w:tr>
      <w:tr>
        <w:trPr/>
        <w:tc>
          <w:tcPr>
            <w:tcW w:w="3414" w:type="dxa"/>
            <w:tcBorders/>
            <w:shd w:fill="CCEEFF" w:val="clear"/>
            <w:vAlign w:val="center"/>
          </w:tcPr>
          <w:p>
            <w:pPr>
              <w:pStyle w:val="TableContents"/>
              <w:bidi w:val="0"/>
              <w:spacing w:before="0" w:after="283"/>
              <w:jc w:val="left"/>
              <w:rPr/>
            </w:pPr>
            <w:r>
              <w:rPr/>
              <w:t>Scott W. Anderson</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pPr>
            <w:r>
              <w:rPr/>
              <w:t>72,585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6,127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56" w:type="dxa"/>
            <w:tcBorders/>
            <w:shd w:fill="CCEEFF" w:val="clear"/>
            <w:vAlign w:val="center"/>
          </w:tcPr>
          <w:p>
            <w:pPr>
              <w:pStyle w:val="TableContents"/>
              <w:bidi w:val="0"/>
              <w:spacing w:before="0" w:after="283"/>
              <w:jc w:val="right"/>
              <w:rPr/>
            </w:pPr>
            <w:r>
              <w:rPr/>
              <w:t>66,207</w:t>
            </w:r>
          </w:p>
        </w:tc>
        <w:tc>
          <w:tcPr>
            <w:tcW w:w="79" w:type="dxa"/>
            <w:tcBorders/>
            <w:shd w:fill="CCEEFF" w:val="clear"/>
            <w:vAlign w:val="center"/>
          </w:tcPr>
          <w:p>
            <w:pPr>
              <w:pStyle w:val="TableContents"/>
              <w:bidi w:val="0"/>
              <w:spacing w:before="0" w:after="283"/>
              <w:jc w:val="left"/>
              <w:rPr/>
            </w:pPr>
            <w:r>
              <w:rPr/>
              <w:t> </w:t>
            </w:r>
          </w:p>
        </w:tc>
      </w:tr>
      <w:tr>
        <w:trPr/>
        <w:tc>
          <w:tcPr>
            <w:tcW w:w="3414" w:type="dxa"/>
            <w:tcBorders/>
            <w:shd w:fill="FFFFFF" w:val="clear"/>
            <w:vAlign w:val="center"/>
          </w:tcPr>
          <w:p>
            <w:pPr>
              <w:pStyle w:val="TableContents"/>
              <w:bidi w:val="0"/>
              <w:spacing w:before="0" w:after="283"/>
              <w:jc w:val="left"/>
              <w:rPr/>
            </w:pPr>
            <w:r>
              <w:rPr/>
              <w:t>Sean B. O’Neil</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9" w:type="dxa"/>
            <w:tcBorders/>
            <w:shd w:fill="FFFFFF" w:val="clear"/>
            <w:vAlign w:val="center"/>
          </w:tcPr>
          <w:p>
            <w:pPr>
              <w:pStyle w:val="TableContents"/>
              <w:bidi w:val="0"/>
              <w:spacing w:before="0" w:after="283"/>
              <w:jc w:val="right"/>
              <w:rPr/>
            </w:pPr>
            <w:r>
              <w:rPr/>
              <w:t>135,030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17,250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456" w:type="dxa"/>
            <w:tcBorders/>
            <w:shd w:fill="FFFFFF" w:val="clear"/>
            <w:vAlign w:val="center"/>
          </w:tcPr>
          <w:p>
            <w:pPr>
              <w:pStyle w:val="TableContents"/>
              <w:bidi w:val="0"/>
              <w:spacing w:before="0" w:after="283"/>
              <w:jc w:val="right"/>
              <w:rPr/>
            </w:pPr>
            <w:r>
              <w:rPr/>
              <w:t>117,423</w:t>
            </w:r>
          </w:p>
        </w:tc>
        <w:tc>
          <w:tcPr>
            <w:tcW w:w="79" w:type="dxa"/>
            <w:tcBorders/>
            <w:shd w:fill="FFFFFF" w:val="clear"/>
            <w:vAlign w:val="center"/>
          </w:tcPr>
          <w:p>
            <w:pPr>
              <w:pStyle w:val="TableContents"/>
              <w:bidi w:val="0"/>
              <w:spacing w:before="0" w:after="283"/>
              <w:jc w:val="left"/>
              <w:rPr/>
            </w:pPr>
            <w:r>
              <w:rPr/>
              <w:t> </w:t>
            </w:r>
          </w:p>
        </w:tc>
      </w:tr>
      <w:tr>
        <w:trPr/>
        <w:tc>
          <w:tcPr>
            <w:tcW w:w="3414" w:type="dxa"/>
            <w:tcBorders/>
            <w:shd w:fill="CCEEFF" w:val="clear"/>
            <w:vAlign w:val="center"/>
          </w:tcPr>
          <w:p>
            <w:pPr>
              <w:pStyle w:val="TableContents"/>
              <w:bidi w:val="0"/>
              <w:spacing w:before="0" w:after="283"/>
              <w:jc w:val="left"/>
              <w:rPr/>
            </w:pPr>
            <w:r>
              <w:rPr/>
              <w:t>Dennis Zeleny</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pPr>
            <w:r>
              <w:rPr/>
              <w:t>68,270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4,901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56" w:type="dxa"/>
            <w:tcBorders/>
            <w:shd w:fill="CCEEFF" w:val="clear"/>
            <w:vAlign w:val="center"/>
          </w:tcPr>
          <w:p>
            <w:pPr>
              <w:pStyle w:val="TableContents"/>
              <w:bidi w:val="0"/>
              <w:spacing w:before="0" w:after="283"/>
              <w:jc w:val="right"/>
              <w:rPr/>
            </w:pPr>
            <w:r>
              <w:rPr/>
              <w:t>63,168</w:t>
            </w:r>
          </w:p>
        </w:tc>
        <w:tc>
          <w:tcPr>
            <w:tcW w:w="79" w:type="dxa"/>
            <w:tcBorders/>
            <w:shd w:fill="CCEEFF" w:val="clear"/>
            <w:vAlign w:val="center"/>
          </w:tcPr>
          <w:p>
            <w:pPr>
              <w:pStyle w:val="TableContents"/>
              <w:bidi w:val="0"/>
              <w:spacing w:before="0" w:after="283"/>
              <w:jc w:val="left"/>
              <w:rPr/>
            </w:pPr>
            <w:r>
              <w:rPr/>
              <w:t> </w:t>
            </w:r>
          </w:p>
        </w:tc>
      </w:tr>
      <w:tr>
        <w:trPr/>
        <w:tc>
          <w:tcPr>
            <w:tcW w:w="341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for All Current Executive Officers as a Group (9 persons)</w:t>
            </w:r>
            <w:r>
              <w:rPr>
                <w:rFonts w:ascii="Times New Roman;Times;Serif" w:hAnsi="Times New Roman;Times;Serif"/>
                <w:b/>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9" w:type="dxa"/>
            <w:tcBorders/>
            <w:shd w:fill="FFFFFF" w:val="clear"/>
            <w:vAlign w:val="center"/>
          </w:tcPr>
          <w:p>
            <w:pPr>
              <w:pStyle w:val="TableContents"/>
              <w:bidi w:val="0"/>
              <w:spacing w:before="0" w:after="283"/>
              <w:jc w:val="right"/>
              <w:rPr>
                <w:b/>
              </w:rPr>
            </w:pPr>
            <w:r>
              <w:rPr>
                <w:b/>
              </w:rPr>
              <w:t>851,328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84,389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456" w:type="dxa"/>
            <w:tcBorders/>
            <w:shd w:fill="FFFFFF" w:val="clear"/>
            <w:vAlign w:val="center"/>
          </w:tcPr>
          <w:p>
            <w:pPr>
              <w:pStyle w:val="TableContents"/>
              <w:bidi w:val="0"/>
              <w:spacing w:before="0" w:after="283"/>
              <w:jc w:val="right"/>
              <w:rPr>
                <w:b/>
              </w:rPr>
            </w:pPr>
            <w:r>
              <w:rPr>
                <w:b/>
              </w:rPr>
              <w:t>763,846</w:t>
            </w:r>
          </w:p>
        </w:tc>
        <w:tc>
          <w:tcPr>
            <w:tcW w:w="79" w:type="dxa"/>
            <w:tcBorders/>
            <w:shd w:fill="FFFFFF" w:val="clear"/>
            <w:vAlign w:val="center"/>
          </w:tcPr>
          <w:p>
            <w:pPr>
              <w:pStyle w:val="TableContents"/>
              <w:bidi w:val="0"/>
              <w:spacing w:before="0" w:after="283"/>
              <w:jc w:val="left"/>
              <w:rPr/>
            </w:pPr>
            <w:r>
              <w:rPr/>
              <w:t> </w:t>
            </w:r>
          </w:p>
        </w:tc>
      </w:tr>
      <w:tr>
        <w:trPr/>
        <w:tc>
          <w:tcPr>
            <w:tcW w:w="3414" w:type="dxa"/>
            <w:tcBorders/>
            <w:shd w:fill="CCEEFF" w:val="clear"/>
            <w:vAlign w:val="center"/>
          </w:tcPr>
          <w:p>
            <w:pPr>
              <w:pStyle w:val="TableContents"/>
              <w:bidi w:val="0"/>
              <w:spacing w:before="0" w:after="283"/>
              <w:jc w:val="left"/>
              <w:rPr/>
            </w:pPr>
            <w:r>
              <w:rPr/>
              <w:t>Alan J. Bowers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pPr>
            <w:r>
              <w:rPr/>
              <w:t>12,261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7,837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56" w:type="dxa"/>
            <w:tcBorders/>
            <w:shd w:fill="CCEEFF" w:val="clear"/>
            <w:vAlign w:val="center"/>
          </w:tcPr>
          <w:p>
            <w:pPr>
              <w:pStyle w:val="TableContents"/>
              <w:bidi w:val="0"/>
              <w:spacing w:before="0" w:after="283"/>
              <w:jc w:val="right"/>
              <w:rPr/>
            </w:pPr>
            <w:r>
              <w:rPr/>
              <w:t>4,424</w:t>
            </w:r>
          </w:p>
        </w:tc>
        <w:tc>
          <w:tcPr>
            <w:tcW w:w="79" w:type="dxa"/>
            <w:tcBorders/>
            <w:shd w:fill="CCEEFF" w:val="clear"/>
            <w:vAlign w:val="center"/>
          </w:tcPr>
          <w:p>
            <w:pPr>
              <w:pStyle w:val="TableContents"/>
              <w:bidi w:val="0"/>
              <w:spacing w:before="0" w:after="283"/>
              <w:jc w:val="left"/>
              <w:rPr/>
            </w:pPr>
            <w:r>
              <w:rPr/>
              <w:t> </w:t>
            </w:r>
          </w:p>
        </w:tc>
      </w:tr>
      <w:tr>
        <w:trPr/>
        <w:tc>
          <w:tcPr>
            <w:tcW w:w="3414" w:type="dxa"/>
            <w:tcBorders/>
            <w:shd w:fill="FFFFFF" w:val="clear"/>
            <w:vAlign w:val="center"/>
          </w:tcPr>
          <w:p>
            <w:pPr>
              <w:pStyle w:val="TableContents"/>
              <w:bidi w:val="0"/>
              <w:spacing w:before="0" w:after="283"/>
              <w:jc w:val="left"/>
              <w:rPr/>
            </w:pPr>
            <w:r>
              <w:rPr/>
              <w:t>Jenne K. Britell</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9" w:type="dxa"/>
            <w:tcBorders/>
            <w:shd w:fill="FFFFFF" w:val="clear"/>
            <w:vAlign w:val="center"/>
          </w:tcPr>
          <w:p>
            <w:pPr>
              <w:pStyle w:val="TableContents"/>
              <w:bidi w:val="0"/>
              <w:spacing w:before="0" w:after="283"/>
              <w:jc w:val="right"/>
              <w:rPr/>
            </w:pPr>
            <w:r>
              <w:rPr/>
              <w:t>12,261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7,837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456" w:type="dxa"/>
            <w:tcBorders/>
            <w:shd w:fill="FFFFFF" w:val="clear"/>
            <w:vAlign w:val="center"/>
          </w:tcPr>
          <w:p>
            <w:pPr>
              <w:pStyle w:val="TableContents"/>
              <w:bidi w:val="0"/>
              <w:spacing w:before="0" w:after="283"/>
              <w:jc w:val="right"/>
              <w:rPr/>
            </w:pPr>
            <w:r>
              <w:rPr/>
              <w:t>4,424</w:t>
            </w:r>
          </w:p>
        </w:tc>
        <w:tc>
          <w:tcPr>
            <w:tcW w:w="79" w:type="dxa"/>
            <w:tcBorders/>
            <w:shd w:fill="FFFFFF" w:val="clear"/>
            <w:vAlign w:val="center"/>
          </w:tcPr>
          <w:p>
            <w:pPr>
              <w:pStyle w:val="TableContents"/>
              <w:bidi w:val="0"/>
              <w:spacing w:before="0" w:after="283"/>
              <w:jc w:val="left"/>
              <w:rPr/>
            </w:pPr>
            <w:r>
              <w:rPr/>
              <w:t> </w:t>
            </w:r>
          </w:p>
        </w:tc>
      </w:tr>
      <w:tr>
        <w:trPr/>
        <w:tc>
          <w:tcPr>
            <w:tcW w:w="3414" w:type="dxa"/>
            <w:tcBorders/>
            <w:shd w:fill="CCEEFF" w:val="clear"/>
            <w:vAlign w:val="center"/>
          </w:tcPr>
          <w:p>
            <w:pPr>
              <w:pStyle w:val="TableContents"/>
              <w:bidi w:val="0"/>
              <w:spacing w:before="0" w:after="283"/>
              <w:jc w:val="left"/>
              <w:rPr/>
            </w:pPr>
            <w:r>
              <w:rPr/>
              <w:t>Jacques J. Busquet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pPr>
            <w:r>
              <w:rPr/>
              <w:t>12,261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7,837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56" w:type="dxa"/>
            <w:tcBorders/>
            <w:shd w:fill="CCEEFF" w:val="clear"/>
            <w:vAlign w:val="center"/>
          </w:tcPr>
          <w:p>
            <w:pPr>
              <w:pStyle w:val="TableContents"/>
              <w:bidi w:val="0"/>
              <w:spacing w:before="0" w:after="283"/>
              <w:jc w:val="right"/>
              <w:rPr/>
            </w:pPr>
            <w:r>
              <w:rPr/>
              <w:t>4,424</w:t>
            </w:r>
          </w:p>
        </w:tc>
        <w:tc>
          <w:tcPr>
            <w:tcW w:w="79" w:type="dxa"/>
            <w:tcBorders/>
            <w:shd w:fill="CCEEFF" w:val="clear"/>
            <w:vAlign w:val="center"/>
          </w:tcPr>
          <w:p>
            <w:pPr>
              <w:pStyle w:val="TableContents"/>
              <w:bidi w:val="0"/>
              <w:spacing w:before="0" w:after="283"/>
              <w:jc w:val="left"/>
              <w:rPr/>
            </w:pPr>
            <w:r>
              <w:rPr/>
              <w:t> </w:t>
            </w:r>
          </w:p>
        </w:tc>
      </w:tr>
      <w:tr>
        <w:trPr/>
        <w:tc>
          <w:tcPr>
            <w:tcW w:w="3414" w:type="dxa"/>
            <w:tcBorders/>
            <w:shd w:fill="FFFFFF" w:val="clear"/>
            <w:vAlign w:val="center"/>
          </w:tcPr>
          <w:p>
            <w:pPr>
              <w:pStyle w:val="TableContents"/>
              <w:bidi w:val="0"/>
              <w:spacing w:before="0" w:after="283"/>
              <w:jc w:val="left"/>
              <w:rPr/>
            </w:pPr>
            <w:r>
              <w:rPr/>
              <w:t>Phyllis R. Caldwell</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9" w:type="dxa"/>
            <w:tcBorders/>
            <w:shd w:fill="FFFFFF" w:val="clear"/>
            <w:vAlign w:val="center"/>
          </w:tcPr>
          <w:p>
            <w:pPr>
              <w:pStyle w:val="TableContents"/>
              <w:bidi w:val="0"/>
              <w:spacing w:before="0" w:after="283"/>
              <w:jc w:val="right"/>
              <w:rPr/>
            </w:pPr>
            <w:r>
              <w:rPr/>
              <w:t>12,261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7,837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456" w:type="dxa"/>
            <w:tcBorders/>
            <w:shd w:fill="FFFFFF" w:val="clear"/>
            <w:vAlign w:val="center"/>
          </w:tcPr>
          <w:p>
            <w:pPr>
              <w:pStyle w:val="TableContents"/>
              <w:bidi w:val="0"/>
              <w:spacing w:before="0" w:after="283"/>
              <w:jc w:val="right"/>
              <w:rPr/>
            </w:pPr>
            <w:r>
              <w:rPr/>
              <w:t>4,424</w:t>
            </w:r>
          </w:p>
        </w:tc>
        <w:tc>
          <w:tcPr>
            <w:tcW w:w="79" w:type="dxa"/>
            <w:tcBorders/>
            <w:shd w:fill="FFFFFF" w:val="clear"/>
            <w:vAlign w:val="center"/>
          </w:tcPr>
          <w:p>
            <w:pPr>
              <w:pStyle w:val="TableContents"/>
              <w:bidi w:val="0"/>
              <w:spacing w:before="0" w:after="283"/>
              <w:jc w:val="left"/>
              <w:rPr/>
            </w:pPr>
            <w:r>
              <w:rPr/>
              <w:t> </w:t>
            </w:r>
          </w:p>
        </w:tc>
      </w:tr>
      <w:tr>
        <w:trPr/>
        <w:tc>
          <w:tcPr>
            <w:tcW w:w="3414" w:type="dxa"/>
            <w:tcBorders/>
            <w:shd w:fill="CCEEFF" w:val="clear"/>
            <w:vAlign w:val="center"/>
          </w:tcPr>
          <w:p>
            <w:pPr>
              <w:pStyle w:val="TableContents"/>
              <w:bidi w:val="0"/>
              <w:spacing w:before="0" w:after="283"/>
              <w:jc w:val="left"/>
              <w:rPr/>
            </w:pPr>
            <w:r>
              <w:rPr/>
              <w:t>DeForest B. Soaries, Jr.</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pPr>
            <w:r>
              <w:rPr/>
              <w:t>12,261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7,837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56" w:type="dxa"/>
            <w:tcBorders/>
            <w:shd w:fill="CCEEFF" w:val="clear"/>
            <w:vAlign w:val="center"/>
          </w:tcPr>
          <w:p>
            <w:pPr>
              <w:pStyle w:val="TableContents"/>
              <w:bidi w:val="0"/>
              <w:spacing w:before="0" w:after="283"/>
              <w:jc w:val="right"/>
              <w:rPr/>
            </w:pPr>
            <w:r>
              <w:rPr/>
              <w:t>4,424</w:t>
            </w:r>
          </w:p>
        </w:tc>
        <w:tc>
          <w:tcPr>
            <w:tcW w:w="79" w:type="dxa"/>
            <w:tcBorders/>
            <w:shd w:fill="CCEEFF" w:val="clear"/>
            <w:vAlign w:val="center"/>
          </w:tcPr>
          <w:p>
            <w:pPr>
              <w:pStyle w:val="TableContents"/>
              <w:bidi w:val="0"/>
              <w:spacing w:before="0" w:after="283"/>
              <w:jc w:val="left"/>
              <w:rPr/>
            </w:pPr>
            <w:r>
              <w:rPr/>
              <w:t> </w:t>
            </w:r>
          </w:p>
        </w:tc>
      </w:tr>
      <w:tr>
        <w:trPr/>
        <w:tc>
          <w:tcPr>
            <w:tcW w:w="3414" w:type="dxa"/>
            <w:tcBorders/>
            <w:shd w:fill="FFFFFF" w:val="clear"/>
            <w:vAlign w:val="center"/>
          </w:tcPr>
          <w:p>
            <w:pPr>
              <w:pStyle w:val="TableContents"/>
              <w:bidi w:val="0"/>
              <w:spacing w:before="0" w:after="283"/>
              <w:jc w:val="left"/>
              <w:rPr/>
            </w:pPr>
            <w:r>
              <w:rPr/>
              <w:t>Kevin Stein</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9" w:type="dxa"/>
            <w:tcBorders/>
            <w:shd w:fill="FFFFFF" w:val="clear"/>
            <w:vAlign w:val="center"/>
          </w:tcPr>
          <w:p>
            <w:pPr>
              <w:pStyle w:val="TableContents"/>
              <w:bidi w:val="0"/>
              <w:spacing w:before="0" w:after="283"/>
              <w:jc w:val="right"/>
              <w:rPr/>
            </w:pPr>
            <w:r>
              <w:rPr/>
              <w:t>12,261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7,837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456" w:type="dxa"/>
            <w:tcBorders/>
            <w:shd w:fill="FFFFFF" w:val="clear"/>
            <w:vAlign w:val="center"/>
          </w:tcPr>
          <w:p>
            <w:pPr>
              <w:pStyle w:val="TableContents"/>
              <w:bidi w:val="0"/>
              <w:spacing w:before="0" w:after="283"/>
              <w:jc w:val="right"/>
              <w:rPr/>
            </w:pPr>
            <w:r>
              <w:rPr/>
              <w:t>4,424</w:t>
            </w:r>
          </w:p>
        </w:tc>
        <w:tc>
          <w:tcPr>
            <w:tcW w:w="79" w:type="dxa"/>
            <w:tcBorders/>
            <w:shd w:fill="FFFFFF" w:val="clear"/>
            <w:vAlign w:val="center"/>
          </w:tcPr>
          <w:p>
            <w:pPr>
              <w:pStyle w:val="TableContents"/>
              <w:bidi w:val="0"/>
              <w:spacing w:before="0" w:after="283"/>
              <w:jc w:val="left"/>
              <w:rPr/>
            </w:pPr>
            <w:r>
              <w:rPr/>
              <w:t> </w:t>
            </w:r>
          </w:p>
        </w:tc>
      </w:tr>
      <w:tr>
        <w:trPr/>
        <w:tc>
          <w:tcPr>
            <w:tcW w:w="341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for all Current Non-Management Directors as a Group (7 persons)</w:t>
            </w:r>
            <w:r>
              <w:rPr>
                <w:rFonts w:ascii="Times New Roman;Times;Serif" w:hAnsi="Times New Roman;Times;Serif"/>
                <w:b/>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b/>
              </w:rPr>
            </w:pPr>
            <w:r>
              <w:rPr>
                <w:b/>
              </w:rPr>
              <w:t>73,566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47,022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56" w:type="dxa"/>
            <w:tcBorders/>
            <w:shd w:fill="CCEEFF" w:val="clear"/>
            <w:vAlign w:val="center"/>
          </w:tcPr>
          <w:p>
            <w:pPr>
              <w:pStyle w:val="TableContents"/>
              <w:bidi w:val="0"/>
              <w:spacing w:before="0" w:after="283"/>
              <w:jc w:val="right"/>
              <w:rPr>
                <w:b/>
              </w:rPr>
            </w:pPr>
            <w:r>
              <w:rPr>
                <w:b/>
              </w:rPr>
              <w:t>26,544</w:t>
            </w:r>
          </w:p>
        </w:tc>
        <w:tc>
          <w:tcPr>
            <w:tcW w:w="79" w:type="dxa"/>
            <w:tcBorders/>
            <w:shd w:fill="CCEEFF" w:val="clear"/>
            <w:vAlign w:val="center"/>
          </w:tcPr>
          <w:p>
            <w:pPr>
              <w:pStyle w:val="TableContents"/>
              <w:bidi w:val="0"/>
              <w:spacing w:before="0" w:after="283"/>
              <w:jc w:val="left"/>
              <w:rPr/>
            </w:pPr>
            <w:r>
              <w:rPr/>
              <w:t> </w:t>
            </w:r>
          </w:p>
        </w:tc>
      </w:tr>
      <w:tr>
        <w:trPr/>
        <w:tc>
          <w:tcPr>
            <w:tcW w:w="3414" w:type="dxa"/>
            <w:tcBorders/>
            <w:shd w:fill="FFFFFF" w:val="clear"/>
            <w:vAlign w:val="center"/>
          </w:tcPr>
          <w:p>
            <w:pPr>
              <w:pStyle w:val="TableContents"/>
              <w:bidi w:val="0"/>
              <w:spacing w:before="0" w:after="283"/>
              <w:jc w:val="left"/>
              <w:rPr>
                <w:b/>
              </w:rPr>
            </w:pPr>
            <w:r>
              <w:rPr>
                <w:b/>
              </w:rPr>
              <w:t>Each other person who has received 5% or more of the options, warrants or rights under the Plan</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456"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3414" w:type="dxa"/>
            <w:tcBorders/>
            <w:shd w:fill="CCEEFF" w:val="clear"/>
            <w:vAlign w:val="center"/>
          </w:tcPr>
          <w:p>
            <w:pPr>
              <w:pStyle w:val="TableContents"/>
              <w:bidi w:val="0"/>
              <w:spacing w:before="0" w:after="283"/>
              <w:jc w:val="left"/>
              <w:rPr>
                <w:b/>
              </w:rPr>
            </w:pPr>
            <w:r>
              <w:rPr>
                <w:b/>
              </w:rPr>
              <w:t>All employees, including all current officers who are not executive officers or directors, as a group</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b/>
              </w:rPr>
            </w:pPr>
            <w:r>
              <w:rPr>
                <w:b/>
              </w:rPr>
              <w:t>180,543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52,676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56" w:type="dxa"/>
            <w:tcBorders/>
            <w:shd w:fill="CCEEFF" w:val="clear"/>
            <w:vAlign w:val="center"/>
          </w:tcPr>
          <w:p>
            <w:pPr>
              <w:pStyle w:val="TableContents"/>
              <w:bidi w:val="0"/>
              <w:spacing w:before="0" w:after="283"/>
              <w:jc w:val="right"/>
              <w:rPr>
                <w:b/>
              </w:rPr>
            </w:pPr>
            <w:r>
              <w:rPr>
                <w:b/>
              </w:rPr>
              <w:t>95,991</w:t>
            </w:r>
          </w:p>
        </w:tc>
        <w:tc>
          <w:tcPr>
            <w:tcW w:w="79" w:type="dxa"/>
            <w:tcBorders/>
            <w:shd w:fill="CCEEFF" w:val="clear"/>
            <w:vAlign w:val="center"/>
          </w:tcPr>
          <w:p>
            <w:pPr>
              <w:pStyle w:val="TableContents"/>
              <w:bidi w:val="0"/>
              <w:spacing w:before="0" w:after="283"/>
              <w:jc w:val="left"/>
              <w:rPr/>
            </w:pPr>
            <w:r>
              <w:rPr/>
              <w:t> </w:t>
            </w:r>
          </w:p>
        </w:tc>
      </w:tr>
      <w:tr>
        <w:trPr/>
        <w:tc>
          <w:tcPr>
            <w:tcW w:w="3414"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9" w:type="dxa"/>
            <w:tcBorders/>
            <w:shd w:fill="FFFFFF" w:val="clear"/>
            <w:vAlign w:val="center"/>
          </w:tcPr>
          <w:p>
            <w:pPr>
              <w:pStyle w:val="TableContents"/>
              <w:bidi w:val="0"/>
              <w:spacing w:before="0" w:after="283"/>
              <w:jc w:val="right"/>
              <w:rPr>
                <w:b/>
              </w:rPr>
            </w:pPr>
            <w:r>
              <w:rPr>
                <w:b/>
              </w:rPr>
              <w:t>1,105,437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184,087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456" w:type="dxa"/>
            <w:tcBorders/>
            <w:shd w:fill="FFFFFF" w:val="clear"/>
            <w:vAlign w:val="center"/>
          </w:tcPr>
          <w:p>
            <w:pPr>
              <w:pStyle w:val="TableContents"/>
              <w:bidi w:val="0"/>
              <w:spacing w:before="0" w:after="283"/>
              <w:jc w:val="right"/>
              <w:rPr>
                <w:b/>
              </w:rPr>
            </w:pPr>
            <w:r>
              <w:rPr>
                <w:b/>
              </w:rPr>
              <w:t>886,381</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Henley was not serving on the Board of Directors as of March 31, 2024.</w:t>
            </w:r>
          </w:p>
        </w:tc>
      </w:tr>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Named Executive Officers, includes Messrs. Grunenwald, Samarias and Wade, and Ms. Evans. Mr. Peach was not serving as an executive officer as of March 31, 2024.</w:t>
            </w:r>
          </w:p>
        </w:tc>
      </w:tr>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Merkle was not serving on the Board of Directors as of March 31,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Ms. Caldwell, each of the non-employee directors listed in the table above is nominated for election to the Board at the Annual Meeting in addition to Ms. Merkle.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as of the end of the most recently completed fiscal year with respect to compensation plans under which our equity securities are authorized for issuance is contained under the heading “Equity Compensation Plan Information”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 of the Amendment to the 2021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the adoption of the 2021 Plan Amendment will promote the interests of the Company and its shareholders and will help the Company and its subsidiaries to attract, retain and reward persons important to our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Board of Directors and all of the Company’s executive officers are eligible for awards under the 2021 Plan and thus have a personal interest in the approval of the 2021 Plan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for approval of the 2021 Plan Amendment will be approved if the votes cast by the holders of the shares represented at the Annual Meeting and entitled to vote in favor of the proposal exceed the votes cast opposing the proposal. Abstentions and broker “non-votes” will not be counted as votes cast and therefore will not be counted for purposes of determining whether the 2021 Plan Amendment has received a majority vote in favor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BOARD OF DIRECTORS RECOMMENDS THAT YOU VOTE “FOR” APPROVAL OF THE AMENDMENT TO THE 2021 EQUITY INCENTIVE PLAN AS DESCRIBED ABOVE AND SET FORTH IN </w:t>
      </w:r>
      <w:r>
        <w:rPr>
          <w:rFonts w:ascii="Times New Roman;Times;Serif" w:hAnsi="Times New Roman;Times;Serif"/>
          <w:b/>
          <w:i w:val="false"/>
          <w:caps w:val="false"/>
          <w:smallCaps w:val="false"/>
          <w:sz w:val="20"/>
          <w:u w:val="single"/>
        </w:rPr>
        <w:t>ANNEX A</w:t>
      </w:r>
      <w:r>
        <w:rPr>
          <w:rFonts w:ascii="Times New Roman;Times;Serif" w:hAnsi="Times New Roman;Times;Serif"/>
          <w:b/>
          <w:i w:val="false"/>
          <w:caps w:val="false"/>
          <w:smallCaps w:val="false"/>
          <w:sz w:val="20"/>
        </w:rPr>
        <w:t xml:space="preserve"> HERETO.</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 (vii) 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also includes policies and procedures that broadly cover situations in which conflicts of interest may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and Compliance Committee (R&amp;C Committee) of the Board of Directors provides independent review, approval and oversight of Related Party Transactions as required under the Policy. The R&amp;C Committee approved the Related Party Transactions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review and approval of a Related Party Transaction, the R&amp;C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R&amp;C Committee </w:t>
      </w:r>
      <w:r>
        <w:rPr>
          <w:rFonts w:ascii="Times New Roman;Times;Serif" w:hAnsi="Times New Roman;Times;Serif"/>
          <w:b w:val="false"/>
          <w:i w:val="false"/>
          <w:caps w:val="false"/>
          <w:smallCaps w:val="false"/>
          <w:sz w:val="20"/>
          <w:shd w:fill="FFFFFF" w:val="clear"/>
        </w:rPr>
        <w:t xml:space="preserve">evaluates whether the transaction is consistent with the interests of the Company and its shareholders. The R&amp;C Committee will prohibit any Related Party Transaction that the R&amp;C Committee determines to be inconsistent with the interests of the Company and its shareholders. In making this determination, the R&amp;C Committee </w:t>
      </w:r>
      <w:r>
        <w:rPr>
          <w:rFonts w:ascii="Times New Roman;Times;Serif" w:hAnsi="Times New Roman;Times;Serif"/>
          <w:b w:val="false"/>
          <w:i w:val="false"/>
          <w:caps w:val="false"/>
          <w:smallCaps w:val="false"/>
          <w:sz w:val="20"/>
        </w:rPr>
        <w:t>may consider the following factors, as well as any others it deems appropriate, to the extent relevant to the transaction: (i) whether there are any alternatives to the Related Party Transaction; (ii) whether the Related Party Transaction is on terms comparable to those available to third parties; (iii) the potential for the Related Party Transaction to lead to an actual or apparent conflict of interest and any safeguards imposed to prevent such actual or apparent conflicts, (iv) the overall fairness of the Related Party Transaction to Ocwen and (v) any impact, positive or negative, on borrowers or mortgage loan investors. The R&amp;C Committee may request or require members of management to make certain modifications to a proposed Related Party Transaction prior to its approval of such Related Party Transaction. In addition to pre-approving Related Party Transactions on a transaction-specific basis, the R&amp;C Committee may pre-approve categories of Related Party Transactions meeting certain criteria, on the basis that all such transactions merit pre-approval under the standards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Altisource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contained in filings under the Exchange Act, we understand that Deer Park Road Management Company, LP, an Ocwen shareholder reporting beneficial ownership of over 5% of our common stock, also reports beneficial ownership of 15% of the common stock of Altisource Portfolio Solutions, S.A. (Altisource) as of February 14, 2024. Pursuant to SEC guidance, we consider this shareholder to have an indirect material interest in our transactions with Altisource, and, pursuant to our Policy, we consider our transactions with Altisource and certain of its subsidiaries to be Related Party Transactions notwithstanding that such Specified Companies are not “related persons” as defined in Item 404 or “related parties” as defined in ASC 850.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Altisource is governed by a series of agreements that set forth the terms on which we do business with Altisource, including a Services Agreement, under which Altisource provides various services, such as property valuation services, property preservation and inspection services, title services, and real estate sales related services, among other things.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Certain services provided by Altisource under the Services Agreement are charged to the borrower and/or mortgage loan investor. Accordingly, such services, while derived from our loan servicing portfolio, are not reported as expenses by Ocwen. For the year ended December 31, 2023, we did not incur significant expenses payable to Altisource under these agreements, and we received payments of $1.1 million under our General Referral Fee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Oaktree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Senior Secured Notes. </w:t>
      </w:r>
      <w:r>
        <w:rPr>
          <w:rFonts w:ascii="Times New Roman;Times;Serif" w:hAnsi="Times New Roman;Times;Serif"/>
          <w:b w:val="false"/>
          <w:i w:val="false"/>
          <w:caps w:val="false"/>
          <w:smallCaps w:val="false"/>
          <w:sz w:val="20"/>
        </w:rPr>
        <w:t>On February 9, 2021, we executed an agreement with Oaktree Capital Management, L.P. to issue $285 million of Ocwen senior secured notes via a private placement in two separate tranches. The initial tranche of $199.5 million senior secured notes (the Notes) was issued on March 4, 2021 to certain special purpose entities owned by funds and accounts managed by Oaktree (the Oaktree Investors). The net proceeds before expenses from the issuance to Oaktree of the initial tranche of senior secured notes was $175.0 million (after $24.5 million of original issue discount) and was used to pay down and support the refinancing of the Company’s existing corporate debt and for general corporate purposes, including supporting growth. The Notes were issued pursuant to a Note and Warrant Purchase Agreement, dated February 9, 2021, between the Company and the Oaktree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concurrent with the initial issuance of the Notes, we issued the Oaktree Investors warrants to purchase 1,184,768 shares of our common stock at an exercise price of $26.82 per share subject to anti-dilution adjustments. The warrants may be exercised at any time until the expiration date of March 4, 2027. The warrants, however, cannot be exercised to the extent that affiliates of Oaktree would beneficially own in excess of 9.9% of our outstanding stock following such issuance without 61 days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2021, concurrent with the closing of the MAV transaction described below, we issued Oaktree the second tranche of the Notes due March 4, 2027 in an aggregate principal amount of $85.5 million with an original issue discount of $10.5 million. Concurrent with the issuance of the second tranche of Notes, Ocwen issued 261,248 warrants to Oaktree to purchase additional common stock equal to 3% of our then outstanding common stock at an exercise price of $24.31 per share, subject to anti-dilution adjustments, and 426,705 shares, or 4.9% of our fully diluted outstanding common stock, at a purchase price of $23.15 per share for an aggregate purchase price of $9.9 million. The net proceeds before expenses from the issuance to Oaktree of the additional tranche of Notes and the warrants was approximately $75.0 million (after $10.5 million of original issue discount) and, together with the proceeds from the sale of shares, was used to fund our investment in our MSR joint venture and for general corporate purposes, including to accelerate the growth of our originations and servicing businesses. The warrants may be exercised at any time through May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Board Observers. </w:t>
      </w:r>
      <w:r>
        <w:rPr>
          <w:rFonts w:ascii="Times New Roman;Times;Serif" w:hAnsi="Times New Roman;Times;Serif"/>
          <w:b w:val="false"/>
          <w:i w:val="false"/>
          <w:caps w:val="false"/>
          <w:smallCaps w:val="false"/>
          <w:sz w:val="20"/>
        </w:rPr>
        <w:t>In connection with the closing of the initial tranche of Notes to Oaktree on March 4, 2021, Messrs. Jason Keller and Brian Laibow, serving in management roles with the Oaktree Investors, joined Ocwen in the role of non-voting observers to our Board of Directors. Under our agreement with Oaktree, the Oaktree Investors may designate two Board of Directors observers for as long as the aggregate outstanding principal amount of the Notes is at least $100 million or the Oaktree Investors and their affiliates collectively own at least 15.0% of all issued and outstanding common stock of Ocwen (assuming the exercise of certain warrants held by them in full). Mr. Keller and Mr. Dante Quazzo presently serve as the Oaktree Investors’ designated Board observers.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MSR Asset Vehicle Joint Venture.</w:t>
      </w:r>
      <w:r>
        <w:rPr>
          <w:rFonts w:ascii="Times New Roman;Times;Serif" w:hAnsi="Times New Roman;Times;Serif"/>
          <w:b w:val="false"/>
          <w:i w:val="false"/>
          <w:caps w:val="false"/>
          <w:smallCaps w:val="false"/>
          <w:sz w:val="20"/>
        </w:rPr>
        <w:t xml:space="preserve"> On May 3, 2021, Ocwen and Oaktree formed a joint venture for the purpose of investing in mortgage servicing rights that PHH will subservice. Oaktree and Ocwen hold 85% and 15% interests, respectively, in MAV Canopy HoldCo I, LLC (MAV Canopy), the parent of MSR Asset Vehicle LLC, MAV Canopy’s wholly-owned operating company, and have agreed to invest equity on a pro rata basis up to a total aggregate commitment of $250.0 million over three years, subject to extension by mutual agreement. On November 2, 2022, Ocwen and Oaktree entered into an agreement modifying certain terms relating to the capitalization, management, and operations of MAV Canopy. Under the terms of the agreement, Ocwen and Oaktree agreed to increase the aggregate capital contributions to MAV Canopy by up to $250.0 million through May 2, 2024 (in addition to the then contributed capital), subject to extension. On November 1, 2023, Ocwen and Oaktree agreed to extend the investment commitment period through May 2, 2025, subject to an additional one-year extension by mutual agreement. Ocwen may elect to contribute its 15% pro rata share of the additional capital commitment. To the extent Ocwen does not contribute its pro rata share of the additional capital commitment, the ownership percentages held by Ocwen and Oaktree will be adjusted based on the parties’ current percentage interests, capital contributions, and book value. As of December 31, 2023, our investment in MAV Canopy amounted to $37.8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venture is structured to provide Oaktree with MSR investment opportunities and returns, while providing PHH scale and incremental income through subservicing and recapture services. Additionally, PHH earns direct MSR investment income through its 15% ownership stake and would be entitled to carry interest on investment returns if exceeding certain thresholds upon liquidation. Under the arrangement, MAV has a non-compete to purchase certain Fannie Mae and Freddie Mac (collectively, GSE) MSRs through specific channels in cooperation with PHH. In addition, PHH must offer MAV the first opportunity to purchase GSE MSRs sold by PHH or its affiliates that meet certain criteria, which we refer to as the right of first offer. Both the non-compete and the right of first offer are subject to various restrictions and in effect until MAV has been fully funded, or, if earlier, in the case of the right of first offer, until May 3, 2024 (subject to extension by mutual consent). In exchange, PHH receives exclusive subservicing and recapture rights, subject generally to ongoing performance and financial standards. The MAV business relationship is conducted pursuant to a number of agreements among the parties, including a Subservicing Agreement, Joint Marketing Agreement and Recapture Agreement, and Administrative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PHH has entered into sales of MSR portfolios to MAV in bulk transactions, flow sales to MAV of certain MSRs PMC purchased from a GSE Cash Window program, and flow sales to MAV of MSRs PHH recaptured from borrowers that were previously serviced on behalf of MAV. Under the Recapture Agreement, PHH sells the originated MSR for nil proceeds but retains the realized gain on loan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MAV’s servicing portfolio was comprised of $27.1 billion of MSRs acquired from unrelated third parties and $28.8 billion MSRs acquired from PHH.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SUBMISSION OF SHAREHOLDER PROPOSALS FOR 2024 ANNUAL MEETING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for Proposals to be Considered for Inclusion in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proposal which a shareholder desires to have considered for inclusion in our proxy materials relating to our 2024 Annual Meeting of Shareholders, must be received by the Secretary of Ocwen at our principal executive offices no later than December 24, 2024 and must comply with the procedures prescribed in Rule 14a-8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for Proposals Not Intended for Inclusion in Proxy Materials and for Nomination of Director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wants to present a proposal, or nominate a person for election as Director, at the 2024 Annual Meeting, we must receive written notice of the proposal or nomination no earlier than December 24, 2024 and no later than January 23, 2025,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Requests to have a shareholder proposal considered for inclusion in our 2025 proxy materials and notices of intent to present a proposal or nomination directly at the 2025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deadlines in the “advance notice” provisions of our bylaws, a shareholder who intends to solicit proxies in support of director nominees submitted under these “advance notice” provisions, to comply with the universal proxy rules, shareholders who intend to solicit proxies in support of director nominees other than our nominees at the 2025 Annual Meeting of Shareholders must include in their notice to the Company the information required by Rule 14a-19 under the Securities Exchange Act of 1934, as amended. If we change the date of the 2025 Annual Meeting of Shareholders by more than 30 days from the date of this year’s Annual Meeting, your written notice must be provided by the later of ninety (90) days prior to the date of the 2025 Annual Meeting of Shareholders or the tenth (10th) day following the day on which public announcement of the date of the 2025 Annual Meeting of Shareholders is first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our annual report on Form 10-K for the year ended December 31, 2023 will be mailed on or about April 23, 2024 to shareholders of record as of March 25, 2024. The annual report is not part of the proxy solicitation materials and can be found on our website </w:t>
      </w:r>
      <w:r>
        <w:rPr>
          <w:rFonts w:ascii="Times New Roman;Times;Serif" w:hAnsi="Times New Roman;Times;Serif"/>
          <w:b w:val="false"/>
          <w:i w:val="false"/>
          <w:caps w:val="false"/>
          <w:smallCaps w:val="false"/>
          <w:sz w:val="20"/>
          <w:u w:val="single"/>
        </w:rPr>
        <w:t xml:space="preserve">www.ocwen.com </w:t>
      </w:r>
      <w:r>
        <w:rPr>
          <w:rFonts w:ascii="Times New Roman;Times;Serif" w:hAnsi="Times New Roman;Times;Serif"/>
          <w:b w:val="false"/>
          <w:i w:val="false"/>
          <w:caps w:val="false"/>
          <w:smallCaps w:val="false"/>
          <w:sz w:val="20"/>
        </w:rPr>
        <w:t>in the Financial Information section under the “Shareholders” tab.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whose proxy is solicited and to any beneficial owner entitled to vote as of the Record Date for the meeting, on written request, a copy of the annual report on Form 10-K for the year ended December 31, 2023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will be solicited on behalf of the Board of Directors by mail or electronic means, and we will pay the solicitation costs. Copies of this proxy statement and our annual report on Form 10-K for the year ended December 31, 2023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approval of an amendment to our Articles of Incorporation to change our name to Onity Group Inc., (iii) “for” the ratification of the appointment of Deloitte &amp; Touche LLP as our independent registered public accounting firm for 2024, (iv) “for” the approval, on an advisory basis, of the compensation of our named executive officers as disclosed in this proxy statement, and (v) “for” the approval of the amendment to the 2021 Equity Incentive Plan.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2024 Annual Meeting. If you are interested in participating in the virtual Annual Meeting and voting at that time, please see “Annual Meeting Participation” above for further details on participation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and our 2023 annual report may be viewed online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OCWEN FINANCIAL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as of May 28,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of the Ocwen Financial Corporation 2021 Equity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shall be restated in its entirety as follows (all capitalized terms not defined herein shall have the meanings ascribed to them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i/>
          <w:caps w:val="false"/>
          <w:smallCaps w:val="false"/>
          <w:sz w:val="20"/>
        </w:rPr>
        <w:t>Aggregate Share Limit</w:t>
      </w:r>
      <w:r>
        <w:rPr>
          <w:rFonts w:ascii="Times New Roman;Times;Serif" w:hAnsi="Times New Roman;Times;Serif"/>
          <w:b w:val="false"/>
          <w:i w:val="false"/>
          <w:caps w:val="false"/>
          <w:smallCaps w:val="false"/>
          <w:sz w:val="20"/>
        </w:rPr>
        <w:t>. The maximum number of shares of Common Stock that may be delivered pursuant to awards granted to Eligible Persons under this Plan (the “</w:t>
      </w:r>
      <w:r>
        <w:rPr>
          <w:rFonts w:ascii="Times New Roman;Times;Serif" w:hAnsi="Times New Roman;Times;Serif"/>
          <w:b/>
          <w:i w:val="false"/>
          <w:caps w:val="false"/>
          <w:smallCaps w:val="false"/>
          <w:sz w:val="20"/>
        </w:rPr>
        <w:t>Share Limit</w:t>
      </w:r>
      <w:r>
        <w:rPr>
          <w:rFonts w:ascii="Times New Roman;Times;Serif" w:hAnsi="Times New Roman;Times;Serif"/>
          <w:b w:val="false"/>
          <w:i w:val="false"/>
          <w:caps w:val="false"/>
          <w:smallCaps w:val="false"/>
          <w:sz w:val="20"/>
        </w:rPr>
        <w:t>”) is equal to the sum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1,290,000 shares of Common Stock, 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number of shares of Common Stock available for additional award grant purposes under the Corporation’s 2017 Performance Incentive Plan (the “</w:t>
      </w:r>
      <w:r>
        <w:rPr>
          <w:rFonts w:ascii="Times New Roman;Times;Serif" w:hAnsi="Times New Roman;Times;Serif"/>
          <w:b/>
          <w:i w:val="false"/>
          <w:caps w:val="false"/>
          <w:smallCaps w:val="false"/>
          <w:sz w:val="20"/>
        </w:rPr>
        <w:t>2017 Plan</w:t>
      </w:r>
      <w:r>
        <w:rPr>
          <w:rFonts w:ascii="Times New Roman;Times;Serif" w:hAnsi="Times New Roman;Times;Serif"/>
          <w:b w:val="false"/>
          <w:i w:val="false"/>
          <w:caps w:val="false"/>
          <w:smallCaps w:val="false"/>
          <w:sz w:val="20"/>
        </w:rPr>
        <w:t>”) as of the date of stockholder approval of this Plan (the “</w:t>
      </w:r>
      <w:r>
        <w:rPr>
          <w:rFonts w:ascii="Times New Roman;Times;Serif" w:hAnsi="Times New Roman;Times;Serif"/>
          <w:b/>
          <w:i w:val="false"/>
          <w:caps w:val="false"/>
          <w:smallCaps w:val="false"/>
          <w:sz w:val="20"/>
        </w:rPr>
        <w:t>Stockholder Approval Date</w:t>
      </w:r>
      <w:r>
        <w:rPr>
          <w:rFonts w:ascii="Times New Roman;Times;Serif" w:hAnsi="Times New Roman;Times;Serif"/>
          <w:b w:val="false"/>
          <w:i w:val="false"/>
          <w:caps w:val="false"/>
          <w:smallCaps w:val="false"/>
          <w:sz w:val="20"/>
        </w:rPr>
        <w:t>”) and determined immediately prior to the termination of the authority to grant new awards under the 2017 Plan as of the Stockholder Approval Date, 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number of any shares subject to restricted stock and restricted stock unit awards granted under the 2017 Plan and the Corporation’s 2007 Equity Incentive Plan (the “</w:t>
      </w:r>
      <w:r>
        <w:rPr>
          <w:rFonts w:ascii="Times New Roman;Times;Serif" w:hAnsi="Times New Roman;Times;Serif"/>
          <w:b/>
          <w:i w:val="false"/>
          <w:caps w:val="false"/>
          <w:smallCaps w:val="false"/>
          <w:sz w:val="20"/>
        </w:rPr>
        <w:t>2007 Plan</w:t>
      </w:r>
      <w:r>
        <w:rPr>
          <w:rFonts w:ascii="Times New Roman;Times;Serif" w:hAnsi="Times New Roman;Times;Serif"/>
          <w:b w:val="false"/>
          <w:i w:val="false"/>
          <w:caps w:val="false"/>
          <w:smallCaps w:val="false"/>
          <w:sz w:val="20"/>
        </w:rPr>
        <w:t>”, and together with the 2017 Plan, the “</w:t>
      </w:r>
      <w:r>
        <w:rPr>
          <w:rFonts w:ascii="Times New Roman;Times;Serif" w:hAnsi="Times New Roman;Times;Serif"/>
          <w:b/>
          <w:i w:val="false"/>
          <w:caps w:val="false"/>
          <w:smallCaps w:val="false"/>
          <w:sz w:val="20"/>
        </w:rPr>
        <w:t>Legacy Plans</w:t>
      </w:r>
      <w:r>
        <w:rPr>
          <w:rFonts w:ascii="Times New Roman;Times;Serif" w:hAnsi="Times New Roman;Times;Serif"/>
          <w:b w:val="false"/>
          <w:i w:val="false"/>
          <w:caps w:val="false"/>
          <w:smallCaps w:val="false"/>
          <w:sz w:val="20"/>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no event shall the Share Limit exceed 1,889,443 shares (which is the sum of (i) the 1,290 000 shares set forth above, plus (ii) zero shares available under the 2017 Plan for additional award grant purposes as of the Effective Date (as such term is defined in Section 8.6.1), plus (iii) 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Times New Roman;Times;Serif" w:hAnsi="Times New Roman;Times;Serif"/>
          <w:b/>
          <w:i w:val="false"/>
          <w:caps w:val="false"/>
          <w:smallCaps w:val="false"/>
          <w:sz w:val="20"/>
        </w:rPr>
        <w:t>Full-Value Award</w:t>
      </w:r>
      <w:r>
        <w:rPr>
          <w:rFonts w:ascii="Times New Roman;Times;Serif" w:hAnsi="Times New Roman;Times;Serif"/>
          <w:b w:val="false"/>
          <w:i w:val="false"/>
          <w:caps w:val="false"/>
          <w:smallCaps w:val="false"/>
          <w:sz w:val="20"/>
        </w:rPr>
        <w:t xml:space="preserve">” means any award that is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a stock option grant or a SAR grant.</w:t>
      </w:r>
    </w:p>
    <w:p>
      <w:pPr>
        <w:pStyle w:val="TextBody"/>
        <w:bidi w:val="0"/>
        <w:spacing w:before="0" w:after="0"/>
        <w:ind w:left="0" w:right="0" w:firstLine="144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OCWEN FINANCIAL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May 25, 2021</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1. </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PURPOSE OF PLAN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Ocwen Financial Corporation 2021 Equity Incentive Plan (this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of Ocwen Financial Corporation, a Florida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pStyle w:val="TextBody"/>
        <w:bidi w:val="0"/>
        <w:spacing w:before="0" w:after="0"/>
        <w:ind w:left="0" w:right="0" w:firstLine="72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70"/>
        <w:gridCol w:w="128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ELIGIBILITY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(as such term is defined in Section 3.1) may grant awards under this Plan only to those persons that the Administrator determines to be Eligible Persons. An “</w:t>
      </w:r>
      <w:r>
        <w:rPr>
          <w:rFonts w:ascii="Times New Roman;Times;Serif" w:hAnsi="Times New Roman;Times;Serif"/>
          <w:b/>
          <w:i w:val="false"/>
          <w:caps w:val="false"/>
          <w:smallCaps w:val="false"/>
          <w:sz w:val="20"/>
        </w:rPr>
        <w:t>Eligible Person</w:t>
      </w:r>
      <w:r>
        <w:rPr>
          <w:rFonts w:ascii="Times New Roman;Times;Serif" w:hAnsi="Times New Roman;Times;Serif"/>
          <w:b w:val="false"/>
          <w:i w:val="false"/>
          <w:caps w:val="false"/>
          <w:smallCaps w:val="false"/>
          <w:sz w:val="20"/>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or other entity a majority of whose outstanding voting stock or voting power is beneficially owned directly or indirectly by the Corporation; and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Corporation.</w:t>
      </w:r>
    </w:p>
    <w:p>
      <w:pPr>
        <w:pStyle w:val="TextBody"/>
        <w:bidi w:val="0"/>
        <w:spacing w:before="0" w:after="0"/>
        <w:ind w:left="0" w:right="0" w:firstLine="72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70"/>
        <w:gridCol w:w="233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ADMINISTRATION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i/>
          <w:caps w:val="false"/>
          <w:smallCaps w:val="false"/>
          <w:sz w:val="20"/>
        </w:rPr>
        <w:t>The Administrator</w:t>
      </w:r>
      <w:r>
        <w:rPr>
          <w:rFonts w:ascii="Times New Roman;Times;Serif" w:hAnsi="Times New Roman;Times;Serif"/>
          <w:b w:val="false"/>
          <w:i w:val="false"/>
          <w:caps w:val="false"/>
          <w:smallCaps w:val="false"/>
          <w:sz w:val="20"/>
        </w:rPr>
        <w:t>. This Plan shall be administered by and all awards under this Plan shall be authorized by the Administrator.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means the Board or one or more committees (or subcommittees, 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i/>
          <w:caps w:val="false"/>
          <w:smallCaps w:val="false"/>
          <w:sz w:val="20"/>
        </w:rPr>
        <w:t>Powers of the Administrator</w:t>
      </w:r>
      <w:r>
        <w:rPr>
          <w:rFonts w:ascii="Times New Roman;Times;Serif" w:hAnsi="Times New Roman;Times;Serif"/>
          <w:b w:val="false"/>
          <w:i w:val="false"/>
          <w:caps w:val="false"/>
          <w:smallCaps w:val="false"/>
          <w:sz w:val="20"/>
        </w:rPr>
        <w:t>. Subject to the express provisions of this Plan, the Administrator is authorized and empowered to do all things necessary or desirable in connection with the authorization of awards and the administration of this Plan (in the case of a committee or delegation to one or more officers, within any express limits on the authority delegated to that committee or person(s)), including, without limitation, the authority to:</w:t>
      </w:r>
    </w:p>
    <w:p>
      <w:pPr>
        <w:pStyle w:val="TextBody"/>
        <w:bidi w:val="0"/>
        <w:spacing w:before="0" w:after="0"/>
        <w:ind w:left="0" w:right="0" w:firstLine="72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determine eligibility and, from among those persons determined to be eligible, determine the particular Eligible Persons who will receive an award under this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5.2),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approve the forms of any award agreements (which need not be identical either as to type of award or among participants);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cancel, modify, or waive the Corporation’s rights with respect to, or modify, discontinue, suspend, or terminate any or all outstanding awards, subject to any required consent under Section 8.6.5;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accelerate, waive or extend the vesting or exercisability, or modify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 provided, that the grant date of any award may not be modified once such grant date has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determine whether, and the extent to which, adjustments are required pursuant to Section 7.1 hereof and take any other actions contemplated by Section 7 in connection with the occurrence of an event of the type described in Section 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acquire or settle (subject to Sections 7 and 8.6) rights under awards in cash, stock of equivalent value, or other consideration (subject to the no repricing provision below);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determine the fair market value of the Common Stock or awards under this Plan from time to time and/or the manner in which such value will be determined.</w:t>
      </w:r>
    </w:p>
    <w:p>
      <w:pPr>
        <w:pStyle w:val="TextBody"/>
        <w:bidi w:val="0"/>
        <w:spacing w:before="0" w:after="0"/>
        <w:ind w:left="0" w:right="0" w:firstLine="144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w:t>
      </w:r>
      <w:r>
        <w:rPr>
          <w:rFonts w:ascii="Times New Roman;Times;Serif" w:hAnsi="Times New Roman;Times;Serif"/>
          <w:b/>
          <w:i/>
          <w:caps w:val="false"/>
          <w:smallCaps w:val="false"/>
          <w:sz w:val="20"/>
        </w:rPr>
        <w:t>Prohibition on Repricing</w:t>
      </w:r>
      <w:r>
        <w:rPr>
          <w:rFonts w:ascii="Times New Roman;Times;Serif" w:hAnsi="Times New Roman;Times;Serif"/>
          <w:b w:val="false"/>
          <w:i w:val="false"/>
          <w:caps w:val="false"/>
          <w:smallCaps w:val="false"/>
          <w:sz w:val="20"/>
        </w:rPr>
        <w:t>. Notwithstanding anything to the contrary in Section 3.2 and except for an adjustment pursuant to Section 7.1 or a repricing approved by stockholders, in no case may the Administrator (1) amend an outstanding stock option or stock appreciation right (“</w:t>
      </w:r>
      <w:r>
        <w:rPr>
          <w:rFonts w:ascii="Times New Roman;Times;Serif" w:hAnsi="Times New Roman;Times;Serif"/>
          <w:b/>
          <w:i w:val="false"/>
          <w:caps w:val="false"/>
          <w:smallCaps w:val="false"/>
          <w:sz w:val="20"/>
        </w:rPr>
        <w:t>SAR</w:t>
      </w:r>
      <w:r>
        <w:rPr>
          <w:rFonts w:ascii="Times New Roman;Times;Serif" w:hAnsi="Times New Roman;Times;Serif"/>
          <w:b w:val="false"/>
          <w:i w:val="false"/>
          <w:caps w:val="false"/>
          <w:smallCaps w:val="false"/>
          <w:sz w:val="20"/>
        </w:rPr>
        <w:t>”) to reduce the exercise price or base price of the award, (2) cancel, exchange, or surrender an outstanding stock option or SAR in exchange for cash or other awards at any time that the exercise price or base price of the award is greater than fair market value or under any other circumstances that would constitute repricing the award, or (3) cancel, exchange, or surrender an outstanding stock option or SAR in exchange for an option or SAR with an exercise or base price that is less than the exercise or base price of the original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3.4 </w:t>
      </w:r>
      <w:r>
        <w:rPr>
          <w:rFonts w:ascii="Times New Roman;Times;Serif" w:hAnsi="Times New Roman;Times;Serif"/>
          <w:b/>
          <w:i/>
          <w:caps w:val="false"/>
          <w:smallCaps w:val="false"/>
          <w:sz w:val="20"/>
        </w:rPr>
        <w:t>Binding Determinations</w:t>
      </w:r>
      <w:r>
        <w:rPr>
          <w:rFonts w:ascii="Times New Roman;Times;Serif" w:hAnsi="Times New Roman;Times;Serif"/>
          <w:b w:val="false"/>
          <w:i w:val="false"/>
          <w:caps w:val="false"/>
          <w:smallCaps w:val="false"/>
          <w:sz w:val="20"/>
        </w:rPr>
        <w:t>. Any determination or other action taken by, or inaction of, the Corporation, any Subsidiary, or the Administrator relating or pursuant to this Plan (or any 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applicable to ISOs, should any other award(s) fail to qualify for any intended tax treatment or be subject to tax, penalty, or interest under Section 409A of the Code or other tax penalties, should any award grant or other action with respect thereto not satisfy Rule 16b-3 promulgated under the Securities Exchange Act of 1934, as amended, or otherwise for any tax or other liability imposed on a participant with respect to an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w:t>
      </w:r>
      <w:r>
        <w:rPr>
          <w:rFonts w:ascii="Times New Roman;Times;Serif" w:hAnsi="Times New Roman;Times;Serif"/>
          <w:b/>
          <w:i/>
          <w:caps w:val="false"/>
          <w:smallCaps w:val="false"/>
          <w:sz w:val="20"/>
        </w:rPr>
        <w:t>Reliance on Experts</w:t>
      </w:r>
      <w:r>
        <w:rPr>
          <w:rFonts w:ascii="Times New Roman;Times;Serif" w:hAnsi="Times New Roman;Times;Serif"/>
          <w:b w:val="false"/>
          <w:i w:val="false"/>
          <w:caps w:val="false"/>
          <w:smallCaps w:val="false"/>
          <w:sz w:val="20"/>
        </w:rPr>
        <w:t>. In making any determination or in taking or not taking any action under this Plan, the Administrator may obtain and may 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3.6 </w:t>
      </w:r>
      <w:r>
        <w:rPr>
          <w:rFonts w:ascii="Times New Roman;Times;Serif" w:hAnsi="Times New Roman;Times;Serif"/>
          <w:b/>
          <w:i/>
          <w:caps w:val="false"/>
          <w:smallCaps w:val="false"/>
          <w:sz w:val="20"/>
        </w:rPr>
        <w:t>Delegation</w:t>
      </w:r>
      <w:r>
        <w:rPr>
          <w:rFonts w:ascii="Times New Roman;Times;Serif" w:hAnsi="Times New Roman;Times;Serif"/>
          <w:b w:val="false"/>
          <w:i w:val="false"/>
          <w:caps w:val="false"/>
          <w:smallCaps w:val="false"/>
          <w:sz w:val="20"/>
        </w:rPr>
        <w:t>. The Administrator may delegate ministerial, non-discretionary functions to individuals who are officers or employees of the Corporation or any of its Subsidiaries or to third parties.</w:t>
      </w:r>
    </w:p>
    <w:p>
      <w:pPr>
        <w:pStyle w:val="TextBody"/>
        <w:bidi w:val="0"/>
        <w:spacing w:before="0" w:after="0"/>
        <w:ind w:left="0" w:right="0" w:firstLine="72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70"/>
        <w:gridCol w:w="660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 OF COMMON STOCK SUBJECT TO THE PLAN; SHARE LIMITS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i/>
          <w:caps w:val="false"/>
          <w:smallCaps w:val="false"/>
          <w:sz w:val="20"/>
        </w:rPr>
        <w:t>Shares Available</w:t>
      </w:r>
      <w:r>
        <w:rPr>
          <w:rFonts w:ascii="Times New Roman;Times;Serif" w:hAnsi="Times New Roman;Times;Serif"/>
          <w:b w:val="false"/>
          <w:i w:val="false"/>
          <w:caps w:val="false"/>
          <w:smallCaps w:val="false"/>
          <w:sz w:val="20"/>
        </w:rPr>
        <w:t>. Subject to the provisions of Section 7.1, the capital stock that may be delivered under this Plan shall be shares of the Corporation’s authorized but unissued Common Stock and any shares of its Common Stock held as treasury shares. For purposes of this Plan,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shall mean the common stock of the Corporation and such other securities or property as may become the subject of awards under this Plan, or may become subject to such awards, pursuant to an adjustment made under Section 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i/>
          <w:caps w:val="false"/>
          <w:smallCaps w:val="false"/>
          <w:sz w:val="20"/>
        </w:rPr>
        <w:t>Aggregate Share Limit</w:t>
      </w:r>
      <w:r>
        <w:rPr>
          <w:rFonts w:ascii="Times New Roman;Times;Serif" w:hAnsi="Times New Roman;Times;Serif"/>
          <w:b w:val="false"/>
          <w:i w:val="false"/>
          <w:caps w:val="false"/>
          <w:smallCaps w:val="false"/>
          <w:sz w:val="20"/>
        </w:rPr>
        <w:t>. The maximum number of shares of Common Stock that may be delivered pursuant to awards granted to Eligible Persons under this Plan (the “</w:t>
      </w:r>
      <w:r>
        <w:rPr>
          <w:rFonts w:ascii="Times New Roman;Times;Serif" w:hAnsi="Times New Roman;Times;Serif"/>
          <w:b/>
          <w:i w:val="false"/>
          <w:caps w:val="false"/>
          <w:smallCaps w:val="false"/>
          <w:sz w:val="20"/>
        </w:rPr>
        <w:t>Share Limit</w:t>
      </w:r>
      <w:r>
        <w:rPr>
          <w:rFonts w:ascii="Times New Roman;Times;Serif" w:hAnsi="Times New Roman;Times;Serif"/>
          <w:b w:val="false"/>
          <w:i w:val="false"/>
          <w:caps w:val="false"/>
          <w:smallCaps w:val="false"/>
          <w:sz w:val="20"/>
        </w:rPr>
        <w:t>”) is equal to the sum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490,000 shares of Common Stock, 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number of shares of Common Stock available for additional award grant purposes under the Corporation’s 2017 Performance Incentive Plan (the “</w:t>
      </w:r>
      <w:r>
        <w:rPr>
          <w:rFonts w:ascii="Times New Roman;Times;Serif" w:hAnsi="Times New Roman;Times;Serif"/>
          <w:b/>
          <w:i w:val="false"/>
          <w:caps w:val="false"/>
          <w:smallCaps w:val="false"/>
          <w:sz w:val="20"/>
        </w:rPr>
        <w:t>2017 Plan</w:t>
      </w:r>
      <w:r>
        <w:rPr>
          <w:rFonts w:ascii="Times New Roman;Times;Serif" w:hAnsi="Times New Roman;Times;Serif"/>
          <w:b w:val="false"/>
          <w:i w:val="false"/>
          <w:caps w:val="false"/>
          <w:smallCaps w:val="false"/>
          <w:sz w:val="20"/>
        </w:rPr>
        <w:t>”) as of the date of stockholder approval of this Plan (the “</w:t>
      </w:r>
      <w:r>
        <w:rPr>
          <w:rFonts w:ascii="Times New Roman;Times;Serif" w:hAnsi="Times New Roman;Times;Serif"/>
          <w:b/>
          <w:i w:val="false"/>
          <w:caps w:val="false"/>
          <w:smallCaps w:val="false"/>
          <w:sz w:val="20"/>
        </w:rPr>
        <w:t>Stockholder Approval Date</w:t>
      </w:r>
      <w:r>
        <w:rPr>
          <w:rFonts w:ascii="Times New Roman;Times;Serif" w:hAnsi="Times New Roman;Times;Serif"/>
          <w:b w:val="false"/>
          <w:i w:val="false"/>
          <w:caps w:val="false"/>
          <w:smallCaps w:val="false"/>
          <w:sz w:val="20"/>
        </w:rPr>
        <w:t>”) and determined immediately prior to the termination of the authority to grant new awards under the 2017 Plan as of the Stockholder Approval Date, 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number of any shares subject to restricted stock and restricted stock unit awards granted under the 2017 Plan and the Corporation’s 2007 Equity Incentive Plan (the “</w:t>
      </w:r>
      <w:r>
        <w:rPr>
          <w:rFonts w:ascii="Times New Roman;Times;Serif" w:hAnsi="Times New Roman;Times;Serif"/>
          <w:b/>
          <w:i w:val="false"/>
          <w:caps w:val="false"/>
          <w:smallCaps w:val="false"/>
          <w:sz w:val="20"/>
        </w:rPr>
        <w:t>2007 Plan</w:t>
      </w:r>
      <w:r>
        <w:rPr>
          <w:rFonts w:ascii="Times New Roman;Times;Serif" w:hAnsi="Times New Roman;Times;Serif"/>
          <w:b w:val="false"/>
          <w:i w:val="false"/>
          <w:caps w:val="false"/>
          <w:smallCaps w:val="false"/>
          <w:sz w:val="20"/>
        </w:rPr>
        <w:t>”, and together with the 2017 Plan, the “</w:t>
      </w:r>
      <w:r>
        <w:rPr>
          <w:rFonts w:ascii="Times New Roman;Times;Serif" w:hAnsi="Times New Roman;Times;Serif"/>
          <w:b/>
          <w:i w:val="false"/>
          <w:caps w:val="false"/>
          <w:smallCaps w:val="false"/>
          <w:sz w:val="20"/>
        </w:rPr>
        <w:t>Legacy Plans</w:t>
      </w:r>
      <w:r>
        <w:rPr>
          <w:rFonts w:ascii="Times New Roman;Times;Serif" w:hAnsi="Times New Roman;Times;Serif"/>
          <w:b w:val="false"/>
          <w:i w:val="false"/>
          <w:caps w:val="false"/>
          <w:smallCaps w:val="false"/>
          <w:sz w:val="20"/>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pStyle w:val="TextBody"/>
        <w:bidi w:val="0"/>
        <w:spacing w:before="0" w:after="0"/>
        <w:ind w:left="0" w:right="0" w:firstLine="144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no event shall the Share Limit exceed 1,089,443 shares (which is the sum of (i) the 490,000 shares set forth above, plus (ii) zero shares available under the 2017 Plan for additional award grant purposes as of the Effective Date (as such term is defined in Section 8.6.1), plus (iii) 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Times New Roman;Times;Serif" w:hAnsi="Times New Roman;Times;Serif"/>
          <w:b/>
          <w:i w:val="false"/>
          <w:caps w:val="false"/>
          <w:smallCaps w:val="false"/>
          <w:sz w:val="20"/>
        </w:rPr>
        <w:t>Full-Value Award</w:t>
      </w:r>
      <w:r>
        <w:rPr>
          <w:rFonts w:ascii="Times New Roman;Times;Serif" w:hAnsi="Times New Roman;Times;Serif"/>
          <w:b w:val="false"/>
          <w:i w:val="false"/>
          <w:caps w:val="false"/>
          <w:smallCaps w:val="false"/>
          <w:sz w:val="20"/>
        </w:rPr>
        <w:t xml:space="preserve">” means any award that is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a stock option grant or a SAR grant.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Additional Share Limits</w:t>
      </w:r>
      <w:r>
        <w:rPr>
          <w:rFonts w:ascii="Times New Roman;Times;Serif" w:hAnsi="Times New Roman;Times;Serif"/>
          <w:b w:val="false"/>
          <w:i w:val="false"/>
          <w:caps w:val="false"/>
          <w:smallCaps w:val="false"/>
          <w:sz w:val="20"/>
        </w:rPr>
        <w:t>. The following limits also apply with respect to awards granted under this Plan. These limits are in addition to, not in lieu of, the aggregate Share Limit in Section 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maximum number of shares of Common Stock that may be delivered pursuant to options qualified as incentive stock options granted under this Plan is 333,333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Awards that are granted under this Plan during any one calendar year to any person who, on the grant date of the award, is a non-employee director are subject to the limits of this Section 4.3(b).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the grant date fair value of any other awards granted under this Plan during that same calendar year to that individual in his or her capacity as a non-employee director, is $300,000; provided that this limit is $400,000 as to (1) a non-employee director who is serving as the independent Chair of the Board or as a lead independent director at the time the applicable grant is made or (2) any new non-employee director for the calendar year in which the non-employee director is first elected or appointed to the Board. For purposes of this Section 4.3(b), a “non-employee director” is an individual who, on the grant date of the award, is a member of the Board who is not then an officer or employee of the Corporation or one of its Subsidiaries. For purposes of this Section 4.3(b), “grant date fair value” means the value of the award as of the date of grant of the award and as determined using the equity award valuation principles applied in the Corporation’s financial reporting. The limits of this Section 4.3(b) do not apply to, and shall be determined without taking into account, any award granted to an individual who, on the grant date of the award, is an officer or employee of the Corporation or one of its Subsidiaries. The limits of this Section 4.3(b) apply on an individual basis and not on an aggregate basis to all non-employee directors as 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Corporation may not increase the Share Limit by repurchasing shares of Common Stock on the market (by using cash received through the exercise of stock options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w:t>
      </w:r>
      <w:r>
        <w:rPr>
          <w:rFonts w:ascii="Times New Roman;Times;Serif" w:hAnsi="Times New Roman;Times;Serif"/>
          <w:b/>
          <w:i/>
          <w:caps w:val="false"/>
          <w:smallCaps w:val="false"/>
          <w:sz w:val="20"/>
        </w:rPr>
        <w:t>Share-Limit Counting Rules</w:t>
      </w:r>
      <w:r>
        <w:rPr>
          <w:rFonts w:ascii="Times New Roman;Times;Serif" w:hAnsi="Times New Roman;Times;Serif"/>
          <w:b w:val="false"/>
          <w:i w:val="false"/>
          <w:caps w:val="false"/>
          <w:smallCaps w:val="false"/>
          <w:sz w:val="20"/>
        </w:rPr>
        <w:t>. The Share Limit shall be subject to the following provisions of this Section 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that are subject to or underlie Full Value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 Shares that underlie SARS and stock options which expire or for any reason are cancelled or terminated, are forfeited, fail to vest, or for any other reason are not paid or delivered under this Plan shall be counted against the Share Limit and shall not be available for subsequent awards under this Plan.</w:t>
      </w:r>
    </w:p>
    <w:p>
      <w:pPr>
        <w:pStyle w:val="TextBody"/>
        <w:bidi w:val="0"/>
        <w:spacing w:before="0" w:after="0"/>
        <w:ind w:left="0" w:right="0" w:firstLine="144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shares of Common Stock are delivered pursuant to the exercise of a stock option or SAR granted under this Plan, the number of shares as to which the portion of the stock option or SAR so exercised relates shall be counted against the Share Limit as opposed to only counting the net number of shares actually issued in connection with such exercise. (For purposes of clarity, if a stock option or SAR right relates to 100,000 shares and is exercised as to all 100,000 shares at a time when the net number of shares due to the participant in connection with such exercise is 15,000 shares (taking into account any shares withheld to satisfy any applicable exercise or base price of the award and any shares withheld to satisfy any tax withholding obligations in connection with such exercise), 100,000 shares shall be counted against the Share Limit with respect to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Shares that are exchanged by a participant or withheld by the Corporation as full or partial payment in connection with any stock option or SAR granted under this Plan, as well as any shares exchanged by a participant or withheld by the Corporation or one of its Subsidiaries to satisfy the tax withholding obligations related to any stock option or SAR granted under this Plan, shall not be available for subsequent awards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Shares that are exchanged by a participant or withheld by the Corporation as full or partial payment in connection with any Full-Value Award granted under this Plan or the Legacy Plans, as well as any shares exchanged by a participant or withheld by the Corporation or one of its Subsidiaries to satisfy the tax withholding obligations related to any Full-Value Award granted under this Plan or the Legacy Plans, shall not be counted against the Share Limit and shall be available for subsequent awards under this Plan, provided that any one (1) share so exchanged or withheld in connection with any Full-Value Award shall be credited as 1.2 shares when determining the number of shares that shall again become available for subsequent awards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an award granted under this Plan is settled in cash or a form other than shares of Common Stock, the shares that would have been delivered had there been no such cash or other settlement shall not be counted against the Share Limit and shall be available for subsequent awards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60 shares (after giving effect to the Full-Value Award premium counting rules) shall be counted against the Share Limit). Except as otherwise provided by the Administrator, shares delivered in respect of dividend equivalent rights shall not count against any individual award limit under this Plan other than the aggregate Share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Section 8.10 for application of the share limits of this Plan, including the limits in Sections 4.2 and 4.3, with respect to assumed awards. Each of the numerical limits and references in Sections 4.2 and 4.3, and in this Section 4.4, is subject to adjustment as contemplated by Section 4.3, Section 7 and Section 8.10. The share limits of Section 4.3 shall be applied on a one-for-one basis without applying the Full-Value Award premium counting rule taken into account in determining the Share Limit.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No Fractional Shares; Minimum Issue</w:t>
      </w:r>
      <w:r>
        <w:rPr>
          <w:rFonts w:ascii="Times New Roman;Times;Serif" w:hAnsi="Times New Roman;Times;Serif"/>
          <w:b w:val="false"/>
          <w:i w:val="false"/>
          <w:caps w:val="false"/>
          <w:smallCaps w:val="false"/>
          <w:sz w:val="20"/>
        </w:rPr>
        <w:t>. Unless otherwise expressly provided by the Administrator, no fractional shares shall be delivered 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pStyle w:val="TextBody"/>
        <w:bidi w:val="0"/>
        <w:spacing w:before="0" w:after="0"/>
        <w:ind w:left="0" w:right="0" w:firstLine="72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170"/>
        <w:gridCol w:w="86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Type and Form of Awards</w:t>
      </w:r>
      <w:r>
        <w:rPr>
          <w:rFonts w:ascii="Times New Roman;Times;Serif" w:hAnsi="Times New Roman;Times;Serif"/>
          <w:b w:val="false"/>
          <w:i w:val="false"/>
          <w:caps w:val="false"/>
          <w:smallCaps w:val="false"/>
          <w:sz w:val="20"/>
        </w:rPr>
        <w:t>. The Administrator shall determine the type or types of award(s) to be made to each selected Eligible Person. 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pStyle w:val="TextBody"/>
        <w:bidi w:val="0"/>
        <w:spacing w:before="0" w:after="0"/>
        <w:ind w:left="0" w:right="0" w:firstLine="72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Stock Options</w:t>
      </w:r>
      <w:r>
        <w:rPr>
          <w:rFonts w:ascii="Times New Roman;Times;Serif" w:hAnsi="Times New Roman;Times;Serif"/>
          <w:b w:val="false"/>
          <w:i w:val="false"/>
          <w:caps w:val="false"/>
          <w:smallCaps w:val="false"/>
          <w:sz w:val="20"/>
        </w:rPr>
        <w:t>. A stock option is the grant of a right to purchase a specified number of shares of Common Stock during a specified period as determined by the Administrator. An option may be intended as an incentive stock option within the meaning of Section 422 of the Code (an “</w:t>
      </w:r>
      <w:r>
        <w:rPr>
          <w:rFonts w:ascii="Times New Roman;Times;Serif" w:hAnsi="Times New Roman;Times;Serif"/>
          <w:b/>
          <w:i w:val="false"/>
          <w:caps w:val="false"/>
          <w:smallCaps w:val="false"/>
          <w:sz w:val="20"/>
        </w:rPr>
        <w:t>ISO</w:t>
      </w:r>
      <w:r>
        <w:rPr>
          <w:rFonts w:ascii="Times New Roman;Times;Serif" w:hAnsi="Times New Roman;Times;Serif"/>
          <w:b w:val="false"/>
          <w:i w:val="false"/>
          <w:caps w:val="false"/>
          <w:smallCaps w:val="false"/>
          <w:sz w:val="20"/>
        </w:rPr>
        <w:t>”)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Additional Rules Applicable to ISOs</w:t>
      </w:r>
      <w:r>
        <w:rPr>
          <w:rFonts w:ascii="Times New Roman;Times;Serif" w:hAnsi="Times New Roman;Times;Serif"/>
          <w:b w:val="false"/>
          <w:i w:val="false"/>
          <w:caps w:val="false"/>
          <w:smallCaps w:val="false"/>
          <w:sz w:val="20"/>
        </w:rPr>
        <w:t>. To the extent that the aggregate fair market value (determined at the time of grant of the 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Stock Appreciation Rights</w:t>
      </w:r>
      <w:r>
        <w:rPr>
          <w:rFonts w:ascii="Times New Roman;Times;Serif" w:hAnsi="Times New Roman;Times;Serif"/>
          <w:b w:val="false"/>
          <w:i w:val="false"/>
          <w:caps w:val="false"/>
          <w:smallCaps w:val="false"/>
          <w:sz w:val="20"/>
        </w:rPr>
        <w:t>. A stock appreciation right or “</w:t>
      </w:r>
      <w:r>
        <w:rPr>
          <w:rFonts w:ascii="Times New Roman;Times;Serif" w:hAnsi="Times New Roman;Times;Serif"/>
          <w:b/>
          <w:i w:val="false"/>
          <w:caps w:val="false"/>
          <w:smallCaps w:val="false"/>
          <w:sz w:val="20"/>
        </w:rPr>
        <w:t>SAR</w:t>
      </w:r>
      <w:r>
        <w:rPr>
          <w:rFonts w:ascii="Times New Roman;Times;Serif" w:hAnsi="Times New Roman;Times;Serif"/>
          <w:b w:val="false"/>
          <w:i w:val="false"/>
          <w:caps w:val="false"/>
          <w:smallCaps w:val="false"/>
          <w:sz w:val="20"/>
        </w:rPr>
        <w:t>” is a right to receive a payment, in cash and/or Common Stock, equal to the excess of the fair market value of a specified number of shares of Common Stock on the date the SAR is exercised over the “</w:t>
      </w:r>
      <w:r>
        <w:rPr>
          <w:rFonts w:ascii="Times New Roman;Times;Serif" w:hAnsi="Times New Roman;Times;Serif"/>
          <w:b/>
          <w:i w:val="false"/>
          <w:caps w:val="false"/>
          <w:smallCaps w:val="false"/>
          <w:sz w:val="20"/>
        </w:rPr>
        <w:t>base price</w:t>
      </w:r>
      <w:r>
        <w:rPr>
          <w:rFonts w:ascii="Times New Roman;Times;Serif" w:hAnsi="Times New Roman;Times;Serif"/>
          <w:b w:val="false"/>
          <w:i w:val="false"/>
          <w:caps w:val="false"/>
          <w:smallCaps w:val="false"/>
          <w:sz w:val="20"/>
        </w:rPr>
        <w:t>” of the award, which base price shall be set forth in the applicable award agreement and shall be not less than 100% of the fair market value of a share of Common Stock on the date of grant of the SAR. The maximum term of a SAR shall be ten (10) years.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Other Awards; Dividend Equivalent Rights</w:t>
      </w:r>
      <w:r>
        <w:rPr>
          <w:rFonts w:ascii="Times New Roman;Times;Serif" w:hAnsi="Times New Roman;Times;Serif"/>
          <w:b w:val="false"/>
          <w:i w:val="false"/>
          <w:caps w:val="false"/>
          <w:smallCaps w:val="false"/>
          <w:sz w:val="20"/>
        </w:rPr>
        <w:t>. The other types of awards that may be granted under this Plan include: (a) stock bonuses, restricted stock, performance stock, stock units, phantom stock or similar rights to purchase or acquire shares, whether at a fixed or variable price (or no price) or fixed or variable ratio related to the Common Stock, and any of which may (but need not) be fully vested at grant (except as provided below with respect to dividend equivalent rights) or vest upon the passage of time, the occurrence of one or more events, the satisfaction of performance criteria or other conditions, or any combination thereof; or (b) cash awards. Dividend equivalent rights may be granted as a separate award or in connection with another award under this Plan; provided, however, that dividend equivalent rights may not be granted as to a stock option or SAR granted under this Plan. The payment of dividends on any unvested award or portion thereof is expressly prohibited, except with respect to restricted stock, regarding which the applicable award agreement shall provide that in the event a dividend is paid on unvested shares which fail to vest, the dividend shall be repaid by the award holder. With respect to all other awards, dividend equivalents may accrue during the vesting period and payment may be made upon vesting.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pStyle w:val="TextBody"/>
        <w:bidi w:val="0"/>
        <w:spacing w:before="0" w:after="0"/>
        <w:ind w:left="0" w:right="0" w:firstLine="144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Minimum Vesting Requirement</w:t>
      </w:r>
      <w:r>
        <w:rPr>
          <w:rFonts w:ascii="Times New Roman;Times;Serif" w:hAnsi="Times New Roman;Times;Serif"/>
          <w:b w:val="false"/>
          <w:i w:val="false"/>
          <w:caps w:val="false"/>
          <w:smallCaps w:val="false"/>
          <w:sz w:val="20"/>
        </w:rPr>
        <w:t>. Except for any accelerated vesting required pursuant to Section 7 or as provided in the next sentence, each award granted under this Plan shall be subject to a minimum vesting requirement of one year and no portion of any such award may provide that it will vest earlier than the first anniversary of the date of grant of the award other than due to the death, disability, or involuntary termination of the employment or services of the award holder, or in connection with a Change in Control (as such term is defined in Section 7.3) (the “</w:t>
      </w:r>
      <w:r>
        <w:rPr>
          <w:rFonts w:ascii="Times New Roman;Times;Serif" w:hAnsi="Times New Roman;Times;Serif"/>
          <w:b/>
          <w:i w:val="false"/>
          <w:caps w:val="false"/>
          <w:smallCaps w:val="false"/>
          <w:sz w:val="20"/>
        </w:rPr>
        <w:t>Minimum Vesting Requirement</w:t>
      </w:r>
      <w:r>
        <w:rPr>
          <w:rFonts w:ascii="Times New Roman;Times;Serif" w:hAnsi="Times New Roman;Times;Serif"/>
          <w:b w:val="false"/>
          <w:i w:val="false"/>
          <w:caps w:val="false"/>
          <w:smallCaps w:val="false"/>
          <w:sz w:val="20"/>
        </w:rPr>
        <w:t>”). Awards may be granted under this Plan with minimum vesting requirements of less than one year, or no vesting requirements, provided that the total number of shares of Common Stock subject to such awards shall not exceed 5% of the Share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5.3 </w:t>
      </w:r>
      <w:r>
        <w:rPr>
          <w:rFonts w:ascii="Times New Roman;Times;Serif" w:hAnsi="Times New Roman;Times;Serif"/>
          <w:b/>
          <w:i/>
          <w:caps w:val="false"/>
          <w:smallCaps w:val="false"/>
          <w:sz w:val="20"/>
        </w:rPr>
        <w:t>Award Agreements</w:t>
      </w:r>
      <w:r>
        <w:rPr>
          <w:rFonts w:ascii="Times New Roman;Times;Serif" w:hAnsi="Times New Roman;Times;Serif"/>
          <w:b w:val="false"/>
          <w:i w:val="false"/>
          <w:caps w:val="false"/>
          <w:smallCaps w:val="false"/>
          <w:sz w:val="20"/>
        </w:rPr>
        <w:t>. Each award shall be evidenced by a written or electronic award agreement or notice in a form approved by the Administrator (an “award agreement”),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Deferrals and Settlements</w:t>
      </w:r>
      <w:r>
        <w:rPr>
          <w:rFonts w:ascii="Times New Roman;Times;Serif" w:hAnsi="Times New Roman;Times;Serif"/>
          <w:b w:val="false"/>
          <w:i w:val="false"/>
          <w:caps w:val="false"/>
          <w:smallCaps w:val="false"/>
          <w:sz w:val="20"/>
        </w:rPr>
        <w:t>. Payment of awards may be in the form of cash, Common Stock, other awards or combinations thereof as the Administrator shall determine, and with 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Consideration for Common Stock or Awards</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xml:space="preserve"> The purchase price (if any) for any award granted under this Plan or the Common Stock to be delivered pursuant to an award, as applicable, may be paid by means of any lawful consideration as determined by the Administrator, including, without limitation, one or a combination of the following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reduction in compensation otherwise payable to the recipient of such award or for services rendered by the recipient of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cash, check payable to the order of the Corporation, or electronic funds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notice and third-party payment in such manner as may be authorized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delivery of previously owned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a reduction in the number of shares otherwise deliverable pursuant to the award;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such procedures as the Administrator may adopt, pursuant to a “cashless exercise” with a third party who provides financing for the purposes of (or who otherwise facilitates) the purchase or exercise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pStyle w:val="TextBody"/>
        <w:bidi w:val="0"/>
        <w:spacing w:before="0" w:after="0"/>
        <w:ind w:left="0" w:right="0" w:firstLine="144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Definition of Fair Market Value</w:t>
      </w:r>
      <w:r>
        <w:rPr>
          <w:rFonts w:ascii="Times New Roman;Times;Serif" w:hAnsi="Times New Roman;Times;Serif"/>
          <w:b w:val="false"/>
          <w:i w:val="false"/>
          <w:caps w:val="false"/>
          <w:smallCaps w:val="false"/>
          <w:sz w:val="20"/>
        </w:rPr>
        <w:t>. For purposes of this Plan, “fair market value” shall mean, unless otherwise determined or provided by the Administrator in the circumstances, the closing price (in regular trading) for a share of Common Stock on the New York Stock Exchange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for the date in question or, if no sales of Common Stock were reported on the Exchange on that date, the closing price (in regular trading) for a share of Common Stock on the Exchange for the next preceding day on which sales of Common Stock were reported on the Exchange. The Administrator may, however, provide with respect to one or more awards that the fair market value shall equal the closing price (in regular trading) for a share of Common Stock on the Exchange on the last trading day preceding the date in question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Limitations on Exercise and Transfer</w:t>
      </w:r>
      <w:r>
        <w:rPr>
          <w:rFonts w:ascii="Times New Roman;Times;Serif" w:hAnsi="Times New Roman;Times;Serif"/>
          <w:b w:val="false"/>
          <w:i w:val="false"/>
          <w:caps w:val="false"/>
          <w:smallCaps w:val="false"/>
          <w:sz w:val="20"/>
        </w:rPr>
        <w:t>. Unless otherwise expressly provided in (or pursuant to) this Section 5.7 or required by applicable law or the award agreement: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Exceptions</w:t>
      </w:r>
      <w:r>
        <w:rPr>
          <w:rFonts w:ascii="Times New Roman;Times;Serif" w:hAnsi="Times New Roman;Times;Serif"/>
          <w:b w:val="false"/>
          <w:i w:val="false"/>
          <w:caps w:val="false"/>
          <w:smallCaps w:val="false"/>
          <w:sz w:val="20"/>
        </w:rPr>
        <w:t>. The Administrator may permit awards to be exercised by and paid to, or otherwise transferred to, other persons or 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Further Exceptions to Limits on Transfer</w:t>
      </w:r>
      <w:r>
        <w:rPr>
          <w:rFonts w:ascii="Times New Roman;Times;Serif" w:hAnsi="Times New Roman;Times;Serif"/>
          <w:b w:val="false"/>
          <w:i w:val="false"/>
          <w:caps w:val="false"/>
          <w:smallCaps w:val="false"/>
          <w:sz w:val="20"/>
        </w:rPr>
        <w:t>. The exercise and transfer restrictions in Section 5.7.1 shall not apply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transfers to the Corporation (for example, in connection with the expiration or termination of the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any applicable limitations on ISOs and to such procedures as the Administrator may prescribe, transfers to a family member (or former family member) pursuant to a domestic relations order if received by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participant has suffered a disability, permitted transfers or exercises on behalf of the participant by his or her legal representative,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authorization by the Administrator of “cashless exercise” procedures with third parties who provide financing for the purpose of (or who otherwise facilitate) the exercise of awards consistent with applicable laws and any limitations imposed by the Administrator.</w:t>
      </w:r>
    </w:p>
    <w:p>
      <w:pPr>
        <w:pStyle w:val="TextBody"/>
        <w:bidi w:val="0"/>
        <w:spacing w:before="0" w:after="0"/>
        <w:ind w:left="0" w:right="0" w:firstLine="144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International Awards</w:t>
      </w:r>
      <w:r>
        <w:rPr>
          <w:rFonts w:ascii="Times New Roman;Times;Serif" w:hAnsi="Times New Roman;Times;Serif"/>
          <w:b w:val="false"/>
          <w:i w:val="false"/>
          <w:caps w:val="false"/>
          <w:smallCaps w:val="false"/>
          <w:sz w:val="20"/>
        </w:rPr>
        <w:t>. One or more awards may be granted to Eligible Persons who provide services to the Corporation or one of its Subsidiaries outside of the United States. Any awards granted to such persons may be granted pursuant to the terms and conditions of any applicable sub-plans, if any, appended to this Plan and approved by the Administrator from time to time. The awards so granted need not comply with other specific terms of this Plan, provided that stockholder approval of any deviation from the specific terms of this Plan is not required by applicable law or any applicable listing agency.</w:t>
      </w:r>
    </w:p>
    <w:p>
      <w:pPr>
        <w:pStyle w:val="TextBody"/>
        <w:bidi w:val="0"/>
        <w:spacing w:before="0" w:after="0"/>
        <w:ind w:left="0" w:right="0" w:firstLine="72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70"/>
        <w:gridCol w:w="683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TERMINATION OF EMPLOYMENT OR SERVICE ON AWARDS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General</w:t>
      </w:r>
      <w:r>
        <w:rPr>
          <w:rFonts w:ascii="Times New Roman;Times;Serif" w:hAnsi="Times New Roman;Times;Serif"/>
          <w:b w:val="false"/>
          <w:i w:val="false"/>
          <w:caps w:val="false"/>
          <w:smallCaps w:val="false"/>
          <w:sz w:val="20"/>
        </w:rPr>
        <w:t>. The Administrator shall establish the effect (if any) of a termination of employment or service on the rights and benefits under each award under this Plan and in so doing may make distinctions based upon, 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Events Not Deemed Terminations of Employment</w:t>
      </w:r>
      <w:r>
        <w:rPr>
          <w:rFonts w:ascii="Times New Roman;Times;Serif" w:hAnsi="Times New Roman;Times;Serif"/>
          <w:b w:val="false"/>
          <w:i w:val="false"/>
          <w:caps w:val="false"/>
          <w:smallCaps w:val="false"/>
          <w:sz w:val="20"/>
        </w:rPr>
        <w:t>. Unless the express policy of the Corporation or one of its Subsidiaries, or the Administrator, otherwise provides, or except as 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Effect of Change of Subsidiary Status</w:t>
      </w:r>
      <w:r>
        <w:rPr>
          <w:rFonts w:ascii="Times New Roman;Times;Serif" w:hAnsi="Times New Roman;Times;Serif"/>
          <w:b w:val="false"/>
          <w:i w:val="false"/>
          <w:caps w:val="false"/>
          <w:smallCaps w:val="false"/>
          <w:sz w:val="20"/>
        </w:rPr>
        <w:t>. For purposes of this Plan and any award, if an entity ceases to be a Subsidiary of the Corporation a 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pStyle w:val="TextBody"/>
        <w:bidi w:val="0"/>
        <w:spacing w:before="0" w:after="0"/>
        <w:ind w:left="0" w:right="0" w:firstLine="72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70"/>
        <w:gridCol w:w="314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ADJUSTMENTS; ACCELERATION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 </w:t>
      </w:r>
      <w:r>
        <w:rPr>
          <w:rFonts w:ascii="Times New Roman;Times;Serif" w:hAnsi="Times New Roman;Times;Serif"/>
          <w:b/>
          <w:i/>
          <w:caps w:val="false"/>
          <w:smallCaps w:val="false"/>
          <w:sz w:val="20"/>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7.2,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and/or period applicable to any then-outstanding performance-based awards to the extent necessary to preserve (but not increase) the level of incentives intended by this Plan and the then-outstanding performance-based awards.</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is intended that, if possible, any adjustments contemplated by the preceding two paragraphs be made in a manner that satisfies applicable U.S. legal, tax (including, without limitation and as applicable in the circumstances, Section 424 of the Code as to ISOs, Section 409A of the Code as to awards intended to comply therewith and not be subject to taxation thereunder, and Section 162(m) of the Code as to any Qualifying Option or SAR and any Qualified Performance-Based Award) and accounting (so as to not trigger any unintended charge to earnings with respect to such adjustment)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Without limiting the generality of Section 3.4, any good faith determination by the Administrator as to whether an adjustment is required in the circumstances pursuant to this Section 7.1, and the extent and nature of any such adjustment, shall be conclusive and binding on all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 </w:t>
      </w:r>
      <w:r>
        <w:rPr>
          <w:rFonts w:ascii="Times New Roman;Times;Serif" w:hAnsi="Times New Roman;Times;Serif"/>
          <w:b/>
          <w:i/>
          <w:caps w:val="false"/>
          <w:smallCaps w:val="false"/>
          <w:sz w:val="20"/>
        </w:rPr>
        <w:t>Corporate Transactions - Assumption and Termination of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event in which the Corporation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Corporation, in any case in connection with which the Corporation does not survive or does not survive as a public company in respect of its Common Stock), then the Administrator may make 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any event described in the preceding sentence in connection with which the Administrator has made provision for the award to be terminated (and the Administrator has not made a provision for the substitution, assumption, exchange or other continuation or settlement of the award or the award otherwise would not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award granted under this Plan shall provide that such award will automatically accelerate and become vested upon a Change in Control other than as provided in Section 7.2(a) (i.e., in connection with a termination or settlement of the award in connection with a transaction referenced in Section 7.2(a)). For clarity, the Administrator may provide, as to one or more awards granted under this Plan and subject to the minimum vesting provisions of Section 5.2, that the award will accelerate and become vested should the award holder’s employment or service terminate (including, but not limited to, in connection with a Change in Control) in such circumstances as the Administrator may provide.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generality of Section 3.4, any good faith determination by the Administrator pursuant to its authority under this Section 7.2 shall be conclusive and binding on all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Section 7.2(b), the Administrator may override the provisions of this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this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Definition of Change in Control</w:t>
      </w:r>
      <w:r>
        <w:rPr>
          <w:rFonts w:ascii="Times New Roman;Times;Serif" w:hAnsi="Times New Roman;Times;Serif"/>
          <w:b w:val="false"/>
          <w:i w:val="false"/>
          <w:caps w:val="false"/>
          <w:smallCaps w:val="false"/>
          <w:sz w:val="20"/>
        </w:rPr>
        <w:t>. As used in this Plan,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mean the occurrence, after the Effective Date, of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(as such term is used in Sections 13(d) and 14(d) of the Exchange Act,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as the context may require) of thirty-three and one third percent or more of (i) the then outstanding shares of the Corporation’s common stock (“</w:t>
      </w:r>
      <w:r>
        <w:rPr>
          <w:rFonts w:ascii="Times New Roman;Times;Serif" w:hAnsi="Times New Roman;Times;Serif"/>
          <w:b/>
          <w:i w:val="false"/>
          <w:caps w:val="false"/>
          <w:smallCaps w:val="false"/>
          <w:sz w:val="20"/>
        </w:rPr>
        <w:t>Outstanding Company Common Stock</w:t>
      </w:r>
      <w:r>
        <w:rPr>
          <w:rFonts w:ascii="Times New Roman;Times;Serif" w:hAnsi="Times New Roman;Times;Serif"/>
          <w:b w:val="false"/>
          <w:i w:val="false"/>
          <w:caps w:val="false"/>
          <w:smallCaps w:val="false"/>
          <w:sz w:val="20"/>
        </w:rPr>
        <w:t>”) or (ii) securities representing thirty-three and one-third percent or more of the combined voting power of the Corporation’s then outstanding voting securities (“</w:t>
      </w:r>
      <w:r>
        <w:rPr>
          <w:rFonts w:ascii="Times New Roman;Times;Serif" w:hAnsi="Times New Roman;Times;Serif"/>
          <w:b/>
          <w:i w:val="false"/>
          <w:caps w:val="false"/>
          <w:smallCaps w:val="false"/>
          <w:sz w:val="20"/>
        </w:rPr>
        <w:t>Outstanding Company Voting Securities</w:t>
      </w:r>
      <w:r>
        <w:rPr>
          <w:rFonts w:ascii="Times New Roman;Times;Serif" w:hAnsi="Times New Roman;Times;Serif"/>
          <w:b w:val="false"/>
          <w:i w:val="false"/>
          <w:caps w:val="false"/>
          <w:smallCaps w:val="false"/>
          <w:sz w:val="20"/>
        </w:rPr>
        <w:t>”) (in each case, other than an acquisition in the context of a merger, consolidation, reorganization, asset sale or other extraordinary transaction covered by, and which does not constitute a Change in Control Event under, clause (c)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“Incumbent Directors”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A-12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Consummation of a reorganization, merger, statutory share exchange or consolidation or similar extraordinary corporate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 public offering of the Corporation’s capital stock)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Approval by the stockholders of the Corporation of a complete liquidation or dissolution of the Corporation other than in the context of a transaction covered by, and that does not constitute a Change in Control under, clause (c) above.</w:t>
      </w:r>
    </w:p>
    <w:p>
      <w:pPr>
        <w:pStyle w:val="TextBody"/>
        <w:bidi w:val="0"/>
        <w:spacing w:before="0" w:after="0"/>
        <w:ind w:left="0" w:right="0" w:firstLine="144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170"/>
        <w:gridCol w:w="195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9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Compliance with Laws</w:t>
      </w:r>
      <w:r>
        <w:rPr>
          <w:rFonts w:ascii="Times New Roman;Times;Serif" w:hAnsi="Times New Roman;Times;Serif"/>
          <w:b w:val="false"/>
          <w:i w:val="false"/>
          <w:caps w:val="false"/>
          <w:smallCaps w:val="false"/>
          <w:sz w:val="20"/>
        </w:rPr>
        <w:t>. This Plan, the granting and vesting of awards under this Plan, the offer, issuance and delivery of shares of Common Stock,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No Rights to Award</w:t>
      </w:r>
      <w:r>
        <w:rPr>
          <w:rFonts w:ascii="Times New Roman;Times;Serif" w:hAnsi="Times New Roman;Times;Serif"/>
          <w:b w:val="false"/>
          <w:i w:val="false"/>
          <w:caps w:val="false"/>
          <w:smallCaps w:val="false"/>
          <w:sz w:val="20"/>
        </w:rPr>
        <w:t>. No person shall have any claim or rights to be granted an award (or additional awards, as the case may be) under this Plan, subject to any express contractual rights (set forth in a document other than this Plan)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8.3 </w:t>
      </w:r>
      <w:r>
        <w:rPr>
          <w:rFonts w:ascii="Times New Roman;Times;Serif" w:hAnsi="Times New Roman;Times;Serif"/>
          <w:b/>
          <w:i/>
          <w:caps w:val="false"/>
          <w:smallCaps w:val="false"/>
          <w:sz w:val="20"/>
        </w:rPr>
        <w:t>No Employment/Service Contract</w:t>
      </w:r>
      <w:r>
        <w:rPr>
          <w:rFonts w:ascii="Times New Roman;Times;Serif" w:hAnsi="Times New Roman;Times;Serif"/>
          <w:b w:val="false"/>
          <w:i w:val="false"/>
          <w:caps w:val="false"/>
          <w:smallCaps w:val="false"/>
          <w:sz w:val="20"/>
        </w:rPr>
        <w:t>. Nothing contained in this Plan (or in any other documents under this Plan or in any award) shall confer 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Plan Not Funded</w:t>
      </w:r>
      <w:r>
        <w:rPr>
          <w:rFonts w:ascii="Times New Roman;Times;Serif" w:hAnsi="Times New Roman;Times;Serif"/>
          <w:b w:val="false"/>
          <w:i w:val="false"/>
          <w:caps w:val="false"/>
          <w:smallCaps w:val="false"/>
          <w:sz w:val="20"/>
        </w:rPr>
        <w:t>. Awards payable under this Plan shall be payable in shares or from the general assets of the Corporation, and no special 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Tax Withholding</w:t>
      </w:r>
      <w:r>
        <w:rPr>
          <w:rFonts w:ascii="Times New Roman;Times;Serif" w:hAnsi="Times New Roman;Times;Serif"/>
          <w:b w:val="false"/>
          <w:i w:val="false"/>
          <w:caps w:val="false"/>
          <w:smallCaps w:val="false"/>
          <w:sz w:val="20"/>
        </w:rPr>
        <w:t>. Upon any exercise, vesting, or payment of any award, or upon the disposition of shares of Common Stock acquired pursuant 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to withhold with respect to such award event or payment. Such arrangements may include (but are not limited to) any one of (or a combination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to withhold with respect to such award event or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to withhold with respect to such award event or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Effective Date, Termination and Suspension,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This Plan is effective as of April 14, 2021, the date of its approval by the Board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This Plan shall be submitted for and subject to stockholder approval no later than twelve months after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Board Authorization</w:t>
      </w:r>
      <w:r>
        <w:rPr>
          <w:rFonts w:ascii="Times New Roman;Times;Serif" w:hAnsi="Times New Roman;Times;Serif"/>
          <w:b w:val="false"/>
          <w:i w:val="false"/>
          <w:caps w:val="false"/>
          <w:smallCaps w:val="false"/>
          <w:sz w:val="20"/>
        </w:rPr>
        <w:t>. The Board may, at any time, terminate or, from time to time, amend, modify or suspend this Plan, in whole or in part. No awards may be granted during any period that the Board suspends this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Stockholder Approval</w:t>
      </w:r>
      <w:r>
        <w:rPr>
          <w:rFonts w:ascii="Times New Roman;Times;Serif" w:hAnsi="Times New Roman;Times;Serif"/>
          <w:b w:val="false"/>
          <w:i w:val="false"/>
          <w:caps w:val="false"/>
          <w:smallCaps w:val="false"/>
          <w:sz w:val="20"/>
        </w:rPr>
        <w:t>. Only to the extent then required by applicable law or deemed necessary or advisable by the Board, any amendment to this Plan shall be subject to stockholder approval.</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A-14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Amendments to Awards</w:t>
      </w:r>
      <w:r>
        <w:rPr>
          <w:rFonts w:ascii="Times New Roman;Times;Serif" w:hAnsi="Times New Roman;Times;Serif"/>
          <w:b w:val="false"/>
          <w:i w:val="false"/>
          <w:caps w:val="false"/>
          <w:smallCaps w:val="false"/>
          <w:sz w:val="20"/>
        </w:rPr>
        <w:t>. Without limiting any other express authority of the Administrator under (but subject to) the express limits 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no-repricing provision of Section 3.3.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8.6.5 </w:t>
      </w:r>
      <w:r>
        <w:rPr>
          <w:rFonts w:ascii="Times New Roman;Times;Serif" w:hAnsi="Times New Roman;Times;Serif"/>
          <w:b/>
          <w:i/>
          <w:caps w:val="false"/>
          <w:smallCaps w:val="false"/>
          <w:sz w:val="20"/>
        </w:rPr>
        <w:t>Limitations on Amendments to Plan and Awards</w:t>
      </w:r>
      <w:r>
        <w:rPr>
          <w:rFonts w:ascii="Times New Roman;Times;Serif" w:hAnsi="Times New Roman;Times;Serif"/>
          <w:b w:val="false"/>
          <w:i w:val="false"/>
          <w:caps w:val="false"/>
          <w:smallCaps w:val="false"/>
          <w:sz w:val="20"/>
        </w:rPr>
        <w:t>. No amendment, suspension or termination of this Plan or amendment of any 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Privileges of Stock Ownership</w:t>
      </w:r>
      <w:r>
        <w:rPr>
          <w:rFonts w:ascii="Times New Roman;Times;Serif" w:hAnsi="Times New Roman;Times;Serif"/>
          <w:b w:val="false"/>
          <w:i w:val="false"/>
          <w:caps w:val="false"/>
          <w:smallCaps w:val="false"/>
          <w:sz w:val="20"/>
        </w:rPr>
        <w:t>. Except as otherwise expressly authorized by the Administrator or this Plan, a participant shall not be entitled to any privilege of stock 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8.8 </w:t>
      </w:r>
      <w:r>
        <w:rPr>
          <w:rFonts w:ascii="Times New Roman;Times;Serif" w:hAnsi="Times New Roman;Times;Serif"/>
          <w:b/>
          <w:i/>
          <w:caps w:val="false"/>
          <w:smallCaps w:val="false"/>
          <w:sz w:val="20"/>
        </w:rPr>
        <w:t>Governing Law; Severability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Choice of Law</w:t>
      </w:r>
      <w:r>
        <w:rPr>
          <w:rFonts w:ascii="Times New Roman;Times;Serif" w:hAnsi="Times New Roman;Times;Serif"/>
          <w:b w:val="false"/>
          <w:i w:val="false"/>
          <w:caps w:val="false"/>
          <w:smallCaps w:val="false"/>
          <w:sz w:val="20"/>
        </w:rPr>
        <w:t>. This Plan, the awards, all documents evidencing awards and all other related documents shall be governed by, and construed in accordance with the laws of the State of Florida, notwithstanding any Florida or other conflict of law provision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8.8.2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 court of competent jurisdiction holds any provision invalid and unenforceable, the remaining provisions of this Plan shall continue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8.8.3 </w:t>
      </w:r>
      <w:r>
        <w:rPr>
          <w:rFonts w:ascii="Times New Roman;Times;Serif" w:hAnsi="Times New Roman;Times;Serif"/>
          <w:b/>
          <w:i/>
          <w:caps w:val="false"/>
          <w:smallCaps w:val="false"/>
          <w:sz w:val="20"/>
        </w:rPr>
        <w:t>Plan Construction</w:t>
      </w:r>
      <w:r>
        <w:rPr>
          <w:rFonts w:ascii="Times New Roman;Times;Serif" w:hAnsi="Times New Roman;Times;Serif"/>
          <w:b w:val="false"/>
          <w:i w:val="false"/>
          <w:caps w:val="false"/>
          <w:smallCaps w:val="false"/>
          <w:sz w:val="20"/>
        </w:rPr>
        <w:t>. It is intended that this Plan, as well as awards granted under this Plan, comply with, and not result in any tax, penalty or interest under, Section 409A of the Code. This Plan, as well as awards granted under this Plan, shall be construed and interpreted accordingly.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Captions</w:t>
      </w:r>
      <w:r>
        <w:rPr>
          <w:rFonts w:ascii="Times New Roman;Times;Serif" w:hAnsi="Times New Roman;Times;Serif"/>
          <w:b w:val="false"/>
          <w:i w:val="false"/>
          <w:caps w:val="false"/>
          <w:smallCaps w:val="false"/>
          <w:sz w:val="20"/>
        </w:rPr>
        <w:t>. Captions and headings are given to the sections and subsections of this Plan solely as a convenience to facilitate reference. Such headings shall not be deemed in any way material or relevant to the construction or interpretation of this Plan or any provision thereof.</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Stock-Based Awards in Substitution for Stock Options or Awards Granted by Other Corporation</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z w:val="20"/>
        </w:rPr>
        <w:t>Awards may be granted to Eligible 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8.11 </w:t>
      </w:r>
      <w:r>
        <w:rPr>
          <w:rFonts w:ascii="Times New Roman;Times;Serif" w:hAnsi="Times New Roman;Times;Serif"/>
          <w:b/>
          <w:i/>
          <w:caps w:val="false"/>
          <w:smallCaps w:val="false"/>
          <w:sz w:val="20"/>
        </w:rPr>
        <w:t>Non-Exclusivity of Plan</w:t>
      </w:r>
      <w:r>
        <w:rPr>
          <w:rFonts w:ascii="Times New Roman;Times;Serif" w:hAnsi="Times New Roman;Times;Serif"/>
          <w:b w:val="false"/>
          <w:i w:val="false"/>
          <w:caps w:val="false"/>
          <w:smallCaps w:val="false"/>
          <w:sz w:val="20"/>
        </w:rPr>
        <w:t>. Nothing in this Plan shall limit or be deemed to limit the authority of the Board or the Administrator to grant awards or authorize any other compensation, with or without reference to the Common Stock, under any other plan or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8.12 </w:t>
      </w:r>
      <w:r>
        <w:rPr>
          <w:rFonts w:ascii="Times New Roman;Times;Serif" w:hAnsi="Times New Roman;Times;Serif"/>
          <w:b/>
          <w:i/>
          <w:caps w:val="false"/>
          <w:smallCaps w:val="false"/>
          <w:sz w:val="20"/>
        </w:rPr>
        <w:t>No Corporate Action Restriction</w:t>
      </w:r>
      <w:r>
        <w:rPr>
          <w:rFonts w:ascii="Times New Roman;Times;Serif" w:hAnsi="Times New Roman;Times;Serif"/>
          <w:b w:val="false"/>
          <w:i w:val="false"/>
          <w:caps w:val="false"/>
          <w:smallCaps w:val="false"/>
          <w:sz w:val="20"/>
        </w:rPr>
        <w:t>. The existence of this Plan, the award agreements and the awards granted hereunder shall not limit, affect, or restrict in any way the right or power of the Corporation or any 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 Awards need not be structured so as to be deductible for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Other Company Benefit and Compensation Programs</w:t>
      </w:r>
      <w:r>
        <w:rPr>
          <w:rFonts w:ascii="Times New Roman;Times;Serif" w:hAnsi="Times New Roman;Times;Serif"/>
          <w:b w:val="false"/>
          <w:i w:val="false"/>
          <w:caps w:val="false"/>
          <w:smallCaps w:val="false"/>
          <w:sz w:val="20"/>
        </w:rPr>
        <w:t>. Payments and other benefits received by a participant under an award made 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8.14 </w:t>
      </w:r>
      <w:r>
        <w:rPr>
          <w:rFonts w:ascii="Times New Roman;Times;Serif" w:hAnsi="Times New Roman;Times;Serif"/>
          <w:b/>
          <w:i/>
          <w:caps w:val="false"/>
          <w:smallCaps w:val="false"/>
          <w:sz w:val="20"/>
        </w:rPr>
        <w:t>Clawback Policy and Forfeiture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8.14.1</w:t>
      </w:r>
      <w:r>
        <w:rPr>
          <w:rFonts w:ascii="Times New Roman;Times;Serif" w:hAnsi="Times New Roman;Times;Serif"/>
          <w:b w:val="false"/>
          <w:i w:val="false"/>
          <w:caps w:val="false"/>
          <w:smallCaps w:val="false"/>
          <w:sz w:val="20"/>
        </w:rPr>
        <w:t xml:space="preserve"> All awards granted under this Plan (including any proceeds, gains or other economic benefit actually or constructively received by the award holder upon any receipt, vesting, payment or exercise of any award or upon the receipt or resale of any shares of Common Stock underlying the award) are subject to the terms and provisions of the Corporation’s recoupment, clawback or similar policy as it may be in effect from time to time, as well as any similar provisions of applicable law, such as the Dodd-Frank Wall Street Reform and Consumer Protection Act and any rules or regulations promulgated thereunder,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A-16</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63145</Words>
  <Characters>341651</Characters>
  <CharactersWithSpaces>407127</CharactersWithSpaces>
  <Paragraphs>9570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