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427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For the fiscal year ended December 31, 2005</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For the transition period from: ___________to ___________</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Commission File No. 1-13219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OCWEN FINANCIAL CORPORATION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our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8"/>
              </w:rPr>
              <w:t>Florida</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65-0039856</w:t>
            </w:r>
          </w:p>
        </w:tc>
      </w:tr>
      <w:tr>
        <w:trPr>
          <w:trHeight w:val="168"/>
        </w:trPr>
        <w:tc>
          <w:tcPr>
            <w:tcW w:w="4340" w:type="dxa"/>
            <w:vAlign w:val="bottom"/>
          </w:tcPr>
          <w:p>
            <w:pPr>
              <w:jc w:val="center"/>
              <w:ind w:right="827"/>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center"/>
              <w:ind w:right="827"/>
              <w:spacing w:after="0" w:line="168" w:lineRule="exact"/>
              <w:rPr>
                <w:sz w:val="20"/>
                <w:szCs w:val="20"/>
                <w:color w:val="auto"/>
              </w:rPr>
            </w:pPr>
            <w:r>
              <w:rPr>
                <w:rFonts w:ascii="Courier New" w:cs="Courier New" w:eastAsia="Courier New" w:hAnsi="Courier New"/>
                <w:sz w:val="15"/>
                <w:szCs w:val="15"/>
                <w:color w:val="auto"/>
                <w:w w:val="97"/>
              </w:rPr>
              <w:t>(State or other jurisdiction of</w:t>
            </w:r>
          </w:p>
        </w:tc>
        <w:tc>
          <w:tcPr>
            <w:tcW w:w="18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340" w:type="dxa"/>
            <w:vAlign w:val="bottom"/>
          </w:tcPr>
          <w:p>
            <w:pPr>
              <w:jc w:val="center"/>
              <w:ind w:right="92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4340" w:type="dxa"/>
            <w:vAlign w:val="bottom"/>
          </w:tcPr>
          <w:p>
            <w:pPr>
              <w:jc w:val="center"/>
              <w:ind w:right="907"/>
              <w:spacing w:after="0"/>
              <w:rPr>
                <w:sz w:val="20"/>
                <w:szCs w:val="20"/>
                <w:color w:val="auto"/>
              </w:rPr>
            </w:pPr>
            <w:r>
              <w:rPr>
                <w:rFonts w:ascii="Courier New" w:cs="Courier New" w:eastAsia="Courier New" w:hAnsi="Courier New"/>
                <w:sz w:val="15"/>
                <w:szCs w:val="15"/>
                <w:color w:val="auto"/>
                <w:w w:val="97"/>
              </w:rPr>
              <w:t>1661 Worthington Road, Suite 100</w:t>
            </w:r>
          </w:p>
        </w:tc>
        <w:tc>
          <w:tcPr>
            <w:tcW w:w="1880" w:type="dxa"/>
            <w:vAlign w:val="bottom"/>
          </w:tcPr>
          <w:p>
            <w:pPr>
              <w:spacing w:after="0"/>
              <w:rPr>
                <w:sz w:val="24"/>
                <w:szCs w:val="24"/>
                <w:color w:val="auto"/>
              </w:rPr>
            </w:pPr>
          </w:p>
        </w:tc>
      </w:tr>
      <w:tr>
        <w:trPr>
          <w:trHeight w:val="168"/>
        </w:trPr>
        <w:tc>
          <w:tcPr>
            <w:tcW w:w="4340" w:type="dxa"/>
            <w:vAlign w:val="bottom"/>
          </w:tcPr>
          <w:p>
            <w:pPr>
              <w:jc w:val="center"/>
              <w:ind w:right="927"/>
              <w:spacing w:after="0" w:line="168" w:lineRule="exact"/>
              <w:rPr>
                <w:sz w:val="20"/>
                <w:szCs w:val="20"/>
                <w:color w:val="auto"/>
              </w:rPr>
            </w:pPr>
            <w:r>
              <w:rPr>
                <w:rFonts w:ascii="Courier New" w:cs="Courier New" w:eastAsia="Courier New" w:hAnsi="Courier New"/>
                <w:sz w:val="15"/>
                <w:szCs w:val="15"/>
                <w:color w:val="auto"/>
                <w:w w:val="97"/>
              </w:rPr>
              <w:t>West Palm Beach, Florida</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33409</w:t>
            </w:r>
          </w:p>
        </w:tc>
      </w:tr>
      <w:tr>
        <w:trPr>
          <w:trHeight w:val="168"/>
        </w:trPr>
        <w:tc>
          <w:tcPr>
            <w:tcW w:w="4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7"/>
              </w:rPr>
              <w:t>- ---------------------------------------</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center"/>
              <w:ind w:right="84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w:t>
            </w:r>
          </w:p>
        </w:tc>
        <w:tc>
          <w:tcPr>
            <w:tcW w:w="18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(Zip Code)</w:t>
            </w:r>
          </w:p>
        </w:tc>
      </w:tr>
      <w:tr>
        <w:trPr>
          <w:trHeight w:val="336"/>
        </w:trPr>
        <w:tc>
          <w:tcPr>
            <w:tcW w:w="4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 682-8000</w:t>
            </w:r>
          </w:p>
        </w:tc>
        <w:tc>
          <w:tcPr>
            <w:tcW w:w="1880" w:type="dxa"/>
            <w:vAlign w:val="bottom"/>
          </w:tcPr>
          <w:p>
            <w:pPr>
              <w:spacing w:after="0"/>
              <w:rPr>
                <w:sz w:val="24"/>
                <w:szCs w:val="24"/>
                <w:color w:val="auto"/>
              </w:rPr>
            </w:pPr>
          </w:p>
        </w:tc>
      </w:tr>
    </w:tbl>
    <w:p>
      <w:pPr>
        <w:ind w:left="1240"/>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ind w:left="440"/>
        <w:spacing w:after="0"/>
        <w:tabs>
          <w:tab w:leader="none" w:pos="3840" w:val="left"/>
        </w:tabs>
        <w:rPr>
          <w:sz w:val="20"/>
          <w:szCs w:val="20"/>
          <w:color w:val="auto"/>
        </w:rPr>
      </w:pPr>
      <w:r>
        <w:rPr>
          <w:rFonts w:ascii="Courier New" w:cs="Courier New" w:eastAsia="Courier New" w:hAnsi="Courier New"/>
          <w:sz w:val="15"/>
          <w:szCs w:val="15"/>
          <w:color w:val="auto"/>
        </w:rPr>
        <w:t>Common Stock, $.01 par value</w:t>
      </w:r>
      <w:r>
        <w:rPr>
          <w:sz w:val="20"/>
          <w:szCs w:val="20"/>
          <w:color w:val="auto"/>
        </w:rPr>
        <w:tab/>
      </w:r>
      <w:r>
        <w:rPr>
          <w:rFonts w:ascii="Courier New" w:cs="Courier New" w:eastAsia="Courier New" w:hAnsi="Courier New"/>
          <w:sz w:val="14"/>
          <w:szCs w:val="14"/>
          <w:color w:val="auto"/>
        </w:rPr>
        <w:t>New York Stock Exchange (NYSE)</w:t>
      </w:r>
    </w:p>
    <w:p>
      <w:pPr>
        <w:jc w:val="right"/>
        <w:ind w:right="3239"/>
        <w:spacing w:after="0"/>
        <w:tabs>
          <w:tab w:leader="none" w:pos="374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(Name of each exchange on which registered)</w:t>
      </w:r>
    </w:p>
    <w:p>
      <w:pPr>
        <w:spacing w:after="0" w:line="17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Securities registered pursuant to Section 12 (g) of the Act: Not applicable.</w:t>
      </w:r>
    </w:p>
    <w:p>
      <w:pPr>
        <w:spacing w:after="0" w:line="178"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by check mark if the registrant is a well-known seasoned issuer, as defined in Rule 405 of the Securities Act. Yes [ ] No [X]</w:t>
      </w:r>
    </w:p>
    <w:p>
      <w:pPr>
        <w:spacing w:after="0" w:line="173" w:lineRule="exact"/>
        <w:rPr>
          <w:sz w:val="24"/>
          <w:szCs w:val="24"/>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Indicate by check mark if the registrant is not required to file reports pursuant to Section 13 or Section 15(d) of the Act. Yes [ ] No [X]</w:t>
      </w:r>
    </w:p>
    <w:p>
      <w:pPr>
        <w:spacing w:after="0" w:line="160"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55" w:lineRule="exact"/>
        <w:rPr>
          <w:sz w:val="24"/>
          <w:szCs w:val="24"/>
          <w:color w:val="auto"/>
        </w:rPr>
      </w:pPr>
    </w:p>
    <w:p>
      <w:pPr>
        <w:spacing w:after="0"/>
        <w:tabs>
          <w:tab w:leader="none" w:pos="2620" w:val="left"/>
          <w:tab w:leader="none" w:pos="4720" w:val="left"/>
        </w:tabs>
        <w:rPr>
          <w:sz w:val="20"/>
          <w:szCs w:val="20"/>
          <w:color w:val="auto"/>
        </w:rPr>
      </w:pPr>
      <w:r>
        <w:rPr>
          <w:rFonts w:ascii="Courier New" w:cs="Courier New" w:eastAsia="Courier New" w:hAnsi="Courier New"/>
          <w:sz w:val="15"/>
          <w:szCs w:val="15"/>
          <w:color w:val="auto"/>
        </w:rPr>
        <w:t>Large Accelerated filer [ ]</w:t>
        <w:tab/>
        <w:t>Accelerated filer [X]</w:t>
      </w:r>
      <w:r>
        <w:rPr>
          <w:sz w:val="20"/>
          <w:szCs w:val="20"/>
          <w:color w:val="auto"/>
        </w:rPr>
        <w:tab/>
      </w:r>
      <w:r>
        <w:rPr>
          <w:rFonts w:ascii="Courier New" w:cs="Courier New" w:eastAsia="Courier New" w:hAnsi="Courier New"/>
          <w:sz w:val="14"/>
          <w:szCs w:val="14"/>
          <w:color w:val="auto"/>
        </w:rPr>
        <w:t>Non-accelerated filer [ ]</w:t>
      </w:r>
    </w:p>
    <w:p>
      <w:pPr>
        <w:spacing w:after="0" w:line="173"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 shell company (as defined in Rule 12b-2 of the Act) Yes [ ] No [X]</w:t>
      </w:r>
    </w:p>
    <w:p>
      <w:pPr>
        <w:spacing w:after="0" w:line="173"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Aggregate market value of the Common Stock, $0.01 par value, held by nonaffiliates of the registrant, computed by reference to the closing price as reported on the NYSE as of the close of business on June 30, 2005: $271,692,000 (for purposes of this calculation affiliates include only directors and executive officers of the registrant).</w:t>
      </w:r>
    </w:p>
    <w:p>
      <w:pPr>
        <w:spacing w:after="0" w:line="174"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Number of shares of Common Stock, $0.01 par value, outstanding as of March 10, 2006: 63,358,466 shares</w:t>
      </w:r>
    </w:p>
    <w:p>
      <w:pPr>
        <w:spacing w:after="0" w:line="173" w:lineRule="exact"/>
        <w:rPr>
          <w:sz w:val="24"/>
          <w:szCs w:val="24"/>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DOCUMENTS INCORPORATED BY REFERENCE: Portions of our definitive Proxy Statement with respect to our Annual Meeting of Shareholders to be held on May 4, 2006, are incorporated by reference into Part III, Items 10 - 12 and 14.</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OCWEN FINANCIAL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2005 FORM 10-K ANNUAL REPORT</w:t>
      </w:r>
    </w:p>
    <w:p>
      <w:pPr>
        <w:jc w:val="center"/>
        <w:ind w:right="3139"/>
        <w:spacing w:after="0" w:line="238" w:lineRule="auto"/>
        <w:rPr>
          <w:sz w:val="20"/>
          <w:szCs w:val="20"/>
          <w:color w:val="auto"/>
        </w:rPr>
      </w:pPr>
      <w:r>
        <w:rPr>
          <w:rFonts w:ascii="Courier New" w:cs="Courier New" w:eastAsia="Courier New" w:hAnsi="Courier New"/>
          <w:sz w:val="15"/>
          <w:szCs w:val="15"/>
          <w:color w:val="auto"/>
        </w:rPr>
        <w:t>TABLE OF CONTENTS</w:t>
      </w:r>
    </w:p>
    <w:p>
      <w:pPr>
        <w:sectPr>
          <w:pgSz w:w="11900" w:h="16888" w:orient="portrait"/>
          <w:cols w:equalWidth="0" w:num="1">
            <w:col w:w="10239"/>
          </w:cols>
          <w:pgMar w:left="220" w:top="231"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9800"/>
        <w:spacing w:after="0"/>
        <w:rPr>
          <w:sz w:val="20"/>
          <w:szCs w:val="20"/>
          <w:color w:val="auto"/>
        </w:rPr>
      </w:pPr>
      <w:r>
        <w:rPr>
          <w:rFonts w:ascii="Courier New" w:cs="Courier New" w:eastAsia="Courier New" w:hAnsi="Courier New"/>
          <w:sz w:val="15"/>
          <w:szCs w:val="15"/>
          <w:color w:val="auto"/>
        </w:rPr>
        <w:t>PAGE</w:t>
      </w:r>
    </w:p>
    <w:p>
      <w:pPr>
        <w:sectPr>
          <w:pgSz w:w="11900" w:h="16888" w:orient="portrait"/>
          <w:cols w:equalWidth="0" w:num="1">
            <w:col w:w="10239"/>
          </w:cols>
          <w:pgMar w:left="220" w:top="231"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8720" w:type="dxa"/>
            <w:vAlign w:val="bottom"/>
          </w:tcPr>
          <w:p>
            <w:pPr>
              <w:ind w:left="4160"/>
              <w:spacing w:after="0" w:line="168" w:lineRule="exact"/>
              <w:rPr>
                <w:sz w:val="20"/>
                <w:szCs w:val="20"/>
                <w:color w:val="auto"/>
              </w:rPr>
            </w:pPr>
            <w:r>
              <w:rPr>
                <w:rFonts w:ascii="Courier New" w:cs="Courier New" w:eastAsia="Courier New" w:hAnsi="Courier New"/>
                <w:sz w:val="15"/>
                <w:szCs w:val="15"/>
                <w:color w:val="auto"/>
              </w:rPr>
              <w:t>PART I</w:t>
            </w:r>
          </w:p>
        </w:tc>
        <w:tc>
          <w:tcPr>
            <w:tcW w:w="520" w:type="dxa"/>
            <w:vAlign w:val="bottom"/>
          </w:tcPr>
          <w:p>
            <w:pPr>
              <w:spacing w:after="0"/>
              <w:rPr>
                <w:sz w:val="14"/>
                <w:szCs w:val="1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Business.........................................................................................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1A.</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Risk Factors.....................................................................................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1B.</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Unresolved Staff Comments........................................................................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Properties.......................................................................................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Legal Proceedings................................................................................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6"/>
        </w:trPr>
        <w:tc>
          <w:tcPr>
            <w:tcW w:w="920" w:type="dxa"/>
            <w:vAlign w:val="bottom"/>
          </w:tcPr>
          <w:p>
            <w:pPr>
              <w:spacing w:after="0"/>
              <w:rPr>
                <w:sz w:val="24"/>
                <w:szCs w:val="24"/>
                <w:color w:val="auto"/>
              </w:rPr>
            </w:pPr>
          </w:p>
        </w:tc>
        <w:tc>
          <w:tcPr>
            <w:tcW w:w="8720" w:type="dxa"/>
            <w:vAlign w:val="bottom"/>
          </w:tcPr>
          <w:p>
            <w:pPr>
              <w:ind w:left="4160"/>
              <w:spacing w:after="0"/>
              <w:rPr>
                <w:sz w:val="20"/>
                <w:szCs w:val="20"/>
                <w:color w:val="auto"/>
              </w:rPr>
            </w:pPr>
            <w:r>
              <w:rPr>
                <w:rFonts w:ascii="Courier New" w:cs="Courier New" w:eastAsia="Courier New" w:hAnsi="Courier New"/>
                <w:sz w:val="15"/>
                <w:szCs w:val="15"/>
                <w:color w:val="auto"/>
              </w:rPr>
              <w:t>PART II</w:t>
            </w:r>
          </w:p>
        </w:tc>
        <w:tc>
          <w:tcPr>
            <w:tcW w:w="520" w:type="dxa"/>
            <w:vAlign w:val="bottom"/>
          </w:tcPr>
          <w:p>
            <w:pPr>
              <w:spacing w:after="0"/>
              <w:rPr>
                <w:sz w:val="24"/>
                <w:szCs w:val="2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rPr>
              <w:t>Market for the Registrant's Common Equity, Related Stockholder Matters and</w:t>
            </w:r>
          </w:p>
        </w:tc>
        <w:tc>
          <w:tcPr>
            <w:tcW w:w="52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87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Issuer Purchases of Equity Securities............................................................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Selected Financial Data..........................................................................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Management's Discussion and Analysis of Financial Condition and Results of Operations............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Quantitative and Qualitative Disclosures about Market Risk.......................................</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Financial Statements and Supplementary Data......................................................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Changes in and Disagreements with Accountants on Accounting and Financial Disclosure.............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9A.</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Controls and Procedures..........................................................................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9B.</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Other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4"/>
                <w:szCs w:val="24"/>
                <w:color w:val="auto"/>
              </w:rPr>
            </w:pPr>
          </w:p>
        </w:tc>
        <w:tc>
          <w:tcPr>
            <w:tcW w:w="8720" w:type="dxa"/>
            <w:vAlign w:val="bottom"/>
          </w:tcPr>
          <w:p>
            <w:pPr>
              <w:ind w:left="4080"/>
              <w:spacing w:after="0"/>
              <w:rPr>
                <w:sz w:val="20"/>
                <w:szCs w:val="20"/>
                <w:color w:val="auto"/>
              </w:rPr>
            </w:pPr>
            <w:r>
              <w:rPr>
                <w:rFonts w:ascii="Courier New" w:cs="Courier New" w:eastAsia="Courier New" w:hAnsi="Courier New"/>
                <w:sz w:val="15"/>
                <w:szCs w:val="15"/>
                <w:color w:val="auto"/>
              </w:rPr>
              <w:t>PART III</w:t>
            </w:r>
          </w:p>
        </w:tc>
        <w:tc>
          <w:tcPr>
            <w:tcW w:w="520" w:type="dxa"/>
            <w:vAlign w:val="bottom"/>
          </w:tcPr>
          <w:p>
            <w:pPr>
              <w:spacing w:after="0"/>
              <w:rPr>
                <w:sz w:val="24"/>
                <w:szCs w:val="2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Directors and Executive Officers of Registrant...................................................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Executive Compensation...........................................................................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Security Ownership of Certain Beneficial Owners and Management and Related Stockholder Matters...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Certain Relationships and Related Transactions...................................................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Principal Accounting Fees and Services...........................................................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4"/>
                <w:szCs w:val="24"/>
                <w:color w:val="auto"/>
              </w:rPr>
            </w:pPr>
          </w:p>
        </w:tc>
        <w:tc>
          <w:tcPr>
            <w:tcW w:w="8720" w:type="dxa"/>
            <w:vAlign w:val="bottom"/>
          </w:tcPr>
          <w:p>
            <w:pPr>
              <w:ind w:left="4160"/>
              <w:spacing w:after="0"/>
              <w:rPr>
                <w:sz w:val="20"/>
                <w:szCs w:val="20"/>
                <w:color w:val="auto"/>
              </w:rPr>
            </w:pPr>
            <w:r>
              <w:rPr>
                <w:rFonts w:ascii="Courier New" w:cs="Courier New" w:eastAsia="Courier New" w:hAnsi="Courier New"/>
                <w:sz w:val="15"/>
                <w:szCs w:val="15"/>
                <w:color w:val="auto"/>
              </w:rPr>
              <w:t>PART IV</w:t>
            </w:r>
          </w:p>
        </w:tc>
        <w:tc>
          <w:tcPr>
            <w:tcW w:w="520" w:type="dxa"/>
            <w:vAlign w:val="bottom"/>
          </w:tcPr>
          <w:p>
            <w:pPr>
              <w:spacing w:after="0"/>
              <w:rPr>
                <w:sz w:val="24"/>
                <w:szCs w:val="2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Exhibits and Financial Statement Schedules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Signatures</w:t>
            </w:r>
          </w:p>
        </w:tc>
        <w:tc>
          <w:tcPr>
            <w:tcW w:w="8720" w:type="dxa"/>
            <w:vAlign w:val="bottom"/>
          </w:tcPr>
          <w:p>
            <w:pPr>
              <w:ind w:left="60"/>
              <w:spacing w:after="0"/>
              <w:rPr>
                <w:sz w:val="20"/>
                <w:szCs w:val="20"/>
                <w:color w:val="auto"/>
              </w:rPr>
            </w:pPr>
            <w:r>
              <w:rPr>
                <w:rFonts w:ascii="Courier New" w:cs="Courier New" w:eastAsia="Courier New" w:hAnsi="Courier New"/>
                <w:sz w:val="15"/>
                <w:szCs w:val="15"/>
                <w:color w:val="auto"/>
                <w:w w:val="9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505"/>
        </w:trPr>
        <w:tc>
          <w:tcPr>
            <w:tcW w:w="920" w:type="dxa"/>
            <w:vAlign w:val="bottom"/>
          </w:tcPr>
          <w:p>
            <w:pPr>
              <w:spacing w:after="0"/>
              <w:rPr>
                <w:sz w:val="24"/>
                <w:szCs w:val="24"/>
                <w:color w:val="auto"/>
              </w:rPr>
            </w:pPr>
          </w:p>
        </w:tc>
        <w:tc>
          <w:tcPr>
            <w:tcW w:w="8720" w:type="dxa"/>
            <w:vAlign w:val="bottom"/>
          </w:tcPr>
          <w:p>
            <w:pPr>
              <w:ind w:left="2580"/>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75" w:lineRule="exact"/>
        <w:rPr>
          <w:sz w:val="20"/>
          <w:szCs w:val="20"/>
          <w:color w:val="auto"/>
        </w:rPr>
      </w:pPr>
    </w:p>
    <w:p>
      <w:pPr>
        <w:ind w:left="440" w:right="375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 for growth of the residential loan servicing business and business opportunities in other core businesses;</w:t>
      </w:r>
    </w:p>
    <w:p>
      <w:pPr>
        <w:spacing w:after="0" w:line="5" w:lineRule="exact"/>
        <w:rPr>
          <w:rFonts w:ascii="Courier New" w:cs="Courier New" w:eastAsia="Courier New" w:hAnsi="Courier New"/>
          <w:sz w:val="15"/>
          <w:szCs w:val="15"/>
          <w:color w:val="auto"/>
        </w:rPr>
      </w:pPr>
    </w:p>
    <w:p>
      <w:pPr>
        <w:ind w:left="440" w:right="393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assumptions related to the sources of liquidity and the adequacy of financial resources;</w:t>
      </w:r>
    </w:p>
    <w:p>
      <w:pPr>
        <w:spacing w:after="0" w:line="5"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 regarding interest rates and foreign currency transactions; and</w:t>
      </w:r>
    </w:p>
    <w:p>
      <w:pPr>
        <w:spacing w:after="0" w:line="4"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expectations related to pending litigation.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67"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market conditions,</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interest or currency exchange rates,</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servicing rights for purchase,</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regulations and policies,</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political and economic uncertainty,</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adequate and timely sources of liquidity,</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related to dispute resolution and litigation, and</w:t>
      </w:r>
    </w:p>
    <w:p>
      <w:pPr>
        <w:ind w:left="440" w:hanging="430"/>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market conditions and trends.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and Form 10-Q and current reports on Form 8-K. The forward-looking statements speak only as of the date they are made and should not be relied upon. OCN undertakes no obligation to update or revise the forward-looking statements.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3" w:name="page4"/>
    <w:bookmarkEnd w:id="3"/>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Ocwen Financial Corporation ("OCN") is a provider of servicing and origination processing solutions to the loan industry with headquarters in West Palm Beach, Florida, offices in Orlando, Florida and Chicago, Illinois and global operations in Canada, Germany, India, China and Taiwan. OCN is a Florida corporation that was organized in February 1988 in connection with the acquisition of Ocwen Federal Bank FSB (the "Bank").</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Effective June 30, 2005, the Bank terminated its status as a federal savings bank. This process, which we have referred to as "debanking," began on November 24, 2004, when the Bank filed an Application for Voluntary Dissolution with the Office of Thrift Supervision ("OTS").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our debanking process, on February 4, 2005, OCN and the Bank entered into a Branch Purchase and Deposit Assumption Agreement (the "Branch Purchase Agreement") with Marathon National Bank of New York ("Marathon"). Pursuant to the Branch Purchase Agreement, Marathon agreed to assume the deposit liabilities of the accounts associated with the Bank's branch facility in Fort Lee, New Jersey. In addition, Marathon agreed to take over the lease and other contracts and acquire the assets related to the branch. We agreed to make a cash payment to Marathon of $164,212, which was calculated based upon, among other things, the amount of those deposit account liabilities as of the closing. On June 13, 2005, the OTS approved our plan of voluntary dissolution for the Bank subject to certain conditions, including, among other things, our entering into an agreement to guaranty the obligations of the Bank (other than the deposit and other liabilities that were assumed by Marathon in connection with the Branch Purchase Agreement), a cash collateral agreement and a collateral trust agreement, all on terms acceptable to the OTS.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June 30, 2005, we completed our divestiture to Marathon of the deposit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of the accounts associated with the branch and our assignment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assets, liabilities and business of the Bank to Ocwen Loan Servicing,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("OLS"). We recognized a gain of $1,750 from the sale of our branch deposit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to Marathon. In addition, we recorded a one-time provision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$1,124, which is net of a related adjustment to the deferred tax asset valuation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arising from the recapture of bad debt reserves in connection with</w:t>
      </w:r>
    </w:p>
    <w:p>
      <w:pPr>
        <w:spacing w:after="0" w:line="237" w:lineRule="auto"/>
        <w:rPr>
          <w:sz w:val="20"/>
          <w:szCs w:val="20"/>
          <w:color w:val="auto"/>
        </w:rPr>
      </w:pPr>
      <w:r>
        <w:rPr>
          <w:rFonts w:ascii="Courier New" w:cs="Courier New" w:eastAsia="Courier New" w:hAnsi="Courier New"/>
          <w:sz w:val="15"/>
          <w:szCs w:val="15"/>
          <w:color w:val="auto"/>
        </w:rPr>
        <w:t>our termination of the Bank's status as a federal savings bank. We are</w:t>
      </w:r>
    </w:p>
    <w:p>
      <w:pPr>
        <w:spacing w:after="0" w:line="238" w:lineRule="auto"/>
        <w:rPr>
          <w:sz w:val="20"/>
          <w:szCs w:val="20"/>
          <w:color w:val="auto"/>
        </w:rPr>
      </w:pPr>
      <w:r>
        <w:rPr>
          <w:rFonts w:ascii="Courier New" w:cs="Courier New" w:eastAsia="Courier New" w:hAnsi="Courier New"/>
          <w:sz w:val="15"/>
          <w:szCs w:val="15"/>
          <w:color w:val="auto"/>
        </w:rPr>
        <w:t>continuing the Bank's non-depository businesses, including its residential</w:t>
      </w:r>
    </w:p>
    <w:p>
      <w:pPr>
        <w:spacing w:after="0" w:line="237" w:lineRule="auto"/>
        <w:rPr>
          <w:sz w:val="20"/>
          <w:szCs w:val="20"/>
          <w:color w:val="auto"/>
        </w:rPr>
      </w:pPr>
      <w:r>
        <w:rPr>
          <w:rFonts w:ascii="Courier New" w:cs="Courier New" w:eastAsia="Courier New" w:hAnsi="Courier New"/>
          <w:sz w:val="15"/>
          <w:szCs w:val="15"/>
          <w:color w:val="auto"/>
        </w:rPr>
        <w:t>mortgage servicing business, under OLS, which is a licensed servicer in all</w:t>
      </w:r>
    </w:p>
    <w:p>
      <w:pPr>
        <w:spacing w:after="0" w:line="238" w:lineRule="auto"/>
        <w:rPr>
          <w:sz w:val="20"/>
          <w:szCs w:val="20"/>
          <w:color w:val="auto"/>
        </w:rPr>
      </w:pPr>
      <w:r>
        <w:rPr>
          <w:rFonts w:ascii="Courier New" w:cs="Courier New" w:eastAsia="Courier New" w:hAnsi="Courier New"/>
          <w:sz w:val="15"/>
          <w:szCs w:val="15"/>
          <w:color w:val="auto"/>
        </w:rPr>
        <w:t>fifty states, the District of Columbia and Puerto Rico. As a result of</w:t>
      </w:r>
    </w:p>
    <w:p>
      <w:pPr>
        <w:spacing w:after="0" w:line="237" w:lineRule="auto"/>
        <w:rPr>
          <w:sz w:val="20"/>
          <w:szCs w:val="20"/>
          <w:color w:val="auto"/>
        </w:rPr>
      </w:pPr>
      <w:r>
        <w:rPr>
          <w:rFonts w:ascii="Courier New" w:cs="Courier New" w:eastAsia="Courier New" w:hAnsi="Courier New"/>
          <w:sz w:val="15"/>
          <w:szCs w:val="15"/>
          <w:color w:val="auto"/>
        </w:rPr>
        <w:t>debanking, we are no longer able to accept deposits in the United States</w:t>
      </w:r>
    </w:p>
    <w:p>
      <w:pPr>
        <w:spacing w:after="0" w:line="238" w:lineRule="auto"/>
        <w:rPr>
          <w:sz w:val="20"/>
          <w:szCs w:val="20"/>
          <w:color w:val="auto"/>
        </w:rPr>
      </w:pPr>
      <w:r>
        <w:rPr>
          <w:rFonts w:ascii="Courier New" w:cs="Courier New" w:eastAsia="Courier New" w:hAnsi="Courier New"/>
          <w:sz w:val="15"/>
          <w:szCs w:val="15"/>
          <w:color w:val="auto"/>
        </w:rPr>
        <w:t>("U.S.") or benefit from federal preemption with regard to post-debanking</w:t>
      </w:r>
    </w:p>
    <w:p>
      <w:pPr>
        <w:spacing w:after="0" w:line="237" w:lineRule="auto"/>
        <w:rPr>
          <w:sz w:val="20"/>
          <w:szCs w:val="20"/>
          <w:color w:val="auto"/>
        </w:rPr>
      </w:pPr>
      <w:r>
        <w:rPr>
          <w:rFonts w:ascii="Courier New" w:cs="Courier New" w:eastAsia="Courier New" w:hAnsi="Courier New"/>
          <w:sz w:val="15"/>
          <w:szCs w:val="15"/>
          <w:color w:val="auto"/>
        </w:rPr>
        <w:t>activities.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annual report on Form 10-K, quarterly reports on Form 10-Q, current reports on Form 8-K and all amendments to those reports are made available free of charge through our website (http://www.ocwen.com) as soon as practicable after such material is electronically filed with or furnished to the Securities and Exchange Commission (the "SEC"). Also posted on our website, and available in print upon request, are the charters for our Audit Committee, Compensation Committee and Governance Committee, our Governance Guidelines, and Code of Ethics and Code of Ethics for Senior Financial Officers. Within the time period required by the Securities and Exchange Commission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June 13, 2005, pursuant to Section 303A.12 of the New York Stock Exchange's listing standards, our Chief Executive Officer certified to the New York Stock Exchange that he was not aware of any violation by Ocwen Financial Corporation of the New York Stock Exchange corporate governance listing standards as of that date. Additionally, we filed with the SEC the CEO/CFO certifications required under Section 302 of the Sarbanes-Oxley Act as Exhibits to our Form 10-K.</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SEGMENTS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As of December 31, 2005, our business segments, aligned within our two areas of focus, are as follows: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SERVICING</w:t>
      </w:r>
    </w:p>
    <w:p>
      <w:pPr>
        <w:ind w:left="1320"/>
        <w:spacing w:after="0" w:line="237" w:lineRule="auto"/>
        <w:rPr>
          <w:sz w:val="20"/>
          <w:szCs w:val="20"/>
          <w:color w:val="auto"/>
        </w:rPr>
      </w:pPr>
      <w:r>
        <w:rPr>
          <w:rFonts w:ascii="Courier New" w:cs="Courier New" w:eastAsia="Courier New" w:hAnsi="Courier New"/>
          <w:sz w:val="15"/>
          <w:szCs w:val="15"/>
          <w:color w:val="auto"/>
        </w:rPr>
        <w:t>Residential Servicing</w:t>
      </w:r>
    </w:p>
    <w:p>
      <w:pPr>
        <w:ind w:left="1320"/>
        <w:spacing w:after="0" w:line="238" w:lineRule="auto"/>
        <w:rPr>
          <w:sz w:val="20"/>
          <w:szCs w:val="20"/>
          <w:color w:val="auto"/>
        </w:rPr>
      </w:pPr>
      <w:r>
        <w:rPr>
          <w:rFonts w:ascii="Courier New" w:cs="Courier New" w:eastAsia="Courier New" w:hAnsi="Courier New"/>
          <w:sz w:val="15"/>
          <w:szCs w:val="15"/>
          <w:color w:val="auto"/>
        </w:rPr>
        <w:t>Commercial Servicing</w:t>
      </w:r>
    </w:p>
    <w:p>
      <w:pPr>
        <w:ind w:left="1320"/>
        <w:spacing w:after="0" w:line="237" w:lineRule="auto"/>
        <w:rPr>
          <w:sz w:val="20"/>
          <w:szCs w:val="20"/>
          <w:color w:val="auto"/>
        </w:rPr>
      </w:pPr>
      <w:r>
        <w:rPr>
          <w:rFonts w:ascii="Courier New" w:cs="Courier New" w:eastAsia="Courier New" w:hAnsi="Courier New"/>
          <w:sz w:val="15"/>
          <w:szCs w:val="15"/>
          <w:color w:val="auto"/>
        </w:rPr>
        <w:t>Ocwen Recovery Group</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LOAN PROCESSING AND ORIGINATION SERVICES</w:t>
      </w:r>
    </w:p>
    <w:p>
      <w:pPr>
        <w:ind w:left="1320"/>
        <w:spacing w:after="0" w:line="237" w:lineRule="auto"/>
        <w:rPr>
          <w:sz w:val="20"/>
          <w:szCs w:val="20"/>
          <w:color w:val="auto"/>
        </w:rPr>
      </w:pPr>
      <w:r>
        <w:rPr>
          <w:rFonts w:ascii="Courier New" w:cs="Courier New" w:eastAsia="Courier New" w:hAnsi="Courier New"/>
          <w:sz w:val="15"/>
          <w:szCs w:val="15"/>
          <w:color w:val="auto"/>
        </w:rPr>
        <w:t>Residential Origination Services</w:t>
      </w:r>
    </w:p>
    <w:p>
      <w:pPr>
        <w:ind w:left="1320"/>
        <w:spacing w:after="0" w:line="238" w:lineRule="auto"/>
        <w:rPr>
          <w:sz w:val="20"/>
          <w:szCs w:val="20"/>
          <w:color w:val="auto"/>
        </w:rPr>
      </w:pPr>
      <w:r>
        <w:rPr>
          <w:rFonts w:ascii="Courier New" w:cs="Courier New" w:eastAsia="Courier New" w:hAnsi="Courier New"/>
          <w:sz w:val="15"/>
          <w:szCs w:val="15"/>
          <w:color w:val="auto"/>
        </w:rPr>
        <w:t>Business Process Outsourcing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addition to these business segments, we report other items of revenue and expense in our Corporate Items and Other segment as discussed later in this section.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Key elements of our strategy are summarized as follows:</w:t>
      </w:r>
    </w:p>
    <w:p>
      <w:pPr>
        <w:spacing w:after="0" w:line="173" w:lineRule="exact"/>
        <w:rPr>
          <w:sz w:val="20"/>
          <w:szCs w:val="20"/>
          <w:color w:val="auto"/>
        </w:rPr>
      </w:pPr>
    </w:p>
    <w:p>
      <w:pPr>
        <w:ind w:left="440" w:right="4019" w:hanging="430"/>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grow our residential servicing business, including the opportunistic acquisition of servicing and subservicing rights;</w:t>
      </w:r>
    </w:p>
    <w:p>
      <w:pPr>
        <w:ind w:left="440" w:right="367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 our residential loan origination services, including mortgage due diligence, mortgage loan processing, property valuation and loan refinancing; and</w:t>
      </w:r>
    </w:p>
    <w:p>
      <w:pPr>
        <w:spacing w:after="0" w:line="5"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unsecured debt collection and business process outsourcing businesses.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more detailed description of each of our business segments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SERVICING</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service performing, sub-performing and non-performing residential</w:t>
      </w:r>
    </w:p>
    <w:p>
      <w:pPr>
        <w:spacing w:after="0" w:line="237" w:lineRule="auto"/>
        <w:rPr>
          <w:sz w:val="20"/>
          <w:szCs w:val="20"/>
          <w:color w:val="auto"/>
        </w:rPr>
      </w:pPr>
      <w:r>
        <w:rPr>
          <w:rFonts w:ascii="Courier New" w:cs="Courier New" w:eastAsia="Courier New" w:hAnsi="Courier New"/>
          <w:sz w:val="15"/>
          <w:szCs w:val="15"/>
          <w:color w:val="auto"/>
        </w:rPr>
        <w:t>mortgage loans. Subprime mortgages comprised the vast majority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$42,779,048 in total unpaid principal balance of loans we serviced for others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2005. We serviced loans under 466 servicing agreements for 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clients as of December 31, 2005. These clients include well-capitalized mortgage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originators, such as New Century and Delta Funding, Wall Street firms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securitization platforms, such as Lehman Brothers, Credit Suisse First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and Morgan Stanley, and governmental agencies, such as the United States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Veterans Affairs. Revenue from this segment comprised 74%, 78%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of consolidated revenues in 2005, 2004 and 2003, respectively.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entitled to service mortgages because we purchased the servicing rights from the owners of the mortgages or have entered into a subservicing agreement with an entity that owns the servicing rights. The rights and obligations of servicing rights are typically specified in an agreement between the various parties to a mortgage securitization transaction. Our largest source of revenue with respect to servicing rights is the servicing fees we earn pursuant to servicing and subservicing agreements. Servicing fees are usually earned as a percentage of the unpaid principal amount of the mortgages that are being serviced. A typical servicing fee is approximately 0.50% per year and a typical subservicing fee ranges from approximately 0.17% to 0.19% per year. The servicing and subservicing fees are supplemented by related income, including late fees from borrowers who are delinquent in remitting their monthly mortgage payments and interest earned on payments made to us but not yet remitted to the owner of the mortgage.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servicer or subservicer, we also have a variety of obligations that are also specified in the servicing or subservicing agreement including the obligation to service the mortgages according to certain contractual standards and to advance funds to securitization trusts in the event that borrowers are delinquent on their monthly mortgage payments. The costs incurred in connection with meeting these obligations includes, but is not limited to, the cost of servicing the loans and the interest expense incurred to finance the servicing rights and servicing advances incurred in connection with conducting the business.</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contracts for servicing may provide for a single bulk transfer of a servicing portfolio or the ongoing transfer of loans as they are originated or purchased by counterparties to the servicing contract. While the loan data are transferred to us for servicing, the client retains ownership of the loans.</w:t>
      </w:r>
    </w:p>
    <w:p>
      <w:pPr>
        <w:spacing w:after="0" w:line="164"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acquisition of servicing rights is generally structured as a two-part bid process. A preliminary bid is provided to each potential client following a preliminary due diligence review of the loan portfolio, the seller's financial status, the strategic fit of the portfolio with our servicing capabilities and the portfolio's historical performance characteristics.</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Once the preliminary bid is accepted, we initiate a further evaluation of the portfolio through a formal due diligence process, which includes a more detailed analysis of historical prepayment and delinquency experience. This formal process determines the present value of a projected</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5" w:name="page6"/>
    <w:bookmarkEnd w:id="5"/>
    <w:p>
      <w:pPr>
        <w:ind w:right="3239"/>
        <w:spacing w:after="0" w:line="235" w:lineRule="auto"/>
        <w:rPr>
          <w:sz w:val="20"/>
          <w:szCs w:val="20"/>
          <w:color w:val="auto"/>
        </w:rPr>
      </w:pPr>
      <w:r>
        <w:rPr>
          <w:rFonts w:ascii="Courier New" w:cs="Courier New" w:eastAsia="Courier New" w:hAnsi="Courier New"/>
          <w:sz w:val="15"/>
          <w:szCs w:val="15"/>
          <w:color w:val="auto"/>
        </w:rPr>
        <w:t>stream of cash inflows and outflows from the portfolio. Based upon the findings, a final bid is prepared for approval by our Credit Committee and submitted for consideration. Upon acceptance, we enter into a servicing rights purchase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U.S. Department of Housing and Urban Development, Freddie Mac and Fannie Mae have approved OLS as a loan servicer. Standard &amp; Poor's Rating Services ("Standard &amp; Poor's") has rated OLS "Strong" as a Residential Subprime Servicer and Residential Special Servicer. "Strong" represents Standard &amp; Poor's highest ratings category. Moody's Investors Services, Inc. ("Moody's") has rated OLS "SQ2-" as a Residential Subprime Servicer and "SQ2" as a Residential Special Servicer. "SQ2" represents Moody's second highest rating category. Fitch Ratings ("Fitch") has rated OLS "RPS2" for Residential Subprime Servicing and "RSS2" for Residential Special Servicing. These represent Fitch's second highest categories, respectively.</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segment also includes our residential loan servicing system product (REALServicing(TM)). Our REALServicing product is a comprehensive enterprise-level residential mortgage loan servicing platform which we have used since January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SERVICING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segment includes the results of operations of both domestic and international servicing as well as our commercial loan servicing system product (REALSynergy(TM)). International servicing is conducted through Global Servicing Solutions LLC ("GSS"), a joint servicing venture we formed with Merrill Lynch in March 2002 for the servicing of assets in various countries. We own 70% of GSS with the remaining 30% owned by Merrill Lynch. GSS servicing offices in Tokyo, Japan and Taipei, Taiwan became fully operational during 2003. In 2005, we sold our servicing operations in Japan. We established a servicing office in Toronto, Canada in late 2004. We have established consulting operations in the United Kingdom ("UK"), Germany and China. We commenced servicing loans in Germany in the fourth quarter of 2005. Revenue from this segment comprised 5%, 4% and 2% of consolidated revenues in 2005, 2004 and 2003, respectively.</w:t>
      </w:r>
    </w:p>
    <w:p>
      <w:pPr>
        <w:spacing w:after="0" w:line="16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Our REALSynergy product is a comprehensive enterprise-level commercial mortgage loan servicing platform.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RECOVERY GROUP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segment conducts collection activities for third party owners of unsecured receivables and for a portfolio of unsecured credit card receivables that we acquired in 1999 and 2000. On collections for third party owners, we generally earn a fee based upon a percentage of the dollars collected. The percentage fee generally ranges from 17% to 50%. We intend to continue to grow our third party collections activity. Revenue from this segment comprised 3%, 4% and 4% of consolidated revenues in 2005, 2004 and 2003,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ORIGINATION SERVICES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business segment provides various loan origination services including residential property valuation services, mortgage due diligence, title services and loan refinancing for Residential Servicing customers. This segment also includes our internet-based vendor management system (REALTransSM) and the results of our subprime residual trading securities. Revenue from this segment comprised 15%, 11% and 7% of consolidated revenues in 2005, 2004 and 2003, respectively.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provide valuation services to external customers in the wholesale lending community as well as for our own residential real estate transactions. An important part of the process of acquiring and managing mortgage loan portfolios is the accurate review and analysis of the collateral offered as security for the loans. This business not only provides traditional valuation products such as appraisals and broker price opinions, it also employs valuation models and other alternative valuation products that can meet the specific risk management needs of our customers.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Beginning with the acquisition of our due diligence operation in December of 2004, we have begun to develop a new line of business which is focused on adding fee-based services in areas related to the origination and securitization process. We believe that this will provide an economic hedge to our core residential servicing business which experiences challenges in a low interest rate environment. Low interest rates cause mortgage prepayments to increase, thereby resulting in the loss of future servicing fees and the acceleration of amortization on our mortgage servicing rights as the underlying loans are prepaid. Further, low interest rates diminish the amount we can earn on the borrower payments that we hold in custodial accounts from receipt through remittance to the investors.</w:t>
      </w:r>
    </w:p>
    <w:p>
      <w:pPr>
        <w:spacing w:after="0" w:line="180"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Conversely, origination and securitization activity flourishes in a low interest rate environment. Our strategy has three basic components:</w:t>
      </w:r>
    </w:p>
    <w:p>
      <w:pPr>
        <w:spacing w:after="0" w:line="173" w:lineRule="exact"/>
        <w:rPr>
          <w:sz w:val="20"/>
          <w:szCs w:val="20"/>
          <w:color w:val="auto"/>
        </w:rPr>
      </w:pPr>
    </w:p>
    <w:p>
      <w:pPr>
        <w:ind w:left="440" w:right="331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due diligence services on closed whole loans to Wall Street firms who actively purchase loans for their securitization programs.</w:t>
      </w:r>
    </w:p>
    <w:p>
      <w:pPr>
        <w:spacing w:after="0" w:line="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 program to offer securitization capability to small originators, lacking sufficient production volume to securitize on their own. The first securitization under this program is expected to close during the first quarter of 2006.</w:t>
      </w:r>
    </w:p>
    <w:p>
      <w:pPr>
        <w:spacing w:after="0" w:line="7"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back office services to small originators who either lack those capabilities or wish to eliminate those operations.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2" w:gutter="0" w:footer="0" w:header="0"/>
        </w:sectPr>
      </w:pPr>
    </w:p>
    <w:bookmarkStart w:id="6" w:name="page7"/>
    <w:bookmarkEnd w:id="6"/>
    <w:p>
      <w:pPr>
        <w:ind w:right="3399" w:firstLine="437"/>
        <w:spacing w:after="0" w:line="235" w:lineRule="auto"/>
        <w:rPr>
          <w:sz w:val="20"/>
          <w:szCs w:val="20"/>
          <w:color w:val="auto"/>
        </w:rPr>
      </w:pPr>
      <w:r>
        <w:rPr>
          <w:rFonts w:ascii="Courier New" w:cs="Courier New" w:eastAsia="Courier New" w:hAnsi="Courier New"/>
          <w:sz w:val="15"/>
          <w:szCs w:val="15"/>
          <w:color w:val="auto"/>
        </w:rPr>
        <w:t>Our REALTrans product is a web-based vendor management platform that facilitates the electronic fulfillment of real estate products and services necessary to process, approve and close residential mortgage loans, as well as to service them.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PROCESS OUTSOURCING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This business segment began operations in December 2002. The results reflect the initiation of several new outsourcing contracts in late 2003 and 2004. Business Process Outsourcing provides outsourcing services to third parties, including mortgage underwriting, data entry, call center services and mortgage research. Revenue from this segment comprised 3%, 3% and 2% of consolidated revenues in 2005, 2004 and 2003,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ITEMS AND OTHER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account for certain items of revenue and expense that are not directly related to a business unit in our Corporate Items and Other segment. Included in our Corporate Items and Other segment is interest income on short-term investments of cash and the related costs of financing these investments, results of business activities that are not significant, gains and losses on the early retirement of debt and certain other corporate income and expense items. Based on the relative insignificance of the assets remaining in the Commercial Assets and Affordable Housing segments, the remaining assets of these businesses and any related income or loss arising from their resolution have been included in the Corporate Items and Other segment beginning in 2005. Segment results for prior periods have been restated to conform to this presentation.</w:t>
      </w:r>
    </w:p>
    <w:p>
      <w:pPr>
        <w:spacing w:after="0" w:line="165"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 Segments" for additional financial information and related discussion regarding each of our segments.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closely monitor our liquidity position and ongoing funding requirements.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principal sources of funds that support our business activities are:</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 and other secured borrowings</w:t>
      </w:r>
    </w:p>
    <w:p>
      <w:pPr>
        <w:ind w:left="880" w:hanging="433"/>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liabilities</w:t>
      </w:r>
    </w:p>
    <w:p>
      <w:pPr>
        <w:ind w:left="880" w:hanging="433"/>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w:t>
      </w:r>
    </w:p>
    <w:p>
      <w:pPr>
        <w:ind w:left="880" w:hanging="433"/>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fees</w:t>
      </w:r>
    </w:p>
    <w:p>
      <w:pPr>
        <w:ind w:left="880" w:hanging="433"/>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received on trading securities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last several years, our Residential Servicing business has grown primarily through the purchase of servicing rights. Servicing rights entitle us as the owner to earn servicing fees and other types of ancillary income, but they also impose on us various obligations as the servicer. Among these are the obligation to advance our own funds to meet contractual principal and interest payments for certain investors and to pay taxes, insurance and various other items that are required to preserve the assets being serviced.</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ability to continue to expand our Residential Servicing business depends in part on our ability to obtain additional financing to purchase new servicing rights and to fund servicing advances. We currently use a variety of sources of debt to finance these assets, including match funded agreements and credit facilities.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unable to acquire new servicing rights and make the associated advances.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a result of debanking, customer deposits no longer represent a source of funds for us in the U.S. Although we believe our existing sources of liquidity will be adequate to fund our planned activities for the foreseeable future, we continue to evaluate other sources of funds.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 Liquidity, Commitments and Off-Balance Sheet Risks" for additional financial information regarding our sources of funds.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 discussion of competition as it relates to our primary core businesses appears in Item 1A, "Risk Factors."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 list of our significant subsidiaries is set forth in Exhibit 21.0.</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of December 31, 2005, we had a total of 3,396 employees, of which 872 were in our U.S. facilities and 2,467 were in our India operations centers. We have developed our India operations centers over the past four years in order to benefit from the cost savings opportunities and quality workforce available in that country. We also had 57 employees in other countries at December 31, 2005.</w:t>
      </w:r>
    </w:p>
    <w:p>
      <w:pPr>
        <w:spacing w:after="0" w:line="16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U.S., our operations are concentrated in our headquarters in West Palm Beach, Florida which had 265 employees as of December 31, 2005, and our operations center in Orlando, Florida, which had 389 staff members as of the same date. In addition, we had 218 employees at various other locations in the U.S.</w:t>
      </w:r>
    </w:p>
    <w:p>
      <w:pPr>
        <w:spacing w:after="0" w:line="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2,467 members of the staff in India as of December 31, 2005, 1,682 were in Bangalore and 785 were in Mumbai. Our India workforce can be summarized by business as follows:</w:t>
      </w:r>
    </w:p>
    <w:p>
      <w:pPr>
        <w:spacing w:after="0" w:line="169"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 are engaged in activities for our Residential Servicing business,</w:t>
      </w:r>
    </w:p>
    <w:p>
      <w:pPr>
        <w:ind w:left="440" w:hanging="430"/>
        <w:spacing w:after="0" w:line="23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support Business Process Outsourcing,</w:t>
      </w:r>
    </w:p>
    <w:p>
      <w:pPr>
        <w:ind w:left="440" w:hanging="430"/>
        <w:spacing w:after="0" w:line="23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support our Residential Origination Services business,</w:t>
      </w:r>
    </w:p>
    <w:p>
      <w:pPr>
        <w:ind w:left="440" w:hanging="430"/>
        <w:spacing w:after="0" w:line="23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work in various other business units,</w:t>
      </w:r>
    </w:p>
    <w:p>
      <w:pPr>
        <w:ind w:left="440" w:hanging="430"/>
        <w:spacing w:after="0" w:line="23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provide technology support to the business groups and</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represent various other support functions, including Human Resources and Corporate Services, Accounting and Risk Management.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June 30, 2005, we completed the debanking process. We no longer control a federal savings bank and are no longer subject to federal banking regulations, but we remain subject to certain federal, state and local consumer protection provisions. As a result of the debanking, we also became subject to regulation as a mortgage service provider and/or as a debt collector in a number of states in which we previously had enjoyed exemptions. We have not previously operated our mortgage servicing and debt collection businesses under such regulatory regimes, and there can be no assurance that this transition will not result in additional costs or uncertainties that would have a material adverse effect on the profitability of our mortgage servicing and debt collection businesses.</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April 19, 2004, the Bank entered into a Supervisory Agreement with the OTS. The Supervisory Agreement terminated upon the completion of debanking as a result of the Bank no longer being an FDIC-insured institution. However, for a period of six years following the completion of debanking, the OTS retains the right to bring enforcement actions in respect of any breach or noncompliance by the Bank with the Supervisory Agreement during the period prior to the completion of our debanking during which the Supervisory Agreement was in effect.</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in connection with the debanking process, we entered into various agreements to meet the conditions to the OTS' approval. We entered into an Assignment and Assumption Agreement, dated June 28, 2005, with our subsidiaries Investors Mortgage Insurance Holding Company, Rocaille Acquisition Subsidiary, Inc., the Bank and OLS whereby the Bank assigned to OLS, directly or indirectly, all of its assets, liabilities and business remaining after the consummation of the debanking transactions (the "Assignment"). Also on June 28, 2005, we entered into an agreement (the "Guaranty") in favor of the OTS and any holders of claims with respect to liabilities assumed by OLS from the Bank in connection with the Assignment. The Guaranty contains affirmative covenants relating to the maintenance of a cash collateral account, reporting requirements, transactions with affiliates, preservation of the existence of our subsidiaries and maintenance of not less than $35,000 of unencumbered assets. 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While we do not expect that compliance with the Guaranty will have a material adverse impact on our financial condition, results of operations or cash flows, if an event of default were to occur we would be obligated to increase the cash collateral amount. Furthermore, the OTS and other beneficiaries of the Guaranty are entitled to initiate enforcement proceedings against us, which, in the case of the OTS, could result in civil money penalties.</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business is subject to extensive regulation and supervision by federal, state and local governmental authorities and is subject to various laws and judicial and administrative decisions imposing requirements and restrictions on a substantial portion of our operations. Our servicing activities are subject to supervision by numerous federal and state agencies, including the Federal Trade Commission and state agencies that license our mortgage servicing entities. We also are required to comply with a variety of federal, state and local consumer protection laws, including the Gramm-Leach-Bliley Act, the USA Patriot Act, the Fair Debt Collections Practice Act, Real Estate Settlement Procedures Act, the Equal Credit Opportunity Act, the Fair Credit Reporting Act, the Fair and Accurate Credit Transactions Act and the Homeowners Protection Act, among others. We are also subject to the rules and regulations of state regulatory authorities with respect to our operations. These requirements can and do change as statutes and regulations are enacted, promulgated or amended.</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517" w:gutter="0" w:footer="0" w:header="0"/>
        </w:sectPr>
      </w:pPr>
    </w:p>
    <w:bookmarkStart w:id="8" w:name="page9"/>
    <w:bookmarkEnd w:id="8"/>
    <w:p>
      <w:pPr>
        <w:ind w:right="3239" w:firstLine="437"/>
        <w:spacing w:after="0" w:line="236" w:lineRule="auto"/>
        <w:rPr>
          <w:sz w:val="20"/>
          <w:szCs w:val="20"/>
          <w:color w:val="auto"/>
        </w:rPr>
      </w:pPr>
      <w:r>
        <w:rPr>
          <w:rFonts w:ascii="Courier New" w:cs="Courier New" w:eastAsia="Courier New" w:hAnsi="Courier New"/>
          <w:sz w:val="15"/>
          <w:szCs w:val="15"/>
          <w:color w:val="auto"/>
        </w:rPr>
        <w:t>These statutes and regulations, among other things, regulate debt collection, foreclosure and claims handling, investment and interest payments on escrow balances and payment features, mandate certain disclosures and notices to borrowers and prohibit discrimination. Since debanking, we receive from time to time requests from state agencies for records, documents and information regarding our policies, procedures and practices regarding our loan servicing, loan origination and processing, and debt collection business activities. We incur significant costs on an on-going basis to comply with governmental regulations.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Bankhaus Oswald Kruber GmbH &amp; Co. KG ("BOK"), our German banking subsidiary, is licensed as a credit institution (Kreditinstitut) under the laws of the Federal Republic of Germany and is supervised and regulated in Germany by the German Federal Financial Supervisory Authority (Bundesanstalt fur Finanzdienstleistungsaufsicht - BaFin), the German Central Bank (Deutsche Bundesbank) and, in respect of minimum reserves on deposits, the European Central Bank. BOK, which we acquired on September 30, 2004, is not material to our current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1A. RISK FACTORS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investment in OCN's common stock involves significant risks inherent to OCN's business. The principal risks and uncertainties that management believes affect or could affect OCN are described below. The risks and uncertainties described below are not the only ones facing OCN. Additional risks and uncertainties that management is not aware of or focused on or that management currently deems immaterial may also impair OCN's business operations. This report is qualified in its entirety by these risk factors. You should carefully read and consider these risks and uncertainties described below together with all of the other information included or incorporated by reference in this report before you decide to invest in our common stock. If any of the following risks actually occur, OCN's financial condition and results of operations could be materially and adversely affected. If this were to happen, the value of OCN's common stock could decline significantly, and you could lose all or part of your investment.</w:t>
      </w:r>
    </w:p>
    <w:p>
      <w:pPr>
        <w:spacing w:after="0" w:line="174"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Our success is dependent upon our ability to acquire and accurately price mortgage servicing right, as well as general economic conditions in the geographic areas in which we service loans.</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primary risk associated with mortgage servicing rights is that they will lose a portion of their value as a result of higher than anticipated prepayments occasioned by declining interest rates or because of higher than anticipated delinquency rates occasioned by deteriorating credit conditions. Interest rates, prepayment speeds and the payment performance of the underlying loans significantly affect both our initial and ongoing valuations and the rate of amortization of mortgage servicing rights. In general, the value of mortgage servicing assets is affected by increased mortgage refinance activity that is influenced by changes in borrowers' credit ratings, shifts in value in the housing market and interest rates. While mortgage servicing rights tend to decrease in value as interest rates decrease, they tend to increase in value as interest rates increase. During 2003 and 2004 and most of 2005, high prepayment speeds resulted in significant rates of amortization expense of our mortgage servicing rights.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acquire servicing rights principally from mortgage origination companies and investment banks. Servicing rights are typically acquired based upon a competitive bidding process. A number of our competitors have access to greater capital resources which may provide them with a competitive advantage if they seek to increase their market share. Although the market for the acquisition of servicing rights to subprime mortgage loans has grown in recent years, we may be unable to acquire the desired amount and type of servicing rights in future periods. In addition, the volume of servicing rights acquired by us may vary over time resulting in significant inter-period variations in our results of operations.</w:t>
      </w:r>
    </w:p>
    <w:p>
      <w:pPr>
        <w:spacing w:after="0" w:line="179"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 determining the purchase price for servicing rights, management makes assumptions regarding the following, among other things:</w:t>
      </w:r>
    </w:p>
    <w:p>
      <w:pPr>
        <w:spacing w:after="0" w:line="167"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rates of prepayment and repayment within the pools;</w:t>
      </w:r>
    </w:p>
    <w:p>
      <w:pPr>
        <w:ind w:left="440" w:hanging="430"/>
        <w:spacing w:after="0" w:line="237"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rates of delinquencies and defaults;</w:t>
      </w:r>
    </w:p>
    <w:p>
      <w:pPr>
        <w:ind w:left="440" w:hanging="430"/>
        <w:spacing w:after="0" w:line="237"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cost to service the loans;</w:t>
      </w:r>
    </w:p>
    <w:p>
      <w:pPr>
        <w:ind w:left="440" w:hanging="430"/>
        <w:spacing w:after="0" w:line="237"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of future servicing advances;</w:t>
      </w:r>
    </w:p>
    <w:p>
      <w:pPr>
        <w:ind w:left="440" w:hanging="430"/>
        <w:spacing w:after="0" w:line="237"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ancillary fee income;</w:t>
      </w:r>
    </w:p>
    <w:p>
      <w:pPr>
        <w:ind w:left="440" w:hanging="430"/>
        <w:spacing w:after="0" w:line="237"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service and resolve loans successfully and</w:t>
      </w:r>
    </w:p>
    <w:p>
      <w:pPr>
        <w:ind w:left="440" w:hanging="430"/>
        <w:spacing w:after="0" w:line="237"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interest rates.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these assumptions are inaccurate or the bases for the assumptions change, the price we pay for servicing rights may be too high. This could result in reduced revenue or a loss to us. Therefore, our success is highly dependent upon accurate pricing of servicing rights as well as general economic conditions in the geographic areas in which we service loans.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Our strategy to grow our business is subject to uncertainty.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strategy focuses on providing asset servicing and origination processing solutions to the loan industry. Many factors could adversely affect our ability to realize this strategy including general economic factors, the general interest rate environment, our ability to maintain the servicing ratings assigned to us by rating agencies, government regulation, competition, our ability to obtain mortgage servicing rights, the effectiveness of our marketing initiatives, our ability to recruit or replace experienced management and operations personnel and the availability of funding. In addition, there can be no assurance that we will be able to accomplish our strategic objectives as a result of changes in the nature of our operations over time or that such changes will not have a material adverse effect from time to time or generally on our business, financial condition or results of operations.</w:t>
      </w:r>
    </w:p>
    <w:p>
      <w:pPr>
        <w:spacing w:after="0" w:line="16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 downgrade in our servicer ratings could have an adverse effect on our business, financial condition or results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Standard &amp; Poor's, Moody's and Fitch rate us as a mortgage servicer. Our favorable servicer ratings from these entities are important to the conduct of our loan servicing business. We can provide no assurance that these ratings will not be downgraded in the future. Any such downgrade could have an adverse effect on our business, financing activities, financial condition or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earnings may be inconsistent.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exit from certain businesses and entry into others has resulted in variations in our results of operations and earnings. Our past financial performance should not be considered a reliable indicator of future performance, and historical trends may not be reliable indicators of anticipated results or trends in future periods.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addition to inconsistency in results caused by our entry into or exit from businesses, 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certain non-recurring items have significantly affected our operating results. Items reported by us in prior periods may not be repeated in future periods, and we may experience substantial inter-period variations in our operating results.</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Governmental and legal proceedings and related costs could adversely affect our financial results.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We face the risk of governmental proceedings and litigation, including class action lawsuits, challenging our residential loan servicing and other business practices.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19, 2004, the Bank entered into a Supervisory Agreement with the OTS. Although the Supervisory Agreement terminated upon the completion of debanking, for a period of six years following the completion of debanking, the OTS retains the right to bring enforcement actions in respect of any breach or noncompliance by the Bank with the Supervisory Agreement during the period prior to the completion of our debanking. Accordingly, there can be no assurance that any such eventualities were they to occur, would not have a material adverse effect on our financial condition, results of operations or cash flows.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in connection with debanking, we entered into various agreements to meet the conditions to the OTS' approval including a Guaranty in favor of the OTS and any holders of claims with respect to liabilities assumed by OLS from the Bank. While we do not expect that compliance with the Guaranty will have a material adverse impact on our financial condition, results of operations or cash flows, if an event of default were to occur we would be obligated to increase the $5,000 cash collateral amount established under the terms of the Guaranty. Furthermore, the OTS and other beneficiaries of the Guaranty are entitled to initiate enforcement proceedings against us, which, in the case of the OTS, could result in civil money penalties. Accordingly, there can be no assurance that any such eventualities, were they to occur, would not have a material adverse effect on our financial condition, results of operations or cash flows.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we and certain of our affiliates, including the Bank, have been named as defendants in a number of purported class action lawsuits challenging the Bank's residential loan servicing practices. At least one of our competitors has paid significant sums to settle lawsuits brought against it that raised claims similar to those raised in the lawsuits brought against our affiliates and us. Although we believe that we have meritorious legal and factual defenses to the lawsuits, we can provide no assurance that we will ultimately prevail. Litigation and other proceedings may result in the adoption of business practices different from those of our competitors, as well as settlement costs, damages, penalties or other charges, which would adversely affect our financial results.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incur significant costs related to governmental regulation.</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As noted in "Regulation", our business is subject to extensive regulation and supervision by federal, state and local governmental authorities and is subject to various laws and judicial and administrative decisions imposing requirements and restrictions on a substantial portion of our</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0" w:gutter="0" w:footer="0" w:header="0"/>
        </w:sectPr>
      </w:pPr>
    </w:p>
    <w:bookmarkStart w:id="10" w:name="page11"/>
    <w:bookmarkEnd w:id="10"/>
    <w:p>
      <w:pPr>
        <w:ind w:right="3319"/>
        <w:spacing w:after="0" w:line="236" w:lineRule="auto"/>
        <w:rPr>
          <w:sz w:val="20"/>
          <w:szCs w:val="20"/>
          <w:color w:val="auto"/>
        </w:rPr>
      </w:pPr>
      <w:r>
        <w:rPr>
          <w:rFonts w:ascii="Courier New" w:cs="Courier New" w:eastAsia="Courier New" w:hAnsi="Courier New"/>
          <w:sz w:val="15"/>
          <w:szCs w:val="15"/>
          <w:color w:val="auto"/>
        </w:rPr>
        <w:t>operations. We incur significant costs on an on-going basis to comply with governmental regulations which adversely affects our net income. If our regulators impose new or more restrictive requirements, we may incur additional significant costs to comply with such requirements which could adversely affect our net income.</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Effective June 30, 2005, we completed the debanking process. We no longer control a federal savings bank and are no longer subject to federal banking regulations, but we remain subject to certain federal, state and local consumer protection provisions. As a result of the debanking, we also became subject to regulation as a mortgage service provider, mortgage loan originator and/or a debt collector in a number of states in which we previously had enjoyed exemptions. We have not previously operated our mortgage servicing and debt collection businesses under such regulatory regimes, and there can be no assurance that this transition will not result in additional costs or uncertainties that would have a material adverse effect on the profitability of our mortgage servicing and debt collection businesses.</w:t>
      </w:r>
    </w:p>
    <w:p>
      <w:pPr>
        <w:spacing w:after="0" w:line="16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may be unable to obtain the necessary additional capital to finance the growth of our business.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Our financing strategy includes the use of leverage. Accordingly,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ability to finance our operations rests in part on our ability to borrow money.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ability to borrow money depends on a variety of factors including:</w:t>
      </w:r>
    </w:p>
    <w:p>
      <w:pPr>
        <w:spacing w:after="0" w:line="173" w:lineRule="exact"/>
        <w:rPr>
          <w:sz w:val="20"/>
          <w:szCs w:val="20"/>
          <w:color w:val="auto"/>
        </w:rPr>
      </w:pPr>
    </w:p>
    <w:p>
      <w:pPr>
        <w:ind w:left="440" w:right="349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meet our current debt service obligations on our existing debt;</w:t>
      </w:r>
    </w:p>
    <w:p>
      <w:pPr>
        <w:spacing w:after="0" w:line="5" w:lineRule="exact"/>
        <w:rPr>
          <w:rFonts w:ascii="Courier New" w:cs="Courier New" w:eastAsia="Courier New" w:hAnsi="Courier New"/>
          <w:sz w:val="15"/>
          <w:szCs w:val="15"/>
          <w:color w:val="auto"/>
        </w:rPr>
      </w:pPr>
    </w:p>
    <w:p>
      <w:pPr>
        <w:jc w:val="both"/>
        <w:ind w:left="440" w:right="3839" w:hanging="430"/>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corporate credit rating as evaluated from time to time by rating agencies and the occasion of any changes to their published ratings;</w:t>
      </w:r>
    </w:p>
    <w:p>
      <w:pPr>
        <w:ind w:left="440" w:right="349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financial performance and the perception that existing and potential lenders have of our financial strength;</w:t>
      </w:r>
    </w:p>
    <w:p>
      <w:pPr>
        <w:spacing w:after="0" w:line="5" w:lineRule="exact"/>
        <w:rPr>
          <w:rFonts w:ascii="Courier New" w:cs="Courier New" w:eastAsia="Courier New" w:hAnsi="Courier New"/>
          <w:sz w:val="15"/>
          <w:szCs w:val="15"/>
          <w:color w:val="auto"/>
        </w:rPr>
      </w:pPr>
    </w:p>
    <w:p>
      <w:pPr>
        <w:ind w:left="440" w:right="3499" w:hanging="430"/>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imposed on us by regulatory agencies and/or existing lending agreements that limit our ability to raise additional debt; and</w:t>
      </w:r>
    </w:p>
    <w:p>
      <w:pPr>
        <w:ind w:left="440" w:right="323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and the impact they have on the availability of credit.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 event of default, a negative ratings action by a rating agency, the perception of financial weakness, an action by a regulatory authority or a restriction imposed on us as a function of a debt covenant that serves to limit our ability to borrow money, or a general deterioration in the economy that constricts the availability of credit may increase our cost of funds and make it difficult for us to renew existing credit facilities and obtain new lines of credit.</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As a result of the completion of our previously disclosed debanking process, we are no longer able to obtain deposits in the U.S. Although we believe we will be able to replace those deposits with other financing arrangements, we can provide no assurance that such alternative funding sources will be adequate to meet our needs or will not increase our cost of funds.</w:t>
      </w:r>
    </w:p>
    <w:p>
      <w:pPr>
        <w:spacing w:after="0" w:line="16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international operations are subject to political and economic uncertainties and other risks beyond our control.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our U.S. operations, we have established operations in Canada, China, Germany, India and Taiwan. Although currently not significant to our operations, we also operate a bank in Germany that we acquired in 2004. Our foreign operations are subject to risks beyond those associated with our U.S. operations, including:</w:t>
      </w:r>
    </w:p>
    <w:p>
      <w:pPr>
        <w:spacing w:after="0" w:line="167"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changes in local regulatory requirements;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trade protection laws;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managing and staffing international operations;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potentially adverse tax consequences;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adaptability problems;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accounting and control expenses;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 of complying with foreign laws;</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social, political, labor or economic conditions; and</w:t>
      </w:r>
    </w:p>
    <w:p>
      <w:pPr>
        <w:ind w:left="44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foreign currency exchange rates.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Although we evaluate hedging strategies to limit the effects of currency exchange rate fluctuations on our results of operations, there can be no assurance that our strategies will achieve their intended purpose. Further, we may be unable to effectively manage the risks listed above in order to realize the benefits of international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strong competition in our primary business segment.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face strong competition from a variety of competitors in our residential loan servicing business. These competitors include several smaller companies focused on servicing as well as a number of large financial institutions. These financial institutions generally have significantly greater resources and access to capital than we do, resulting in a lower cost of funds and a greater ability to purchase mortgage servicing rights. Because a part of our strategy depends on our ability to obtain mortgage servicing rights, we can provide no assurance that such competition will not have an adverse impact on our ability to implement our strategy.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853" w:gutter="0" w:footer="0" w:header="0"/>
        </w:sectPr>
      </w:pPr>
    </w:p>
    <w:bookmarkStart w:id="11" w:name="page12"/>
    <w:bookmarkEnd w:id="11"/>
    <w:p>
      <w:pPr>
        <w:ind w:right="3239" w:firstLine="437"/>
        <w:spacing w:after="0" w:line="255" w:lineRule="auto"/>
        <w:rPr>
          <w:sz w:val="20"/>
          <w:szCs w:val="20"/>
          <w:color w:val="auto"/>
        </w:rPr>
      </w:pPr>
      <w:r>
        <w:rPr>
          <w:rFonts w:ascii="Courier New" w:cs="Courier New" w:eastAsia="Courier New" w:hAnsi="Courier New"/>
          <w:sz w:val="14"/>
          <w:szCs w:val="14"/>
          <w:color w:val="auto"/>
        </w:rPr>
        <w:t>In general, our competition has intensified in recent years as the low-interest rate environment has created favorable conditions for other companies and banks to enter the residential subprime loan business or expand their existing activities within the industry. While some of these entities only originate and do not currently service loans, there is no assurance that they will not develop internal servicing capability or outsource the servicing function to one of our competitors. Some originators from whom we have purchased servicing rights in the past have developed their own servicing capabilities.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We may not be able to adequately protect our proprietary rights or information.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success is in part dependent upon our proprietary information and technology. We rely on a combination of copyright, trade secret and contract protection to establish and protect our proprietary rights in our products and technology. In general, we enter into intellectual property agreements with all employees (including our management and technical staff) and consultants as well as limit access to and distribution of our proprietary information. We cannot be sure that we have taken adequate steps to deter misappropriation of our proprietary rights or information. Independent third parties may develop products and technology substantially similar to ours. Although we believe that our products and technology do not infringe any proprietary rights of others, we could be subject to claims of infringement in the future.</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loss of the services of our senior managers could have an adverse effect on us.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experience of our senior managers is a valuable asset to us. Our chairman and chief executive officer, William C. Erbey, has been with us since our founding in 1987, and our president, Ronald M. Faris, joined us in 1991. Other senior managers of ours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industry risks could affect our financial performance.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face many industry risks that could negatively affect our financial performance. For example, we face the risk that increased criticism from consumer advocates or the media could hurt consumer acceptance of our services and could lead to the adoption of different business practices. In addition, the financial services industry as a whole is characterized by rapidly changing technologies, and system disruptions and failures may interrupt or delay our ability to provide services to our customers. The secure transmission of confidential information over the Internet is essential to maintain consumer confidence in certain of our services. Security breaches,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 In addition, we rely on our foreign employees for a number of our business processes in our call processing and data centers overseas. The issue of outsourcing to lower-cost foreign workers and the impact on the U.S. labor market continues to attract significant negative media and Congressional attention, and Congress or individual states could enact new laws regulating outsourcing that could adversely affect us.</w:t>
      </w:r>
    </w:p>
    <w:p>
      <w:pPr>
        <w:spacing w:after="0" w:line="34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may be required to repurchase loans or indemnify investors if we breach representations and warranties that we made in connection with the sale of those loans.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purchased and originated loans that were subsequently pooled and securitized or sold outright. On substantially all loans sold, we made representations or warranties at the time the loans were sold. We may be required to repurchase loans at a price equal to the then outstanding principal balance of the loan and any accrued and unpaid interest thereon if there were a breach of those representations or warranties. Additionally, we may be required to advance funds to the securitization trusts or to indemnify the trustee or the underwriters of a securitization under specific circumstances.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representations made in connection with our loan sale agreements typically include, among others, representations regarding the nature and condition of the related properties, including environmental issues, the absence of liens, the lack of undocumented mortgage modifications, and validity and enforceability of the mortgages, and the existence of appropriate insurance coverage. The expense we have recognized to date in fulfilling of guarantees is not significant, and our exposure to future obligations in this regard is not estimated to be significant.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subject to investment risks.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in some cases retained subordinate and residual interests in connection with the securitization of our loans and have acquired other residual interests outright or in connection with our acquisition of subsidiaries. The performance of these securities has at times been negatively impacted by higher than expected prepayment speeds and credit losses experienced on the mortgage loans collateralizing the securities. We remain subject to the risk of loss on our remaining securities primarily to the extent that future credit losses exceed expected credit losses.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349" w:gutter="0" w:footer="0" w:header="0"/>
        </w:sectPr>
      </w:pPr>
    </w:p>
    <w:bookmarkStart w:id="12" w:name="page13"/>
    <w:bookmarkEnd w:id="12"/>
    <w:p>
      <w:pPr>
        <w:ind w:right="3239" w:firstLine="437"/>
        <w:spacing w:after="0" w:line="237" w:lineRule="auto"/>
        <w:rPr>
          <w:sz w:val="20"/>
          <w:szCs w:val="20"/>
          <w:color w:val="auto"/>
        </w:rPr>
      </w:pPr>
      <w:r>
        <w:rPr>
          <w:rFonts w:ascii="Courier New" w:cs="Courier New" w:eastAsia="Courier New" w:hAnsi="Courier New"/>
          <w:sz w:val="15"/>
          <w:szCs w:val="15"/>
          <w:color w:val="auto"/>
        </w:rPr>
        <w:t>In the securitization process the first tier of loss protection afforded to the holders of more senior classes of mortgage-related securities (debt securities) is over collateralization. Within the context of residual interests in these debt securities, over collateralization is the amount by which the collateral balance exceeds the sum of the debt securities principal amounts and is achieved by applying monthly a portion of the interest payments of the underlying mortgages toward the reduction of the senior class certificate principal amounts, causing them to amortize more rapidly than the aggregate loan balance. To the extent not consumed by losses, the excess over collateralization is remitted to the residual holders.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debt securities, we may not recover the full amount or, indeed, any of our remaining investment in such subordinate and residual interests.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although in the absence of defaults or interest shortfalls all subordinates receive interest. In periods of declining interest rates, rates of prepayments on mortgage loans generally increase, and if the rate of prepayments is faster than anticipated, then the yield on subordinates will generally be positively affected and the yield on residuals will be negatively affected.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periodically assess the carrying value of our subordinate securities and residual securities retained. There can be no assurance that our estimates used to determine the value of subordinate securities and residual securities retained will be accurate for the life of each securitization. If actual loan prepayments or defaults exceed our estimates, the carrying value of our subordinate securities and residual securities retained may be decreased during the period in which we recognized the disparity.</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also have invested in loans that we hold for resale related to our Residential Origination Services business. We believe that we have established adequate reserves for declines in fair values below cost in accordance with generally accepted accounting principles. Future increases to these reserves may be necessary, however, due to changes in economic conditions and the performance of these loans prior to their sale or securitization. Increases in our reserves for declines in fair value below cost would adversely affect our results of operations. The carrying value of our loans held for resale at December 31, 2005 was $624,671, net of market valuation reserves of $7,659.</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Our directors and executive officers collectively own a large percentage of our common shares and could influence or control matters requiring shareholder approval.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directors and executive officers and their affiliates collectively own or control approximately 45% of our outstanding common shares. This includes approximately 31% owned or controlled by our chairman and chief executive officer, William C. Erbey, and approximately 13% owned or controlled by our director and former chairman, Barry N. Wish. As a result, these shareholders could influence or control virtually all matters requiring shareholder approval, including amendment of our articles of incorporation, the approval of mergers or similar transactions and the election of all directors.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1B. UNRESOLVED STAFF COMMENTS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our primary facilities at December 31,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ind w:left="2280"/>
              <w:spacing w:after="0"/>
              <w:rPr>
                <w:sz w:val="20"/>
                <w:szCs w:val="20"/>
                <w:color w:val="auto"/>
              </w:rPr>
            </w:pPr>
            <w:r>
              <w:rPr>
                <w:rFonts w:ascii="Courier New" w:cs="Courier New" w:eastAsia="Courier New" w:hAnsi="Courier New"/>
                <w:sz w:val="15"/>
                <w:szCs w:val="15"/>
                <w:color w:val="auto"/>
              </w:rPr>
              <w:t>Location</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Owned/Leased</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Square Footage</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EXECUTIVE OFFICE AND HEADQUARTERS:</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West Palm Beach, Florida ...............................</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Leased</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41,860</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SERVICING OPERATIONS CENTER:</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Orlando, Florida .......................................</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120,000</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MORTGAGE FULFILLMENT CENTER:</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Downers Grove, Illinois ................................</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Leased</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20,452</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BUSINESS OPERATIONS AND TECHNOLOGY SUPPORT OFFICES:</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Bangalore, India .......................................</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Leased</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92,650</w:t>
            </w:r>
          </w:p>
        </w:tc>
      </w:tr>
      <w:tr>
        <w:trPr>
          <w:trHeight w:val="336"/>
        </w:trPr>
        <w:tc>
          <w:tcPr>
            <w:tcW w:w="5480" w:type="dxa"/>
            <w:vAlign w:val="bottom"/>
          </w:tcPr>
          <w:p>
            <w:pPr>
              <w:ind w:left="360"/>
              <w:spacing w:after="0"/>
              <w:rPr>
                <w:sz w:val="20"/>
                <w:szCs w:val="20"/>
                <w:color w:val="auto"/>
              </w:rPr>
            </w:pPr>
            <w:r>
              <w:rPr>
                <w:rFonts w:ascii="Courier New" w:cs="Courier New" w:eastAsia="Courier New" w:hAnsi="Courier New"/>
                <w:sz w:val="15"/>
                <w:szCs w:val="15"/>
                <w:color w:val="auto"/>
              </w:rPr>
              <w:t>Bangalore, India .......................................</w:t>
            </w:r>
          </w:p>
        </w:tc>
        <w:tc>
          <w:tcPr>
            <w:tcW w:w="1300" w:type="dxa"/>
            <w:vAlign w:val="bottom"/>
          </w:tcPr>
          <w:p>
            <w:pPr>
              <w:ind w:left="300"/>
              <w:spacing w:after="0"/>
              <w:rPr>
                <w:sz w:val="20"/>
                <w:szCs w:val="20"/>
                <w:color w:val="auto"/>
              </w:rPr>
            </w:pPr>
            <w:r>
              <w:rPr>
                <w:rFonts w:ascii="Courier New" w:cs="Courier New" w:eastAsia="Courier New" w:hAnsi="Courier New"/>
                <w:sz w:val="15"/>
                <w:szCs w:val="15"/>
                <w:color w:val="auto"/>
              </w:rPr>
              <w:t>Leased</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56,960</w:t>
            </w:r>
          </w:p>
        </w:tc>
      </w:tr>
      <w:tr>
        <w:trPr>
          <w:trHeight w:val="336"/>
        </w:trPr>
        <w:tc>
          <w:tcPr>
            <w:tcW w:w="5480" w:type="dxa"/>
            <w:vAlign w:val="bottom"/>
          </w:tcPr>
          <w:p>
            <w:pPr>
              <w:ind w:left="360"/>
              <w:spacing w:after="0"/>
              <w:rPr>
                <w:sz w:val="20"/>
                <w:szCs w:val="20"/>
                <w:color w:val="auto"/>
              </w:rPr>
            </w:pPr>
            <w:r>
              <w:rPr>
                <w:rFonts w:ascii="Courier New" w:cs="Courier New" w:eastAsia="Courier New" w:hAnsi="Courier New"/>
                <w:sz w:val="15"/>
                <w:szCs w:val="15"/>
                <w:color w:val="auto"/>
              </w:rPr>
              <w:t>Mumbai, India ..........................................</w:t>
            </w:r>
          </w:p>
        </w:tc>
        <w:tc>
          <w:tcPr>
            <w:tcW w:w="1300" w:type="dxa"/>
            <w:vAlign w:val="bottom"/>
          </w:tcPr>
          <w:p>
            <w:pPr>
              <w:ind w:left="300"/>
              <w:spacing w:after="0"/>
              <w:rPr>
                <w:sz w:val="20"/>
                <w:szCs w:val="20"/>
                <w:color w:val="auto"/>
              </w:rPr>
            </w:pPr>
            <w:r>
              <w:rPr>
                <w:rFonts w:ascii="Courier New" w:cs="Courier New" w:eastAsia="Courier New" w:hAnsi="Courier New"/>
                <w:sz w:val="15"/>
                <w:szCs w:val="15"/>
                <w:color w:val="auto"/>
              </w:rPr>
              <w:t>Leased</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46,280</w:t>
            </w:r>
          </w:p>
        </w:tc>
      </w:tr>
    </w:tbl>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addition to the facilities listed above, GSS leases a total of four offices for commercial servicing and consulting operations, one each in Taiwan, China, Canada and Germany. Also, BOK has two offices in Germany, one in Berlin and one in Frankfurt.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 (Dollars in thousands)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 description of material pending or recently settled legal proceedings to which OCN or its subsidiaries are a party follows: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discussed in Item 1, Business, under the terms of the Assignment and Assumption agreement, OLS has become the successor to the Bank with respect to all legal actions. Therefore, any references to the Bank in connection with the following legal matters pertain to OLS as successor.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case to proceed in the United States District Court for the Northern District of Illinois under caption styled: In re Ocwen Federal Bank FSB Mortgage Servicing Litigation, MDL Docket No. 1604 (the "MDL Proceeding"). The consolidated lawsuits in which the Bank and/or OCN are defendants involve 60 mortgage loans currently or previously serviced by the Bank. Additional similar lawsuits have been brought in other courts, some of which may be transferred to and consolidated in the MDL Proceeding. The borrowers in these lawsuits seek class action certification. No class has been certified in the MDL Proceeding or any related lawsuits. On August 23, 2004, plaintiffs in the MDL Proceeding filed a Consolidated Complaint containing various claims under federal statutes, including the Real Estate Settlement Procedures Act and Fair Debt Collection Practices Act,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and property inspection fees; (ii) untimely posting and misapplication of borrower payments; and (iii) improperly treating borrowers as in default on their loans. While the Consolidated Complaint does not set forth any specific amounts of claimed damages, plaintiffs are not precluded from requesting leave from the court to amend the Consolidated Complaint or otherwise seeking damages should the matter proceed to trial. On April 25, 2005, the court entered an Opinion and Order granting us partial summary judgment finding that, as a matter of law, the mortgage loan contracts signed by plaintiffs authorize the imposition of breach letter fees and other legitimate default or foreclosure related expenses. The court explained that its ruling was in favor of defendants to the specific and limited extent that plaintiffs' claims challenge the propriety of the above-mentioned fees. On March 22, 2006, the court denied defendants' motions to dismiss various portions of the Consolidated Complaint on federal preemption and procedural grounds, as well as our motion to dismiss OCN from the case for lack of personal jurisdiction. The court has not ruled on class certification. We cannot currently determine the ultimate outcome of the MDL Proceeding or the other matters described above and have not established a reserve in respect thereof. We believe the allegations in the MDL Proceeding and the other matters described above are without merit and will continue to vigorously defend against them.</w:t>
      </w:r>
    </w:p>
    <w:p>
      <w:pPr>
        <w:spacing w:after="0" w:line="34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November 3, 2004, the trial judge in litigation brought by Cartel Asset Management, Inc. ("Cartel") against OCN, the Bank and OTX in federal court in Denver, Colorado entered final judgment in the amount of $520 against OTX and nominal damages of two dollars against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021" w:gutter="0" w:footer="0" w:header="0"/>
        </w:sectPr>
      </w:pPr>
    </w:p>
    <w:bookmarkStart w:id="14" w:name="page15"/>
    <w:bookmarkEnd w:id="14"/>
    <w:p>
      <w:pPr>
        <w:ind w:right="3399"/>
        <w:spacing w:after="0" w:line="236" w:lineRule="auto"/>
        <w:rPr>
          <w:sz w:val="20"/>
          <w:szCs w:val="20"/>
          <w:color w:val="auto"/>
        </w:rPr>
      </w:pPr>
      <w:r>
        <w:rPr>
          <w:rFonts w:ascii="Courier New" w:cs="Courier New" w:eastAsia="Courier New" w:hAnsi="Courier New"/>
          <w:sz w:val="15"/>
          <w:szCs w:val="15"/>
          <w:color w:val="auto"/>
        </w:rPr>
        <w:t>Bank. No damages were entered against OCN. In the November 3, 2004 order, the judge reduced a prior jury verdict in the amount of $9,320 after trial on this matter involving allegations of misappropriation of trade secrets and contract-related claims brought by a former vendor. The litigation does not relate to our core Residential Servicing business. Notwithstanding the nominal damage award against the Bank, it was assessed a statutory award to Cartel of attorneys' fees in an additional amount of $170, and the Bank and OTX were further assessed costs in the amount of $9. Cartel and defendants are pursuing cross-appeals in the United States Court of Appeals for the Tenth Circuit. We intend to continue to vigorously defend this matter.</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8, 2005, a jury in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were reduced to final judgments on May 20, 2005, as well as an additional award of $900 in plaintiffs' attorneys' fees, are against the weight of evidence and contrary to law. Our appeals therefrom have been taken to the Florida Court of Appeals for the Fourth District. We intend to continue to vigorously defend this matter.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29, 2005, a jury in County Court for Galveston County, Texas, returned a verdict of $11,500 in compensatory and punitive damages and attorneys' fees against OCN in favor of a plaintiff borrower who defaulted on a mortgage loan we serviced. The plaintiff claimed that OCN's foreclosure on the loan violated the Texas Deceptive Trade Practices Act and other state statutes and common law. On February 9, 2006, the trial court reduced the jury verdict and entered judgment in the amount of $1,830 which was comprised of $5 in actual damages, approximately $675 in emotional distress, statutory and other damages and interest, and $1,150 for attorneys' fees. We believe the judgment was against the weight of evidence and contrary to law and have asked the trial court to set it aside. We intend to continue to vigorously defend this matter and, if necessary, will take an appeal to the Texas Court of Appeals.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OCN is also subject to various other pending legal proceedings. In our opinion, the resolution of these proceedings will not have a material effect on our financial condition, results of operations or cash flows. We continuously monitor the status of our litigation, including advice from external legal counsel, and perform periodic assessments of our litigation for potential loss accrual and disclosure. We accrue a litigation reserve when it is probable that a liability has been incurred and the amount of loss can be reasonably estimated.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There were no matters submitted to a vote of stockholders during the quarter ended December 31, 2005.</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700" w:right="3399" w:hanging="699"/>
        <w:spacing w:after="0" w:line="234" w:lineRule="auto"/>
        <w:rPr>
          <w:sz w:val="20"/>
          <w:szCs w:val="20"/>
          <w:color w:val="auto"/>
        </w:rPr>
      </w:pPr>
      <w:r>
        <w:rPr>
          <w:rFonts w:ascii="Courier New" w:cs="Courier New" w:eastAsia="Courier New" w:hAnsi="Courier New"/>
          <w:sz w:val="15"/>
          <w:szCs w:val="15"/>
          <w:color w:val="auto"/>
        </w:rPr>
        <w:t>ITEM 5. 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COMPANY'S COMMON STOCK</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common stock of Ocwen Financial Corporation is traded under the symbol "OCN" on the New York Stock Exchange ("NYSE"). The following table sets forth the high and low closing sales prices for our common stock, as traded on the NYSE: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High</w:t>
            </w:r>
          </w:p>
        </w:tc>
        <w:tc>
          <w:tcPr>
            <w:tcW w:w="4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1240" w:type="dxa"/>
            <w:vAlign w:val="bottom"/>
          </w:tcPr>
          <w:p>
            <w:pPr>
              <w:spacing w:after="0"/>
              <w:rPr>
                <w:sz w:val="14"/>
                <w:szCs w:val="14"/>
                <w:color w:val="auto"/>
              </w:rPr>
            </w:pPr>
          </w:p>
        </w:tc>
        <w:tc>
          <w:tcPr>
            <w:tcW w:w="4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9.54</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Second quarter</w:t>
            </w:r>
          </w:p>
        </w:tc>
        <w:tc>
          <w:tcPr>
            <w:tcW w:w="3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8.26</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3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7.92</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Fourth quarter</w:t>
            </w:r>
          </w:p>
        </w:tc>
        <w:tc>
          <w:tcPr>
            <w:tcW w:w="3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8.76</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11.50</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Second quarter</w:t>
            </w:r>
          </w:p>
        </w:tc>
        <w:tc>
          <w:tcPr>
            <w:tcW w:w="3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12.57</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3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11.99</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Fourth quarter</w:t>
            </w:r>
          </w:p>
        </w:tc>
        <w:tc>
          <w:tcPr>
            <w:tcW w:w="3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9.56</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r>
      <w:tr>
        <w:trPr>
          <w:trHeight w:val="336"/>
        </w:trPr>
        <w:tc>
          <w:tcPr>
            <w:tcW w:w="1240" w:type="dxa"/>
            <w:vAlign w:val="bottom"/>
          </w:tcPr>
          <w:p>
            <w:pPr>
              <w:spacing w:after="0"/>
              <w:rPr>
                <w:sz w:val="24"/>
                <w:szCs w:val="24"/>
                <w:color w:val="auto"/>
              </w:rPr>
            </w:pPr>
          </w:p>
        </w:tc>
        <w:tc>
          <w:tcPr>
            <w:tcW w:w="37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5" w:name="page16"/>
    <w:bookmarkEnd w:id="15"/>
    <w:p>
      <w:pPr>
        <w:ind w:left="440"/>
        <w:spacing w:after="0"/>
        <w:rPr>
          <w:sz w:val="20"/>
          <w:szCs w:val="20"/>
          <w:color w:val="auto"/>
        </w:rPr>
      </w:pPr>
      <w:r>
        <w:rPr>
          <w:rFonts w:ascii="Courier New" w:cs="Courier New" w:eastAsia="Courier New" w:hAnsi="Courier New"/>
          <w:sz w:val="15"/>
          <w:szCs w:val="15"/>
          <w:color w:val="auto"/>
        </w:rPr>
        <w:t>At the close of business on March 10, 2006, our common stock price was</w:t>
      </w:r>
    </w:p>
    <w:p>
      <w:pPr>
        <w:spacing w:after="0" w:line="237" w:lineRule="auto"/>
        <w:rPr>
          <w:sz w:val="20"/>
          <w:szCs w:val="20"/>
          <w:color w:val="auto"/>
        </w:rPr>
      </w:pPr>
      <w:r>
        <w:rPr>
          <w:rFonts w:ascii="Courier New" w:cs="Courier New" w:eastAsia="Courier New" w:hAnsi="Courier New"/>
          <w:sz w:val="15"/>
          <w:szCs w:val="15"/>
          <w:color w:val="auto"/>
        </w:rPr>
        <w:t>$9.84</w:t>
      </w:r>
    </w:p>
    <w:p>
      <w:pPr>
        <w:spacing w:after="0" w:line="173" w:lineRule="exact"/>
        <w:rPr>
          <w:sz w:val="20"/>
          <w:szCs w:val="20"/>
          <w:color w:val="auto"/>
        </w:rPr>
      </w:pPr>
    </w:p>
    <w:p>
      <w:pPr>
        <w:ind w:right="3320" w:firstLine="437"/>
        <w:spacing w:after="0" w:line="237" w:lineRule="auto"/>
        <w:rPr>
          <w:sz w:val="20"/>
          <w:szCs w:val="20"/>
          <w:color w:val="auto"/>
        </w:rPr>
      </w:pPr>
      <w:r>
        <w:rPr>
          <w:rFonts w:ascii="Courier New" w:cs="Courier New" w:eastAsia="Courier New" w:hAnsi="Courier New"/>
          <w:sz w:val="15"/>
          <w:szCs w:val="15"/>
          <w:color w:val="auto"/>
        </w:rPr>
        <w:t>The payment of any dividends by us will be significantly dependent on dividends and other payments received from our subsidiaries, which may be affected by either restrictive covenants or regulatory compliance. We do not currently pay cash dividends on common stock and have no current plans to do so in the future. The timing and amount of future dividends, if any, will be determined by our Board of Directors and will depend, among other factors, upon our earnings, financial condition, cash requirements, the capital requirements of subsidiaries and investment opportunities at the time any such payment is considered. In addition, the indentures relating to the Junior Subordinated Debentures as well as the covenants relating to our lines of credit and other secured borrowings and the Guaranty agreement with the OTS contain limitations on our payment of 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OF EQUITY SECURITIES BY THE ISSUER AND AFFILIATES</w:t>
      </w:r>
    </w:p>
    <w:p>
      <w:pPr>
        <w:spacing w:after="0" w:line="173" w:lineRule="exact"/>
        <w:rPr>
          <w:sz w:val="20"/>
          <w:szCs w:val="20"/>
          <w:color w:val="auto"/>
        </w:rPr>
      </w:pPr>
    </w:p>
    <w:p>
      <w:pPr>
        <w:ind w:right="3400" w:firstLine="437"/>
        <w:spacing w:after="0" w:line="234" w:lineRule="auto"/>
        <w:rPr>
          <w:sz w:val="20"/>
          <w:szCs w:val="20"/>
          <w:color w:val="auto"/>
        </w:rPr>
      </w:pPr>
      <w:r>
        <w:rPr>
          <w:rFonts w:ascii="Courier New" w:cs="Courier New" w:eastAsia="Courier New" w:hAnsi="Courier New"/>
          <w:sz w:val="15"/>
          <w:szCs w:val="15"/>
          <w:color w:val="auto"/>
        </w:rPr>
        <w:t>Information regarding purchases of our own common stock during 2005 is as follows:</w:t>
      </w:r>
    </w:p>
    <w:p>
      <w:pPr>
        <w:spacing w:after="0" w:line="200" w:lineRule="exact"/>
        <w:rPr>
          <w:sz w:val="20"/>
          <w:szCs w:val="20"/>
          <w:color w:val="auto"/>
        </w:rPr>
      </w:pPr>
    </w:p>
    <w:p>
      <w:pPr>
        <w:spacing w:after="0" w:line="303" w:lineRule="exact"/>
        <w:rPr>
          <w:sz w:val="20"/>
          <w:szCs w:val="20"/>
          <w:color w:val="auto"/>
        </w:rPr>
      </w:pPr>
    </w:p>
    <w:p>
      <w:pPr>
        <w:jc w:val="right"/>
        <w:ind w:right="340"/>
        <w:spacing w:after="0"/>
        <w:tabs>
          <w:tab w:leader="none" w:pos="1820" w:val="left"/>
        </w:tabs>
        <w:rPr>
          <w:sz w:val="20"/>
          <w:szCs w:val="20"/>
          <w:color w:val="auto"/>
        </w:rPr>
      </w:pPr>
      <w:r>
        <w:rPr>
          <w:rFonts w:ascii="Courier New" w:cs="Courier New" w:eastAsia="Courier New" w:hAnsi="Courier New"/>
          <w:sz w:val="15"/>
          <w:szCs w:val="15"/>
          <w:color w:val="auto"/>
        </w:rPr>
        <w:t>Total Number of Shares</w:t>
      </w:r>
      <w:r>
        <w:rPr>
          <w:sz w:val="20"/>
          <w:szCs w:val="20"/>
          <w:color w:val="auto"/>
        </w:rPr>
        <w:tab/>
      </w:r>
      <w:r>
        <w:rPr>
          <w:rFonts w:ascii="Courier New" w:cs="Courier New" w:eastAsia="Courier New" w:hAnsi="Courier New"/>
          <w:sz w:val="14"/>
          <w:szCs w:val="14"/>
          <w:color w:val="auto"/>
        </w:rPr>
        <w:t>Maximum Number of</w:t>
      </w:r>
    </w:p>
    <w:p>
      <w:pPr>
        <w:jc w:val="right"/>
        <w:ind w:right="180"/>
        <w:spacing w:after="0"/>
        <w:tabs>
          <w:tab w:leader="none" w:pos="2080" w:val="left"/>
        </w:tabs>
        <w:rPr>
          <w:sz w:val="20"/>
          <w:szCs w:val="20"/>
          <w:color w:val="auto"/>
        </w:rPr>
      </w:pPr>
      <w:r>
        <w:rPr>
          <w:rFonts w:ascii="Courier New" w:cs="Courier New" w:eastAsia="Courier New" w:hAnsi="Courier New"/>
          <w:sz w:val="15"/>
          <w:szCs w:val="15"/>
          <w:color w:val="auto"/>
        </w:rPr>
        <w:t>Purchased as Part of</w:t>
      </w:r>
      <w:r>
        <w:rPr>
          <w:sz w:val="20"/>
          <w:szCs w:val="20"/>
          <w:color w:val="auto"/>
        </w:rPr>
        <w:tab/>
      </w:r>
      <w:r>
        <w:rPr>
          <w:rFonts w:ascii="Courier New" w:cs="Courier New" w:eastAsia="Courier New" w:hAnsi="Courier New"/>
          <w:sz w:val="14"/>
          <w:szCs w:val="14"/>
          <w:color w:val="auto"/>
        </w:rPr>
        <w:t>Shares That May Yet Be</w:t>
      </w:r>
    </w:p>
    <w:p>
      <w:pPr>
        <w:jc w:val="right"/>
        <w:ind w:right="260"/>
        <w:spacing w:after="0"/>
        <w:tabs>
          <w:tab w:leader="none" w:pos="5660" w:val="left"/>
          <w:tab w:leader="none" w:pos="4080" w:val="left"/>
          <w:tab w:leader="none" w:pos="1900" w:val="left"/>
        </w:tabs>
        <w:rPr>
          <w:sz w:val="20"/>
          <w:szCs w:val="20"/>
          <w:color w:val="auto"/>
        </w:rPr>
      </w:pPr>
      <w:r>
        <w:rPr>
          <w:rFonts w:ascii="Courier New" w:cs="Courier New" w:eastAsia="Courier New" w:hAnsi="Courier New"/>
          <w:sz w:val="15"/>
          <w:szCs w:val="15"/>
          <w:color w:val="auto"/>
        </w:rPr>
        <w:t>Number of</w:t>
        <w:tab/>
        <w:t>Average Share</w:t>
      </w:r>
      <w:r>
        <w:rPr>
          <w:sz w:val="20"/>
          <w:szCs w:val="20"/>
          <w:color w:val="auto"/>
        </w:rPr>
        <w:tab/>
      </w:r>
      <w:r>
        <w:rPr>
          <w:rFonts w:ascii="Courier New" w:cs="Courier New" w:eastAsia="Courier New" w:hAnsi="Courier New"/>
          <w:sz w:val="15"/>
          <w:szCs w:val="15"/>
          <w:color w:val="auto"/>
        </w:rPr>
        <w:t>Publicly Announced</w:t>
      </w:r>
      <w:r>
        <w:rPr>
          <w:sz w:val="20"/>
          <w:szCs w:val="20"/>
          <w:color w:val="auto"/>
        </w:rPr>
        <w:tab/>
      </w:r>
      <w:r>
        <w:rPr>
          <w:rFonts w:ascii="Courier New" w:cs="Courier New" w:eastAsia="Courier New" w:hAnsi="Courier New"/>
          <w:sz w:val="14"/>
          <w:szCs w:val="14"/>
          <w:color w:val="auto"/>
        </w:rPr>
        <w:t>Purchased under the</w:t>
      </w:r>
    </w:p>
    <w:p>
      <w:pPr>
        <w:jc w:val="both"/>
        <w:ind w:left="1060"/>
        <w:spacing w:after="0"/>
        <w:tabs>
          <w:tab w:leader="none" w:pos="3580" w:val="left"/>
          <w:tab w:leader="none" w:pos="4620" w:val="left"/>
          <w:tab w:leader="none" w:pos="6540" w:val="left"/>
          <w:tab w:leader="none" w:pos="8920" w:val="left"/>
        </w:tabs>
        <w:rPr>
          <w:sz w:val="20"/>
          <w:szCs w:val="20"/>
          <w:color w:val="auto"/>
        </w:rPr>
      </w:pPr>
      <w:r>
        <w:rPr>
          <w:rFonts w:ascii="Courier New" w:cs="Courier New" w:eastAsia="Courier New" w:hAnsi="Courier New"/>
          <w:sz w:val="15"/>
          <w:szCs w:val="15"/>
          <w:color w:val="auto"/>
        </w:rPr>
        <w:t>Perioda</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 Paid</w:t>
      </w:r>
      <w:r>
        <w:rPr>
          <w:sz w:val="20"/>
          <w:szCs w:val="20"/>
          <w:color w:val="auto"/>
        </w:rPr>
        <w:tab/>
      </w:r>
      <w:r>
        <w:rPr>
          <w:rFonts w:ascii="Courier New" w:cs="Courier New" w:eastAsia="Courier New" w:hAnsi="Courier New"/>
          <w:sz w:val="15"/>
          <w:szCs w:val="15"/>
          <w:color w:val="auto"/>
        </w:rPr>
        <w:t>Plans (1)</w:t>
      </w:r>
      <w:r>
        <w:rPr>
          <w:sz w:val="20"/>
          <w:szCs w:val="20"/>
          <w:color w:val="auto"/>
        </w:rPr>
        <w:tab/>
      </w:r>
      <w:r>
        <w:rPr>
          <w:rFonts w:ascii="Courier New" w:cs="Courier New" w:eastAsia="Courier New" w:hAnsi="Courier New"/>
          <w:sz w:val="14"/>
          <w:szCs w:val="14"/>
          <w:color w:val="auto"/>
        </w:rPr>
        <w:t>Plans</w:t>
      </w:r>
    </w:p>
    <w:p>
      <w:pPr>
        <w:spacing w:after="0"/>
        <w:tabs>
          <w:tab w:leader="none" w:pos="3660" w:val="left"/>
          <w:tab w:leader="none" w:pos="4720" w:val="left"/>
          <w:tab w:leader="none" w:pos="6120" w:val="left"/>
          <w:tab w:leader="none" w:pos="8300" w:val="left"/>
        </w:tabs>
        <w:rPr>
          <w:sz w:val="20"/>
          <w:szCs w:val="20"/>
          <w:color w:val="auto"/>
        </w:rPr>
      </w:pPr>
      <w:r>
        <w:rPr>
          <w:rFonts w:ascii="Courier New" w:cs="Courier New" w:eastAsia="Courier New" w:hAnsi="Courier New"/>
          <w:sz w:val="15"/>
          <w:szCs w:val="15"/>
          <w:color w:val="auto"/>
        </w:rPr>
        <w:t>- --------------------------------------</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40"/>
          </w:cols>
          <w:pgMar w:left="220" w:top="617" w:right="143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Three months ended March 31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Three months ended June 30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Three months ended September 30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Three months ended December 31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for the year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5,568,900</w:t>
            </w:r>
          </w:p>
        </w:tc>
      </w:tr>
      <w:tr>
        <w:trPr>
          <w:trHeight w:val="168"/>
        </w:trPr>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5,568,900</w:t>
            </w:r>
          </w:p>
        </w:tc>
      </w:tr>
      <w:tr>
        <w:trPr>
          <w:trHeight w:val="168"/>
        </w:trPr>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5,568,900</w:t>
            </w:r>
          </w:p>
        </w:tc>
      </w:tr>
      <w:tr>
        <w:trPr>
          <w:trHeight w:val="168"/>
        </w:trPr>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5,568,900</w:t>
            </w:r>
          </w:p>
        </w:tc>
      </w:tr>
    </w:tbl>
    <w:p>
      <w:pPr>
        <w:spacing w:after="0" w:line="704" w:lineRule="exact"/>
        <w:rPr>
          <w:sz w:val="20"/>
          <w:szCs w:val="20"/>
          <w:color w:val="auto"/>
        </w:rPr>
      </w:pPr>
    </w:p>
    <w:p>
      <w:pPr>
        <w:sectPr>
          <w:pgSz w:w="11900" w:h="16838" w:orient="portrait"/>
          <w:cols w:equalWidth="0" w:num="2">
            <w:col w:w="4800" w:space="720"/>
            <w:col w:w="4720"/>
          </w:cols>
          <w:pgMar w:left="220" w:top="617" w:right="1439" w:bottom="1440" w:gutter="0" w:footer="0" w:header="0"/>
          <w:type w:val="continuous"/>
        </w:sectPr>
      </w:pPr>
    </w:p>
    <w:p>
      <w:pPr>
        <w:spacing w:after="0" w:line="141" w:lineRule="exact"/>
        <w:rPr>
          <w:sz w:val="20"/>
          <w:szCs w:val="20"/>
          <w:color w:val="auto"/>
        </w:rPr>
      </w:pPr>
    </w:p>
    <w:p>
      <w:pPr>
        <w:ind w:left="440" w:right="350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plan was announced May 9, 2000 to repurchase up to 6,000,000 shares of outstanding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73" w:lineRule="exact"/>
        <w:rPr>
          <w:sz w:val="20"/>
          <w:szCs w:val="20"/>
          <w:color w:val="auto"/>
        </w:rPr>
      </w:pPr>
    </w:p>
    <w:p>
      <w:pPr>
        <w:jc w:val="both"/>
        <w:ind w:right="3400" w:firstLine="437"/>
        <w:spacing w:after="0" w:line="256" w:lineRule="auto"/>
        <w:rPr>
          <w:sz w:val="20"/>
          <w:szCs w:val="20"/>
          <w:color w:val="auto"/>
        </w:rPr>
      </w:pPr>
      <w:r>
        <w:rPr>
          <w:rFonts w:ascii="Courier New" w:cs="Courier New" w:eastAsia="Courier New" w:hAnsi="Courier New"/>
          <w:sz w:val="14"/>
          <w:szCs w:val="14"/>
          <w:color w:val="auto"/>
        </w:rPr>
        <w:t>At March 10, 2006, 63,358,466 shares of our common stock were outstanding and held by approximately 1,287 holders of record. Such number of stockholders does not reflect the number of individuals or institutional investors holding our stock in nominee name through banks, brokerage firms and others.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 (Dollars in thousands, except share data)</w:t>
      </w:r>
    </w:p>
    <w:p>
      <w:pPr>
        <w:spacing w:after="0" w:line="173" w:lineRule="exact"/>
        <w:rPr>
          <w:sz w:val="20"/>
          <w:szCs w:val="20"/>
          <w:color w:val="auto"/>
        </w:rPr>
      </w:pPr>
    </w:p>
    <w:p>
      <w:pPr>
        <w:ind w:right="3240" w:firstLine="437"/>
        <w:spacing w:after="0" w:line="254" w:lineRule="auto"/>
        <w:rPr>
          <w:sz w:val="20"/>
          <w:szCs w:val="20"/>
          <w:color w:val="auto"/>
        </w:rPr>
      </w:pPr>
      <w:r>
        <w:rPr>
          <w:rFonts w:ascii="Courier New" w:cs="Courier New" w:eastAsia="Courier New" w:hAnsi="Courier New"/>
          <w:sz w:val="14"/>
          <w:szCs w:val="14"/>
          <w:color w:val="auto"/>
        </w:rPr>
        <w:t>The following tables present selected consolidated financial information of Ocwen Financial Corporation and its subsidiaries at the dates and for the years indicated. Our historical balance sheet and operations data at and for the five years ended December 31, 2005 have been derived from our audited financial statements. Prior to debanking we followed the presentation requirements of Securities and Exchange Commission Regulation S-X, Article 9, Bank Holding Companies. After debanking and effective December 31, 2005, we revised the presentation of our consolidated financial statements. These revisions consisted principally of reclassifying expenses formerly netted against related revenues to new expense categories and reclassifying certain liabilities for funds collected from borrowers that had been netted against cash to a new liability category. See Note 1 to the Consolidated Financial Statements for additional information regarding these reclassifications. We have reclassified certain amounts included in the prior years to conform to the 2005 presentation. 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74" w:lineRule="exact"/>
        <w:rPr>
          <w:sz w:val="20"/>
          <w:szCs w:val="20"/>
          <w:color w:val="auto"/>
        </w:rPr>
      </w:pPr>
    </w:p>
    <w:p>
      <w:pPr>
        <w:ind w:right="3320" w:firstLine="437"/>
        <w:spacing w:after="0" w:line="255" w:lineRule="auto"/>
        <w:rPr>
          <w:sz w:val="20"/>
          <w:szCs w:val="20"/>
          <w:color w:val="auto"/>
        </w:rPr>
      </w:pPr>
      <w:r>
        <w:rPr>
          <w:rFonts w:ascii="Courier New" w:cs="Courier New" w:eastAsia="Courier New" w:hAnsi="Courier New"/>
          <w:sz w:val="14"/>
          <w:szCs w:val="14"/>
          <w:color w:val="auto"/>
        </w:rPr>
        <w:t>Beginning in late 1999 and early 2000, we shifted our business activities away from businesses involving the acquisition of commercial loans, real estate and affordable housing properties. Since then, our results reflect the ongoing management and resolution of these assets, nearly all of which were sold or otherwise resolved by the end of 2005. At the same time, we shifted our focus toward growing fee-based businesses, primarily residential loan servicing. Effective June 30, 2005, we terminated our banking subsidiary's status as a federal savings bank and as a result we are no longer able to accept customer deposits in the U.S. On that same date, an unaffiliated bank assumed the customer deposits associated with our bank branch facility in New Jersey. Since 2000, we had been reducing our reliance on deposits as a source of funding.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40"/>
          </w:cols>
          <w:pgMar w:left="220" w:top="617" w:right="14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5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c>
          <w:tcPr>
            <w:tcW w:w="20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1,854,133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1,582,532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1,326,356</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1,291,762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1,783,663</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Loans held for resale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624,671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Match funded assets, net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377,105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280,760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130,087</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167,744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174,351</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Advances</w:t>
            </w:r>
          </w:p>
        </w:tc>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219,716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240,430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374,769</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266,356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283,183</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Mortgage servicing rights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148,663</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131,409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166,495</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171,611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101,107</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liabilities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1,504,873</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1,250,894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1,007,813</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923,017</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1,343,398</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Match funded liabilities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339,292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244,327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115,394</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147,071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156,908</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Debt securities, lines of credit and other secured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borrowings (1)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780,777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281,861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206,633</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159,721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324,013</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Deposits and escrows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376,591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546,145</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503,201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722,074</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Capital Securities (1)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56,249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61,159</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Stockholders' equity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347,407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330,108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317,258</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310,718</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379,106</w:t>
            </w:r>
          </w:p>
        </w:tc>
      </w:tr>
      <w:tr>
        <w:trPr>
          <w:trHeight w:val="841"/>
        </w:trPr>
        <w:tc>
          <w:tcPr>
            <w:tcW w:w="8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5"/>
          </w:tcPr>
          <w:p>
            <w:pPr>
              <w:jc w:val="right"/>
              <w:ind w:right="707"/>
              <w:spacing w:after="0"/>
              <w:rPr>
                <w:sz w:val="20"/>
                <w:szCs w:val="20"/>
                <w:color w:val="auto"/>
              </w:rPr>
            </w:pPr>
            <w:r>
              <w:rPr>
                <w:rFonts w:ascii="Courier New" w:cs="Courier New" w:eastAsia="Courier New" w:hAnsi="Courier New"/>
                <w:sz w:val="15"/>
                <w:szCs w:val="15"/>
                <w:color w:val="auto"/>
              </w:rPr>
              <w:t>For the Years Ended December 31,</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5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c>
          <w:tcPr>
            <w:tcW w:w="20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OPERATIONS DATA</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57,724</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revenue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375,376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359,886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315,133</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240,355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188,777</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expenses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353,486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335,439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295,560</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254,141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226,351</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Other income (expense) ................................</w:t>
            </w:r>
          </w:p>
        </w:tc>
        <w:tc>
          <w:tcPr>
            <w:tcW w:w="3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953</w:t>
            </w:r>
          </w:p>
        </w:tc>
        <w:tc>
          <w:tcPr>
            <w:tcW w:w="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(14,053)</w:t>
            </w:r>
          </w:p>
        </w:tc>
        <w:tc>
          <w:tcPr>
            <w:tcW w:w="2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(68,173)</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(4,208)</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tax expense (benefit)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5,815</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(32,324)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(loss) before effect of change in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principle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15,065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2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(84,941)</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 net of</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(2)</w:t>
            </w:r>
          </w:p>
        </w:tc>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16,166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EARNINGS (LOSS) PER SHARE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 (loss) before effect of accounting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2"/>
              </w:rPr>
              <w:t>change</w:t>
            </w:r>
          </w:p>
        </w:tc>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0.88</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Effect of change in accounting principle, net of</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tax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0.88</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Diluted: (3)</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 (loss) before effect of accounting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2"/>
              </w:rPr>
              <w:t>change</w:t>
            </w:r>
          </w:p>
        </w:tc>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Effect of change in accounting principle, net of</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tax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Basic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62,912,768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65,811,697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67,166,888</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67,321,299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67,227,058</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(3) .........................................</w:t>
            </w:r>
          </w:p>
        </w:tc>
        <w:tc>
          <w:tcPr>
            <w:tcW w:w="3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63,885,439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73,197,255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68,063,873</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67,321,299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67,227,058</w:t>
            </w:r>
          </w:p>
        </w:tc>
      </w:tr>
    </w:tbl>
    <w:p>
      <w:pPr>
        <w:spacing w:after="0" w:line="341" w:lineRule="exact"/>
        <w:rPr>
          <w:sz w:val="20"/>
          <w:szCs w:val="20"/>
          <w:color w:val="auto"/>
        </w:rPr>
      </w:pPr>
    </w:p>
    <w:p>
      <w:pPr>
        <w:ind w:left="440" w:right="4620"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with our adoption of Statement of Financial Accounting Standard ("SFAS") No. 150, "Accounting for Certain Financial Instruments with Characteristics of both Liabilities and Equity", on July 1, 2003, we reclassified the $56,249 outstanding balance of our Capital Securities to liabilities (Debt Securities). Beginning with the third quarter of 2003, distributions are reported as interest expense.</w:t>
      </w:r>
    </w:p>
    <w:p>
      <w:pPr>
        <w:spacing w:after="0" w:line="174" w:lineRule="exact"/>
        <w:rPr>
          <w:rFonts w:ascii="Courier New" w:cs="Courier New" w:eastAsia="Courier New" w:hAnsi="Courier New"/>
          <w:sz w:val="15"/>
          <w:szCs w:val="15"/>
          <w:color w:val="auto"/>
        </w:rPr>
      </w:pPr>
    </w:p>
    <w:p>
      <w:pPr>
        <w:ind w:left="440" w:right="4460"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of SFAS No. 142, "Goodwill and Other Intangible Assets", effective January 1, 2002 we reversed the unamortized balance of the excess of net assets acquired over purchase price (negative goodwill) of $18,333 we had originally recorded in connection with our acquisition of Ocwen Asset Investment Corp. in 1999 and recorded $3,333 of impairment charges on goodwill and intangible assets. These amounts have been reported as the effect of a change in accounting principle, net of an income tax benefit of $1,166.</w:t>
      </w:r>
    </w:p>
    <w:p>
      <w:pPr>
        <w:spacing w:after="0" w:line="177" w:lineRule="exact"/>
        <w:rPr>
          <w:rFonts w:ascii="Courier New" w:cs="Courier New" w:eastAsia="Courier New" w:hAnsi="Courier New"/>
          <w:sz w:val="15"/>
          <w:szCs w:val="15"/>
          <w:color w:val="auto"/>
        </w:rPr>
      </w:pPr>
    </w:p>
    <w:p>
      <w:pPr>
        <w:ind w:left="440" w:right="4460"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assumed conversion of the 3.25% Convertible Notes we issued in July 2004 has been reflected in the calculation of weighted average common shares outstanding in computing diluted earnings per share for 2004, in accordance with Emerging Issues Task Force ("EITF") Issue 04-8, "The Effect of Contingently Convertible Debt on Diluted Earnings per Share". Conversion of the Convertible Notes to common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460"/>
          </w:cols>
          <w:pgMar w:left="220" w:top="953" w:right="219" w:bottom="1021" w:gutter="0" w:footer="0" w:header="0"/>
        </w:sectPr>
      </w:pPr>
    </w:p>
    <w:bookmarkStart w:id="17" w:name="page18"/>
    <w:bookmarkEnd w:id="17"/>
    <w:p>
      <w:pPr>
        <w:jc w:val="both"/>
        <w:ind w:left="440" w:right="3319"/>
        <w:spacing w:after="0" w:line="258" w:lineRule="auto"/>
        <w:rPr>
          <w:sz w:val="20"/>
          <w:szCs w:val="20"/>
          <w:color w:val="auto"/>
        </w:rPr>
      </w:pPr>
      <w:r>
        <w:rPr>
          <w:rFonts w:ascii="Courier New" w:cs="Courier New" w:eastAsia="Courier New" w:hAnsi="Courier New"/>
          <w:sz w:val="14"/>
          <w:szCs w:val="14"/>
          <w:color w:val="auto"/>
        </w:rPr>
        <w:t>shares was not assumed for 2005 because the effect would be antidilutive. Interest expense, net of income tax, has been added back to net income for purposes of computing diluted earnings per share for 2004.</w:t>
      </w:r>
    </w:p>
    <w:p>
      <w:pPr>
        <w:spacing w:after="0" w:line="161" w:lineRule="exact"/>
        <w:rPr>
          <w:sz w:val="20"/>
          <w:szCs w:val="20"/>
          <w:color w:val="auto"/>
        </w:rPr>
      </w:pPr>
    </w:p>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w:t>
      </w:r>
    </w:p>
    <w:p>
      <w:pPr>
        <w:ind w:left="44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following discussion of our results of operations, consolidated financial condition and capital resources and liquidity should be read in conjunction with our Selected Consolidated Financial Information, Consolidated Financial Statements and the related notes, all included elsewhere 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in Note 1 of our Consolidated Financial Statements (which are incorporated herein by reference). The following is a summary of our more subjective and complex accounting policies, as they relate to our overall business strategy.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OF MORTGAGE SERVICING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most significant business is our Residential Servicing business. Inherent in our growth of this business has been the acquisition of mortgage servicing rights, an intangible asset representing the present value of the right to service loans in a portfolio. As of December 31, 2005, we held $148,663 of mortgage servicing rights with a fair value of $183,755. The most critical accounting policy for this business is the methodology we use to determine the value of mortgage servicing rights. Application of this methodology requires the development of a number of estimates, including anticipated amortization and periodic revaluation. We estimate the fair value of our mortgage servicing rights based on the results of our internal valuation and an external valuation obtained from an independent third-party valuation specialist. Our internal valuation calculates the present value of estimated future cash flows utilizing market-based assumptions. The more significant assumptions used in our internal valuation include:</w:t>
      </w:r>
    </w:p>
    <w:p>
      <w:pPr>
        <w:spacing w:after="0" w:line="167"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speeds</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Compensating interest expense</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Delinquency experience</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the cost of servicing advances</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float earnings</w:t>
      </w:r>
    </w:p>
    <w:p>
      <w:pPr>
        <w:ind w:left="440" w:hanging="430"/>
        <w:spacing w:after="0" w:line="23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servicing</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Prepayment speeds and delinquency experience are derived from our historical experience by strata. Our strata are based upon loan type, which represents the predominant risk characteristics of the underlying loans, including:</w:t>
      </w:r>
    </w:p>
    <w:p>
      <w:pPr>
        <w:spacing w:after="0" w:line="169"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w:t>
      </w:r>
    </w:p>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 A</w:t>
      </w:r>
    </w:p>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High-loan-to-value</w:t>
      </w:r>
    </w:p>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Re-performing</w:t>
      </w:r>
    </w:p>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servicing</w:t>
      </w:r>
    </w:p>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Non-residential mortgage</w:t>
      </w:r>
    </w:p>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For the Subprime and Alt A loan types, the loans are further stratified by product type between adjustable and fixed rate.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8" w:name="page19"/>
    <w:bookmarkEnd w:id="18"/>
    <w:p>
      <w:pPr>
        <w:ind w:right="3239" w:firstLine="437"/>
        <w:spacing w:after="0" w:line="235" w:lineRule="auto"/>
        <w:rPr>
          <w:sz w:val="20"/>
          <w:szCs w:val="20"/>
          <w:color w:val="auto"/>
        </w:rPr>
      </w:pPr>
      <w:r>
        <w:rPr>
          <w:rFonts w:ascii="Courier New" w:cs="Courier New" w:eastAsia="Courier New" w:hAnsi="Courier New"/>
          <w:sz w:val="15"/>
          <w:szCs w:val="15"/>
          <w:color w:val="auto"/>
        </w:rPr>
        <w:t>The table presented below provides overall prepayment speed and delinquency assumptions (expressed as a percentage) by strata projected over a five-year period as of December 31, 2005:</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Prepayment Speed</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Delinquency</w:t>
            </w:r>
          </w:p>
        </w:tc>
      </w:tr>
      <w:tr>
        <w:trPr>
          <w:trHeight w:val="168"/>
        </w:trPr>
        <w:tc>
          <w:tcPr>
            <w:tcW w:w="350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Subprime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-- 48%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ALT A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-- 51%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High LTV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-- 51%</w:t>
            </w:r>
          </w:p>
        </w:tc>
        <w:tc>
          <w:tcPr>
            <w:tcW w:w="44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Re-performing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-- 34%</w:t>
            </w:r>
          </w:p>
        </w:tc>
        <w:tc>
          <w:tcPr>
            <w:tcW w:w="44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servicing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-- 36%</w:t>
            </w:r>
          </w:p>
        </w:tc>
        <w:tc>
          <w:tcPr>
            <w:tcW w:w="44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Non-residential mortgage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-- 51%</w:t>
            </w:r>
          </w:p>
        </w:tc>
        <w:tc>
          <w:tcPr>
            <w:tcW w:w="44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-- 30%</w:t>
            </w:r>
          </w:p>
        </w:tc>
        <w:tc>
          <w:tcPr>
            <w:tcW w:w="44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r>
    </w:tbl>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discount rate, interest rate for the cost of financing advances, interest rate for float earnings and the cost of servicing are based on the market assumptions provided by our third-party valuation specialist. As of December 31, 2005, these assumptions were as follows:</w:t>
      </w:r>
    </w:p>
    <w:p>
      <w:pPr>
        <w:spacing w:after="0" w:line="169"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 of 18%</w:t>
      </w:r>
    </w:p>
    <w:p>
      <w:pPr>
        <w:spacing w:after="0" w:line="4"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of one-month LIBOR plus 200 basis points for the cost of financing advances</w:t>
      </w:r>
    </w:p>
    <w:p>
      <w:pPr>
        <w:ind w:left="440" w:hanging="430"/>
        <w:spacing w:after="0" w:line="237"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equal to the Federal Funds Rate for float earnings</w:t>
      </w:r>
    </w:p>
    <w:p>
      <w:pPr>
        <w:spacing w:after="0" w:line="5"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Assumptions regarding the cost of servicing vary by strata, and range from a low of $65 per year for a performing Alt A loan to a high of $710 per year for a loan that is in foreclosure.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Changes in these assumptions are generally expected to impact our results of operations as summarized below:</w:t>
      </w:r>
    </w:p>
    <w:p>
      <w:pPr>
        <w:spacing w:after="0" w:line="173" w:lineRule="exact"/>
        <w:rPr>
          <w:sz w:val="20"/>
          <w:szCs w:val="20"/>
          <w:color w:val="auto"/>
        </w:rPr>
      </w:pPr>
    </w:p>
    <w:p>
      <w:pPr>
        <w:ind w:left="440" w:right="3399" w:hanging="430"/>
        <w:spacing w:after="0" w:line="254"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prepayment speeds generally reduce the value of our mortgage servicing rights as the underlying loans prepay faster, causing higher mortgage servicing rights amortization, higher compensating interest payments and lower overall servicing fees, partially offset by lower overall cost of servicing and increased float balances and income.</w:t>
      </w:r>
    </w:p>
    <w:p>
      <w:pPr>
        <w:spacing w:after="0" w:line="1" w:lineRule="exact"/>
        <w:rPr>
          <w:rFonts w:ascii="Courier New" w:cs="Courier New" w:eastAsia="Courier New" w:hAnsi="Courier New"/>
          <w:sz w:val="14"/>
          <w:szCs w:val="14"/>
          <w:color w:val="auto"/>
        </w:rPr>
      </w:pPr>
    </w:p>
    <w:p>
      <w:pPr>
        <w:ind w:left="440" w:right="3319"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delinquencies generally reduce the value of our mortgage servicing rights as the cost of servicing increases during the delinquency period and the amount of servicing advances and related interest expense increases.</w:t>
      </w:r>
    </w:p>
    <w:p>
      <w:pPr>
        <w:spacing w:after="0" w:line="7"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discount rate reduce the value of our mortgage servicing rights due to the lower overall net present value of the combined cash flows.</w:t>
      </w:r>
    </w:p>
    <w:p>
      <w:pPr>
        <w:spacing w:after="0" w:line="5"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interest rate assumptions for the cost of servicing advances will increase interest expense while rate increases will also increase the amount of float earnings we recognize as fee income.</w:t>
      </w:r>
    </w:p>
    <w:p>
      <w:pPr>
        <w:spacing w:after="0" w:line="5"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interest rate assumptions also generally increase the value of our mortgage servicing rights as the projected prepayment rate for the underlying loans slows, while decreases in interest rate assumptions generally reduce the value of our mortgage servicing rights as the projected prepayment rate for the underlying loans increases.</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We perform an interest rate sensitivity analysis of our mortgage servicing rights portfolio every quarter. We currently estimate that the fair value of the portfolio increases by 3.21% for every 50 basis point (bps) increase in interest rates and reduces by 3.37% for every 50 bps decline in interest rates.</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An impairment analysis is performed after grouping our loans into the seven strata based on loan type which represents the predominant risk characteristics of the underlying loans. The risk factors used to assign loans to strata include the credit score (FICO) of the borrower, the loan to value ratio, the type of asset (mortgage or non-mortgage) and the default risk.</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amortize mortgage servicing rights over the period of estimated net servicing income based on our projections of the amount and timing of future cash flows. The amount and timing of servicing asset amortization is adjusted periodically based on actual results and updated projections. During 2003 and 2004, and most of 2005, mortgage prepayment speeds in our servicing portfolio remained high, resulting in a substantial rate of amortization of the balance of servicing rights.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OF DEFERRED TAX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Another accounting policy that requires the use of estimates and the application of judgment is the determination of our overall tax provision and the evaluation of the realizability of our gross deferred tax assets. As of December 31, 2005 we had gross deferred tax assets of $184,072, and a corresponding valuation allowance of $163,802 resulting in a net deferred tax asset of $20,270. Our valuation allowance was primarily established in 2001, when we recorded an $83,000 provision to increase the valuation allowance on our prior years' deferred tax assets. During 2003 and 2002, we provided an additional valuation allowance equal to the amount of any deferred tax assets recorded during the year. During</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9" w:name="page20"/>
    <w:bookmarkEnd w:id="19"/>
    <w:p>
      <w:pPr>
        <w:ind w:right="3319"/>
        <w:spacing w:after="0" w:line="255" w:lineRule="auto"/>
        <w:rPr>
          <w:sz w:val="20"/>
          <w:szCs w:val="20"/>
          <w:color w:val="auto"/>
        </w:rPr>
      </w:pPr>
      <w:r>
        <w:rPr>
          <w:rFonts w:ascii="Courier New" w:cs="Courier New" w:eastAsia="Courier New" w:hAnsi="Courier New"/>
          <w:sz w:val="14"/>
          <w:szCs w:val="14"/>
          <w:color w:val="auto"/>
        </w:rPr>
        <w:t>2004, we recorded a $35,518 partial reversal of the valuation allowance we had established on the deferred tax asset in prior years. This reduction in the allowance in 2004 was the result of refund claims we filed with the IRS that reduced our deferred tax asset and increased our income tax receivable balance by the same amount. The evaluation of the need to maintain our valuation allowance takes into consideration our recent earnings history, current tax position and estimates of future taxable income. The tax character (ordinary versus capital) and the carry-forward and carry-back periods of certain tax attributes (e.g., capital losses and tax credits) are also considered. Significant judgment is required in considering the relative impact of negative and positive evidence related to realizability of the deferred tax assets. The determination of the amount of the aggregate valuation allowance is based on scenario analyses of the projected results of operations by line of business resulting in a range of potential valuation allowances, within which a final amount is determined. We assess the amount of the valuation allowance each quarter and a change in the valuation allowance may be warranted in the future.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FINANCIAL CONDITION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assets rose to $1,854,133 during 2005, as compared to $1,582,532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December 31, 2004. This increase is primarily due to a $616,234 increase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loans held for resale, which is largely comprised of residential loans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purchased during the fourth quarter, and a $96,345 increase in match funded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servicing advances. Offsetting these increases was a $357,810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decline in cash and investment grade securities which largely resulted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payment we made to Marathon upon its assumption of the customer deposit</w:t>
      </w:r>
    </w:p>
    <w:p>
      <w:pPr>
        <w:spacing w:after="0" w:line="237" w:lineRule="auto"/>
        <w:rPr>
          <w:sz w:val="20"/>
          <w:szCs w:val="20"/>
          <w:color w:val="auto"/>
        </w:rPr>
      </w:pPr>
      <w:r>
        <w:rPr>
          <w:rFonts w:ascii="Courier New" w:cs="Courier New" w:eastAsia="Courier New" w:hAnsi="Courier New"/>
          <w:sz w:val="15"/>
          <w:szCs w:val="15"/>
          <w:color w:val="auto"/>
        </w:rPr>
        <w:t>liabilities in connection with debanking. Also, during 2005 we collected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$63,398 of federal income tax refund claims and related interest that existed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Total liabilities increased to $1,504,873 at December 31, 2005 as compared to $1,250,894 at December 31, 2004. This increase is largely the result of a repurchase agreement with a balance of $459,400 entered into to finance the purchase of loans held for resale and a $94,965 increase in match funded liabilities as we utilized increased borrowing capacity. Offsetting these increases was the removal of customer deposits and escrow deposits from our balance sheet at the completion of debanking. These deposits totaled $376,591 at December 31, 2004. Also, during 2005, we repurchased $76,920 of our debt securities.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December 31, 2005, we had $269,611 of cash, $398,321 of unused borrowing capacity on our existing lines, including $178,831 that is available to a consolidated VIE, and $347,407 of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recorded net income of $15,065 for 2005 as compared to net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$57,724 and $4,772 for 2004 and 2003, respectively. Our basic earnings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$0.24 for 2005, as compared to $0.88 and $0.07 for 2004 and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Net income for 2004 includes an income tax benefit of $32,324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largely resulted from a $35,518 partial reversal of the valuation allowance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had established on our deferred tax asset in prior years. Pre-tax income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$20,880, $25,400 and $5,520 for 2005, 2004 and 2003, respectively.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2005 results reflect a strong performance in our Residential Servicing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whose pre-tax income rose by $5,056, or 30% in 2005 as compared to 2004.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increase primarily reflects the positive impact of rising short-term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 on our revenue from custodial accounts ("float earnings") and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total operating expenses, offset in part by continued high mortgage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 speeds for most of 2005 and a reduction in the properties being</w:t>
      </w:r>
    </w:p>
    <w:p>
      <w:pPr>
        <w:spacing w:after="0" w:line="237" w:lineRule="auto"/>
        <w:rPr>
          <w:sz w:val="20"/>
          <w:szCs w:val="20"/>
          <w:color w:val="auto"/>
        </w:rPr>
      </w:pPr>
      <w:r>
        <w:rPr>
          <w:rFonts w:ascii="Courier New" w:cs="Courier New" w:eastAsia="Courier New" w:hAnsi="Courier New"/>
          <w:sz w:val="15"/>
          <w:szCs w:val="15"/>
          <w:color w:val="auto"/>
        </w:rPr>
        <w:t>marketed under our contract with the United States Department of Veterans</w:t>
      </w:r>
    </w:p>
    <w:p>
      <w:pPr>
        <w:spacing w:after="0" w:line="238" w:lineRule="auto"/>
        <w:rPr>
          <w:sz w:val="20"/>
          <w:szCs w:val="20"/>
          <w:color w:val="auto"/>
        </w:rPr>
      </w:pPr>
      <w:r>
        <w:rPr>
          <w:rFonts w:ascii="Courier New" w:cs="Courier New" w:eastAsia="Courier New" w:hAnsi="Courier New"/>
          <w:sz w:val="15"/>
          <w:szCs w:val="15"/>
          <w:color w:val="auto"/>
        </w:rPr>
        <w:t>Affairs ("VA"). Residential Servicing is our most profitable segment with</w:t>
      </w:r>
    </w:p>
    <w:p>
      <w:pPr>
        <w:spacing w:after="0" w:line="237" w:lineRule="auto"/>
        <w:rPr>
          <w:sz w:val="20"/>
          <w:szCs w:val="20"/>
          <w:color w:val="auto"/>
        </w:rPr>
      </w:pPr>
      <w:r>
        <w:rPr>
          <w:rFonts w:ascii="Courier New" w:cs="Courier New" w:eastAsia="Courier New" w:hAnsi="Courier New"/>
          <w:sz w:val="15"/>
          <w:szCs w:val="15"/>
          <w:color w:val="auto"/>
        </w:rPr>
        <w:t>pre-tax income of $21,695, $16,639 and $25,683 for 2005, 2004 and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After incurring pre-tax losses in 2003 and 2004 due to significant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start-up costs related to our international operations, Commercial Servicing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earned a profit of $2,940 in 2005 on higher fees earned from both domestic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 Offsetting these improvements were declines in both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Residential Origination Services and Ocwen Recovery Group segments. Pre-tax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for Residential Origination Services declined by $17,953 or 133% in 2005,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reflecting losses from our new mortgage due diligence and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processing business, reduced earnings from our UK residual security portfolio,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to recognize the full impairment of a working capital investment in a</w:t>
      </w:r>
    </w:p>
    <w:p>
      <w:pPr>
        <w:spacing w:after="0" w:line="237" w:lineRule="auto"/>
        <w:rPr>
          <w:sz w:val="20"/>
          <w:szCs w:val="20"/>
          <w:color w:val="auto"/>
        </w:rPr>
      </w:pPr>
      <w:r>
        <w:rPr>
          <w:rFonts w:ascii="Courier New" w:cs="Courier New" w:eastAsia="Courier New" w:hAnsi="Courier New"/>
          <w:sz w:val="15"/>
          <w:szCs w:val="15"/>
          <w:color w:val="auto"/>
        </w:rPr>
        <w:t>consolidated variable interest entity ("VIE") and a charge to reduce the</w:t>
      </w:r>
    </w:p>
    <w:p>
      <w:pPr>
        <w:spacing w:after="0" w:line="238" w:lineRule="auto"/>
        <w:rPr>
          <w:sz w:val="20"/>
          <w:szCs w:val="20"/>
          <w:color w:val="auto"/>
        </w:rPr>
      </w:pPr>
      <w:r>
        <w:rPr>
          <w:rFonts w:ascii="Courier New" w:cs="Courier New" w:eastAsia="Courier New" w:hAnsi="Courier New"/>
          <w:sz w:val="15"/>
          <w:szCs w:val="15"/>
          <w:color w:val="auto"/>
        </w:rPr>
        <w:t>carrying value of our loans held for resale to market value. After being</w:t>
      </w:r>
    </w:p>
    <w:p>
      <w:pPr>
        <w:spacing w:after="0" w:line="237" w:lineRule="auto"/>
        <w:rPr>
          <w:sz w:val="20"/>
          <w:szCs w:val="20"/>
          <w:color w:val="auto"/>
        </w:rPr>
      </w:pPr>
      <w:r>
        <w:rPr>
          <w:rFonts w:ascii="Courier New" w:cs="Courier New" w:eastAsia="Courier New" w:hAnsi="Courier New"/>
          <w:sz w:val="15"/>
          <w:szCs w:val="15"/>
          <w:color w:val="auto"/>
        </w:rPr>
        <w:t>profitable in 2003 and 2004, Ocwen Recovery Group incurred a pre-tax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$(684) in 2005 primarily reflecting a shift in revenue from maturing proprietary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to lower yielding third-party contracts.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Results of our Corporate Items and Other segment have continued to improve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pretax income of $154 in 2005 as compared to losses of ($10,639)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($27,153) in 2004 and 2003. This improvement is largely due to reduced interest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the recognition of interest income on federal income tax refund claims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2005 and 2004, gains from the repurchase of debt securities in 2005 and</w:t>
      </w:r>
    </w:p>
    <w:p>
      <w:pPr>
        <w:spacing w:after="0" w:line="237" w:lineRule="auto"/>
        <w:rPr>
          <w:sz w:val="20"/>
          <w:szCs w:val="20"/>
          <w:color w:val="auto"/>
        </w:rPr>
      </w:pPr>
      <w:r>
        <w:rPr>
          <w:rFonts w:ascii="Courier New" w:cs="Courier New" w:eastAsia="Courier New" w:hAnsi="Courier New"/>
          <w:sz w:val="15"/>
          <w:szCs w:val="15"/>
          <w:color w:val="auto"/>
        </w:rPr>
        <w:t>reduced losses from the Commercial Assets business.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We provide additional financial information and discuss our segment results in the following section.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349"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SEGMENTS</w:t>
      </w:r>
    </w:p>
    <w:p>
      <w:pPr>
        <w:spacing w:after="0" w:line="173" w:lineRule="exact"/>
        <w:rPr>
          <w:sz w:val="20"/>
          <w:szCs w:val="20"/>
          <w:color w:val="auto"/>
        </w:rPr>
      </w:pPr>
    </w:p>
    <w:p>
      <w:pPr>
        <w:ind w:right="4460" w:firstLine="437"/>
        <w:spacing w:after="0" w:line="235" w:lineRule="auto"/>
        <w:rPr>
          <w:sz w:val="20"/>
          <w:szCs w:val="20"/>
          <w:color w:val="auto"/>
        </w:rPr>
      </w:pPr>
      <w:r>
        <w:rPr>
          <w:rFonts w:ascii="Courier New" w:cs="Courier New" w:eastAsia="Courier New" w:hAnsi="Courier New"/>
          <w:sz w:val="15"/>
          <w:szCs w:val="15"/>
          <w:color w:val="auto"/>
        </w:rPr>
        <w:t>The following section provides a discussion of the changes in financial condition of our business segments during the year ended December 31, 2005 and a discussion of pre-tax results of operations of our business segments for the three-year period ended December 31, 2005.</w:t>
      </w:r>
    </w:p>
    <w:p>
      <w:pPr>
        <w:spacing w:after="0" w:line="175" w:lineRule="exact"/>
        <w:rPr>
          <w:sz w:val="20"/>
          <w:szCs w:val="20"/>
          <w:color w:val="auto"/>
        </w:rPr>
      </w:pPr>
    </w:p>
    <w:p>
      <w:pPr>
        <w:ind w:right="4900" w:firstLine="437"/>
        <w:spacing w:after="0" w:line="234" w:lineRule="auto"/>
        <w:rPr>
          <w:sz w:val="20"/>
          <w:szCs w:val="20"/>
          <w:color w:val="auto"/>
        </w:rPr>
      </w:pPr>
      <w:r>
        <w:rPr>
          <w:rFonts w:ascii="Courier New" w:cs="Courier New" w:eastAsia="Courier New" w:hAnsi="Courier New"/>
          <w:sz w:val="15"/>
          <w:szCs w:val="15"/>
          <w:color w:val="auto"/>
        </w:rPr>
        <w:t>The following table presents the assets and liabilities of each of our business segments at December 31,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Ocwen</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Residential</w:t>
            </w:r>
          </w:p>
        </w:tc>
        <w:tc>
          <w:tcPr>
            <w:tcW w:w="2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Business</w:t>
            </w:r>
          </w:p>
        </w:tc>
        <w:tc>
          <w:tcPr>
            <w:tcW w:w="220" w:type="dxa"/>
            <w:vAlign w:val="bottom"/>
          </w:tcPr>
          <w:p>
            <w:pPr>
              <w:spacing w:after="0"/>
              <w:rPr>
                <w:sz w:val="14"/>
                <w:szCs w:val="14"/>
                <w:color w:val="auto"/>
              </w:rPr>
            </w:pPr>
          </w:p>
        </w:tc>
        <w:tc>
          <w:tcPr>
            <w:tcW w:w="10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Corporate</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Business</w:t>
            </w:r>
          </w:p>
        </w:tc>
      </w:tr>
      <w:tr>
        <w:trPr>
          <w:trHeight w:val="168"/>
        </w:trPr>
        <w:tc>
          <w:tcPr>
            <w:tcW w:w="294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Residential</w:t>
            </w: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Commercial</w:t>
            </w:r>
          </w:p>
        </w:tc>
        <w:tc>
          <w:tcPr>
            <w:tcW w:w="2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Recovery</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Origination</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Process</w:t>
            </w:r>
          </w:p>
        </w:tc>
        <w:tc>
          <w:tcPr>
            <w:tcW w:w="22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Items and</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Segments</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Servicing</w:t>
            </w:r>
          </w:p>
        </w:tc>
        <w:tc>
          <w:tcPr>
            <w:tcW w:w="22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Servicing</w:t>
            </w:r>
          </w:p>
        </w:tc>
        <w:tc>
          <w:tcPr>
            <w:tcW w:w="2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Group</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Outsourcing</w:t>
            </w:r>
          </w:p>
        </w:tc>
        <w:tc>
          <w:tcPr>
            <w:tcW w:w="22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264,373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269,611</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grade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1,685</w:t>
            </w:r>
          </w:p>
        </w:tc>
      </w:tr>
      <w:tr>
        <w:trPr>
          <w:trHeight w:val="168"/>
        </w:trPr>
        <w:tc>
          <w:tcPr>
            <w:tcW w:w="294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Subordinates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residuals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27,023</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30,277</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Loans held for resale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624,671</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624,671</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Match funded assets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377,105</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377,105</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Advances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215,207</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3,022</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1,098</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219,716</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Mortgage servicing rights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148,663</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148,663</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Receivables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23,323</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2,508</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864</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18,497</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21,891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68,266</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Premises and equipment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1,730</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302</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719</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37,227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40,108</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assets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17,532</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3,319</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52,985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74,031</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783,560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679,432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382,513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1,854,133</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339,292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339,292</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Servicer liabilities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298,892</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298,892</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Lines of credit and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secured borrowings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81,218</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530,569</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14,661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626,448</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Debt securities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154,329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154,329</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liabilities ...........</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26,358</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3,220</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2,773</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7,657</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45,904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85,912</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745,760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2,773</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538,226</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214,894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1,504,873</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60"/>
          </w:cols>
          <w:pgMar w:left="220" w:top="617" w:right="219" w:bottom="1440" w:gutter="0" w:footer="0" w:header="0"/>
        </w:sectPr>
      </w:pPr>
    </w:p>
    <w:bookmarkStart w:id="21" w:name="page22"/>
    <w:bookmarkEnd w:id="21"/>
    <w:p>
      <w:pPr>
        <w:ind w:right="4700" w:firstLine="437"/>
        <w:spacing w:after="0" w:line="234" w:lineRule="auto"/>
        <w:rPr>
          <w:sz w:val="20"/>
          <w:szCs w:val="20"/>
          <w:color w:val="auto"/>
        </w:rPr>
      </w:pPr>
      <w:r>
        <w:rPr>
          <w:rFonts w:ascii="Courier New" w:cs="Courier New" w:eastAsia="Courier New" w:hAnsi="Courier New"/>
          <w:sz w:val="15"/>
          <w:szCs w:val="15"/>
          <w:color w:val="auto"/>
        </w:rPr>
        <w:t>The following table presents the pre-tax statement of operations for each of our business segments for the year ended December 31,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Ocwen</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Residential</w:t>
            </w:r>
          </w:p>
        </w:tc>
        <w:tc>
          <w:tcPr>
            <w:tcW w:w="1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Business</w:t>
            </w:r>
          </w:p>
        </w:tc>
        <w:tc>
          <w:tcPr>
            <w:tcW w:w="180" w:type="dxa"/>
            <w:vAlign w:val="bottom"/>
          </w:tcPr>
          <w:p>
            <w:pPr>
              <w:spacing w:after="0"/>
              <w:rPr>
                <w:sz w:val="14"/>
                <w:szCs w:val="14"/>
                <w:color w:val="auto"/>
              </w:rPr>
            </w:pP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Corporate</w:t>
            </w:r>
          </w:p>
        </w:tc>
        <w:tc>
          <w:tcPr>
            <w:tcW w:w="200" w:type="dxa"/>
            <w:vAlign w:val="bottom"/>
          </w:tcPr>
          <w:p>
            <w:pPr>
              <w:spacing w:after="0"/>
              <w:rPr>
                <w:sz w:val="14"/>
                <w:szCs w:val="14"/>
                <w:color w:val="auto"/>
              </w:rPr>
            </w:pPr>
          </w:p>
        </w:tc>
        <w:tc>
          <w:tcPr>
            <w:tcW w:w="10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Business</w:t>
            </w:r>
          </w:p>
        </w:tc>
      </w:tr>
      <w:tr>
        <w:trPr>
          <w:trHeight w:val="168"/>
        </w:trPr>
        <w:tc>
          <w:tcPr>
            <w:tcW w:w="2940" w:type="dxa"/>
            <w:vAlign w:val="bottom"/>
          </w:tcPr>
          <w:p>
            <w:pPr>
              <w:spacing w:after="0"/>
              <w:rPr>
                <w:sz w:val="14"/>
                <w:szCs w:val="14"/>
                <w:color w:val="auto"/>
              </w:rPr>
            </w:pPr>
          </w:p>
        </w:tc>
        <w:tc>
          <w:tcPr>
            <w:tcW w:w="1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Residential</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Commercial</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Recovery</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Origination</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Process</w:t>
            </w:r>
          </w:p>
        </w:tc>
        <w:tc>
          <w:tcPr>
            <w:tcW w:w="180" w:type="dxa"/>
            <w:vAlign w:val="bottom"/>
          </w:tcPr>
          <w:p>
            <w:pPr>
              <w:spacing w:after="0"/>
              <w:rPr>
                <w:sz w:val="14"/>
                <w:szCs w:val="14"/>
                <w:color w:val="auto"/>
              </w:rPr>
            </w:pPr>
          </w:p>
        </w:tc>
        <w:tc>
          <w:tcPr>
            <w:tcW w:w="10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Items and</w:t>
            </w:r>
          </w:p>
        </w:tc>
        <w:tc>
          <w:tcPr>
            <w:tcW w:w="200" w:type="dxa"/>
            <w:vAlign w:val="bottom"/>
          </w:tcPr>
          <w:p>
            <w:pPr>
              <w:spacing w:after="0"/>
              <w:rPr>
                <w:sz w:val="14"/>
                <w:szCs w:val="14"/>
                <w:color w:val="auto"/>
              </w:rPr>
            </w:pPr>
          </w:p>
        </w:tc>
        <w:tc>
          <w:tcPr>
            <w:tcW w:w="10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Segments</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Servicing</w:t>
            </w:r>
          </w:p>
        </w:tc>
        <w:tc>
          <w:tcPr>
            <w:tcW w:w="1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Servicing</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Group</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Outsourcing</w:t>
            </w:r>
          </w:p>
        </w:tc>
        <w:tc>
          <w:tcPr>
            <w:tcW w:w="180" w:type="dxa"/>
            <w:vAlign w:val="bottom"/>
          </w:tcPr>
          <w:p>
            <w:pPr>
              <w:spacing w:after="0"/>
              <w:rPr>
                <w:sz w:val="14"/>
                <w:szCs w:val="14"/>
                <w:color w:val="auto"/>
              </w:rPr>
            </w:pP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Other</w:t>
            </w:r>
          </w:p>
        </w:tc>
        <w:tc>
          <w:tcPr>
            <w:tcW w:w="12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Servicing and subservicing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fees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268,122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14,030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w:t>
            </w:r>
          </w:p>
        </w:tc>
        <w:tc>
          <w:tcPr>
            <w:tcW w:w="2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293,569</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Process management fees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7,423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54,511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11,265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(1,238)</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71,961</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revenues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4,115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5,481</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9,846</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279,660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19,511</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54,732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11,265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(1,475)</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375,376</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and benefits</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35,022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8,943</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5,437</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12,581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3,776</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28,866</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94,625</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servicing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rights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96,692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96,692</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Occupancy and equipment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1,643</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3,754</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17,676</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Technology and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communications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22,700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3,119</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1,871</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2,386</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(7,239)</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30,375</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Professional services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13,862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6,711</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25,975</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Servicing and origination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36,446</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24,049</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61,083</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operating expenses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22,190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2,270</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3,094</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21,730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(25,421)</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27,060</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236,517</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16,419</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12,715</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71,221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9,945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6,669</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353,486</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income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16,745</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7,784</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25,238</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(6,672)</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(8,158)</w:t>
            </w:r>
          </w:p>
        </w:tc>
        <w:tc>
          <w:tcPr>
            <w:tcW w:w="2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(37,261)</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(loss) on trading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securities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(loss) on debt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repurchases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4,258</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4,258</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1,973</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4,394</w:t>
            </w:r>
          </w:p>
        </w:tc>
        <w:tc>
          <w:tcPr>
            <w:tcW w:w="2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6,742</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12,039</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8,298</w:t>
            </w:r>
          </w:p>
        </w:tc>
        <w:tc>
          <w:tcPr>
            <w:tcW w:w="2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Pre tax income (loss)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21,695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(4,450)</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2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20,880</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SERVICING</w:t>
      </w:r>
    </w:p>
    <w:p>
      <w:pPr>
        <w:spacing w:after="0" w:line="173" w:lineRule="exact"/>
        <w:rPr>
          <w:sz w:val="20"/>
          <w:szCs w:val="20"/>
          <w:color w:val="auto"/>
        </w:rPr>
      </w:pPr>
    </w:p>
    <w:p>
      <w:pPr>
        <w:ind w:right="4700" w:firstLine="437"/>
        <w:spacing w:after="0" w:line="255" w:lineRule="auto"/>
        <w:rPr>
          <w:sz w:val="20"/>
          <w:szCs w:val="20"/>
          <w:color w:val="auto"/>
        </w:rPr>
      </w:pPr>
      <w:r>
        <w:rPr>
          <w:rFonts w:ascii="Courier New" w:cs="Courier New" w:eastAsia="Courier New" w:hAnsi="Courier New"/>
          <w:sz w:val="14"/>
          <w:szCs w:val="14"/>
          <w:color w:val="auto"/>
        </w:rPr>
        <w:t>Total assets increased by $96,327 or 14% during 2005, primarily due to a $100,479 increase in match funded advances. Additionally, mortgage servicing rights increased by $17,254 as a result of an increase in acquisitions, and advances declined by $26,762. The $83,923 or 13% increase in total liabilities of this segment during 2005 is primarily due to a $99,099 increase in match funded liabilities. Also, escrow deposits declined by $85,861 as a result of debanking, and net borrowings under secured credit lines increased by $45,541. The increase in match funded assets and liabilities primarily reflects a $100,000 increase in borrowing capacity during 2005.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00" w:type="dxa"/>
            <w:vAlign w:val="bottom"/>
          </w:tcPr>
          <w:p>
            <w:pPr>
              <w:spacing w:after="0"/>
              <w:rPr>
                <w:sz w:val="14"/>
                <w:szCs w:val="14"/>
                <w:color w:val="auto"/>
              </w:rPr>
            </w:pPr>
          </w:p>
        </w:tc>
        <w:tc>
          <w:tcPr>
            <w:tcW w:w="25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balance sheet data</w:t>
            </w:r>
          </w:p>
        </w:tc>
        <w:tc>
          <w:tcPr>
            <w:tcW w:w="1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2005</w:t>
            </w:r>
          </w:p>
        </w:tc>
        <w:tc>
          <w:tcPr>
            <w:tcW w:w="1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assets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783,560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687,233</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Match funded advances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377,105</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276,626</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Advances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215,207</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241,969</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Mortgage servicing rights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148,663</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131,409</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23,323</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24,012</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liabilities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745,760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661,837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339,292</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240,193</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Servicer liabilities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298,892</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291,265</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81,218</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35,677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Escrow deposits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85,861</w:t>
            </w:r>
          </w:p>
        </w:tc>
      </w:tr>
      <w:tr>
        <w:trPr>
          <w:trHeight w:val="336"/>
        </w:trPr>
        <w:tc>
          <w:tcPr>
            <w:tcW w:w="46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540"/>
          </w:cols>
          <w:pgMar w:left="220" w:top="624" w:right="139" w:bottom="1440" w:gutter="0" w:footer="0" w:header="0"/>
        </w:sectPr>
      </w:pPr>
    </w:p>
    <w:bookmarkStart w:id="22" w:name="page23"/>
    <w:bookmarkEnd w:id="22"/>
    <w:p>
      <w:pPr>
        <w:ind w:left="440"/>
        <w:spacing w:after="0"/>
        <w:rPr>
          <w:sz w:val="20"/>
          <w:szCs w:val="20"/>
          <w:color w:val="auto"/>
        </w:rPr>
      </w:pPr>
      <w:r>
        <w:rPr>
          <w:rFonts w:ascii="Courier New" w:cs="Courier New" w:eastAsia="Courier New" w:hAnsi="Courier New"/>
          <w:sz w:val="15"/>
          <w:szCs w:val="15"/>
          <w:color w:val="auto"/>
        </w:rPr>
        <w:t>Match Funded Advances. Match funded advances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2005</w:t>
            </w: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Principal and interest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174,252</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107,102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Taxes and insurance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129,700</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107,710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73,153</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61,814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377,105</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276,626</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Match funded advances on loans serviced for others resulted from our transfer of residential loan servicing related advances to a third party in exchange for cash. The original and subsequent transfers did not qualify as sales for accounting purposes since we retained effective control of the advances. Accordingly, we report the amount of proceeds received from the sale as a secured borrowing with pledge of collateral (match funded liabilities). The increase in match funded advances is primarily the result of a $100,000 increase during 2005 in the amount of debt available at favorable rates under the match funded securitization facility that we first executed in November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Advances. Advances consist of the following: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2005</w:t>
            </w: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Principal and interest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40,201</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51,366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Taxes and insurance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98,331</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94,642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76,675</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95,961</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215,207</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241,969</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any period in which the borrower is not making payments, we are required under certain servicing agreements to advance our own funds to meet contractual principal and interest remittance requirements for investors, pay property taxes and insurance premiums and process foreclosures. We generally recover these advances from borrowers for reinstated and performing loans and from investors for foreclosed loans. We record a charge to the extent that we estimate that advances are uncollectible, taking into consideration the age and nature of the advance and our historical loss experience, among other factors. Advances on loans serviced for others are net of reserves of $570 and $2,437 as of December 31, 2005 and 2004, respectively.</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Mortgage Servicing Rights. The unamortized balance of mortgage servicing rights is primarily related to subprime residential loans. Our investment increased by $17,254 during 2005 as purchases exceeded amortization. Mortgage servicing rights declined during 2004 as amortization exceeded purchases, reflecting the more cautious acquisition strategy that we had adopted given the uncertainty of prepayment speeds. Of the $113,946 of purchases in 2005, $57,238 or 50% closed during the fourth quarter, reflecting an improvement in market conditions.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25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2005</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2004</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period ...................</w:t>
            </w:r>
          </w:p>
        </w:tc>
        <w:tc>
          <w:tcPr>
            <w:tcW w:w="4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131,409</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166,495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Purchases ........................................</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113,946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60,950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w:t>
            </w:r>
          </w:p>
        </w:tc>
        <w:tc>
          <w:tcPr>
            <w:tcW w:w="4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(96,692)</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(96,036)</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w:t>
            </w:r>
          </w:p>
        </w:tc>
        <w:tc>
          <w:tcPr>
            <w:tcW w:w="4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148,663</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131,409</w:t>
            </w:r>
          </w:p>
        </w:tc>
      </w:tr>
      <w:tr>
        <w:trPr>
          <w:trHeight w:val="168"/>
        </w:trPr>
        <w:tc>
          <w:tcPr>
            <w:tcW w:w="448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December 31, 2005, we serviced loans under 466 servicing agreements for 22 investors. This compares to 345 servicing agreements for 22 investors at December 31, 2004.</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Receivables. Receivables related to the Residential Servicing business include $15,674 and $12,801 at December 31, 2005 and December 31, 2004, respectively, representing fees earned from the servicing of loans and real estate. The remaining balance consists principally of reimbursable expenses due from loan servicing investors. The total balance of receivables for this segment is net of reserves of $6,509 and $3,395 at December 31, 2005 and December 31, 2004,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3" w:name="page24"/>
    <w:bookmarkEnd w:id="23"/>
    <w:p>
      <w:pPr>
        <w:ind w:right="3399" w:firstLine="437"/>
        <w:spacing w:after="0" w:line="236" w:lineRule="auto"/>
        <w:rPr>
          <w:sz w:val="20"/>
          <w:szCs w:val="20"/>
          <w:color w:val="auto"/>
        </w:rPr>
      </w:pPr>
      <w:r>
        <w:rPr>
          <w:rFonts w:ascii="Courier New" w:cs="Courier New" w:eastAsia="Courier New" w:hAnsi="Courier New"/>
          <w:sz w:val="15"/>
          <w:szCs w:val="15"/>
          <w:color w:val="auto"/>
        </w:rPr>
        <w:t>Match Funded Liabilities. Match funded liabilities represent proceeds received from transfers of loans and advances on loans serviced for others. Because we retained effective control over the assets transferred, these transfers did not qualify as sales for accounting purposes, and we, therefore, report them as secured borrowings with pledges of collateral.</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Balance Outstanding at</w:t>
            </w:r>
          </w:p>
        </w:tc>
      </w:tr>
      <w:tr>
        <w:trPr>
          <w:trHeight w:val="168"/>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Unused</w:t>
            </w:r>
          </w:p>
        </w:tc>
        <w:tc>
          <w:tcPr>
            <w:tcW w:w="220" w:type="dxa"/>
            <w:vAlign w:val="bottom"/>
          </w:tcPr>
          <w:p>
            <w:pPr>
              <w:spacing w:after="0"/>
              <w:rPr>
                <w:sz w:val="14"/>
                <w:szCs w:val="14"/>
                <w:color w:val="auto"/>
              </w:rPr>
            </w:pPr>
          </w:p>
        </w:tc>
        <w:tc>
          <w:tcPr>
            <w:tcW w:w="236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w:t>
            </w:r>
          </w:p>
        </w:tc>
        <w:tc>
          <w:tcPr>
            <w:tcW w:w="13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6"/>
              </w:rPr>
              <w: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Collateral</w:t>
            </w:r>
          </w:p>
        </w:tc>
        <w:tc>
          <w:tcPr>
            <w:tcW w:w="33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Interest Rate</w:t>
            </w:r>
          </w:p>
        </w:tc>
        <w:tc>
          <w:tcPr>
            <w:tcW w:w="22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Capacity</w:t>
            </w:r>
          </w:p>
        </w:tc>
        <w:tc>
          <w:tcPr>
            <w:tcW w:w="22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Advances (1)</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See (1) below</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36,057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238,943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149,341</w:t>
            </w:r>
          </w:p>
        </w:tc>
      </w:tr>
      <w:tr>
        <w:trPr>
          <w:trHeight w:val="168"/>
        </w:trPr>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Advances (2)</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1-Month LIBOR + 175 basis points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24,651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100,349</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90,852</w:t>
            </w:r>
          </w:p>
        </w:tc>
      </w:tr>
      <w:tr>
        <w:trPr>
          <w:trHeight w:val="168"/>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60,708</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339,292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240,193</w:t>
            </w:r>
          </w:p>
        </w:tc>
      </w:tr>
      <w:tr>
        <w:trPr>
          <w:trHeight w:val="168"/>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left="440" w:right="3239" w:hanging="430"/>
        <w:spacing w:after="0" w:line="237"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2004, we executed a servicing advance securitization. This transaction involved the issuance of a term note for $100,000 and a one-year variable funding note for a maximum of $75,000. On March 31, 2005, we executed an indenture supplement to the November 2004 securitization with a closing date of April 6, 2005.This supplement included the issuance of a second term note for $75,000. In addition, the maximum amount of the variable funding note was increased to $100,000.The original term note bears interest at LIBOR plus 50 basis points, and the second term note bears interest at LIBOR plus 40 basis points. The variable funding note bears interest at a commercial paper rate plus a margin that approximates LIBOR plus 50 basis points. The original term note under this facility has a stated maturity of October 2013, and the second term note has a stated maturity of March 2014.The variable funding note has a stated maturity of November 2011.The variable funding note has a stated maturity of November 2010. 1-Month LIBOR was 4.39% and 2.40% at December 31, 2005 and 2004, respectively.</w:t>
      </w:r>
    </w:p>
    <w:p>
      <w:pPr>
        <w:spacing w:after="0" w:line="6"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agreement, we are eligible to finance additional advances on loans serviced for others up to a maximum balance of $125,000. This facility will mature in January 2007.</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Servicer Liabilities. Servicer liabilities represent amounts we have collected, primarily from Residential Servicing borrowers, that will be deposited in custodial accounts and excluded from our balance sheet, paid directly to an investment trust or refunded to borrowers. The following table sets forth the principal components of servicer liabilities:</w:t>
      </w:r>
    </w:p>
    <w:p>
      <w:pPr>
        <w:sectPr>
          <w:pgSz w:w="11900" w:h="16838" w:orient="portrait"/>
          <w:cols w:equalWidth="0" w:num="1">
            <w:col w:w="10239"/>
          </w:cols>
          <w:pgMar w:left="220" w:top="6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payments due to custodial accounts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payments due to custodial accounts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Partial payments and other unapplied balances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tabs>
          <w:tab w:leader="none" w:pos="16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420" w:val="left"/>
          <w:tab w:leader="none" w:pos="1300" w:val="left"/>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225,862</w:t>
        <w:tab/>
        <w:t>$</w:t>
      </w:r>
      <w:r>
        <w:rPr>
          <w:sz w:val="20"/>
          <w:szCs w:val="20"/>
          <w:color w:val="auto"/>
        </w:rPr>
        <w:tab/>
      </w:r>
      <w:r>
        <w:rPr>
          <w:rFonts w:ascii="Courier New" w:cs="Courier New" w:eastAsia="Courier New" w:hAnsi="Courier New"/>
          <w:sz w:val="14"/>
          <w:szCs w:val="14"/>
          <w:color w:val="auto"/>
        </w:rPr>
        <w:t>255,040</w:t>
      </w:r>
    </w:p>
    <w:p>
      <w:pPr>
        <w:spacing w:after="0" w:line="5" w:lineRule="exact"/>
        <w:rPr>
          <w:sz w:val="20"/>
          <w:szCs w:val="20"/>
          <w:color w:val="auto"/>
        </w:rPr>
      </w:pPr>
    </w:p>
    <w:p>
      <w:pPr>
        <w:ind w:left="540"/>
        <w:spacing w:after="0"/>
        <w:tabs>
          <w:tab w:leader="none" w:pos="1900" w:val="left"/>
        </w:tabs>
        <w:rPr>
          <w:sz w:val="20"/>
          <w:szCs w:val="20"/>
          <w:color w:val="auto"/>
        </w:rPr>
      </w:pPr>
      <w:r>
        <w:rPr>
          <w:rFonts w:ascii="Courier New" w:cs="Courier New" w:eastAsia="Courier New" w:hAnsi="Courier New"/>
          <w:sz w:val="14"/>
          <w:szCs w:val="14"/>
          <w:color w:val="auto"/>
        </w:rPr>
        <w:t>22,573</w:t>
      </w:r>
      <w:r>
        <w:rPr>
          <w:sz w:val="20"/>
          <w:szCs w:val="20"/>
          <w:color w:val="auto"/>
        </w:rPr>
        <w:tab/>
      </w:r>
      <w:r>
        <w:rPr>
          <w:rFonts w:ascii="Courier New" w:cs="Courier New" w:eastAsia="Courier New" w:hAnsi="Courier New"/>
          <w:sz w:val="14"/>
          <w:szCs w:val="14"/>
          <w:color w:val="auto"/>
        </w:rPr>
        <w:t>3,786</w:t>
      </w:r>
    </w:p>
    <w:p>
      <w:pPr>
        <w:spacing w:after="0" w:line="10"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4"/>
          <w:szCs w:val="14"/>
          <w:color w:val="auto"/>
        </w:rPr>
        <w:t>50,457</w:t>
      </w:r>
      <w:r>
        <w:rPr>
          <w:sz w:val="20"/>
          <w:szCs w:val="20"/>
          <w:color w:val="auto"/>
        </w:rPr>
        <w:tab/>
      </w:r>
      <w:r>
        <w:rPr>
          <w:rFonts w:ascii="Courier New" w:cs="Courier New" w:eastAsia="Courier New" w:hAnsi="Courier New"/>
          <w:sz w:val="14"/>
          <w:szCs w:val="14"/>
          <w:color w:val="auto"/>
        </w:rPr>
        <w:t>32,439</w:t>
      </w:r>
    </w:p>
    <w:p>
      <w:pPr>
        <w:spacing w:after="0" w:line="1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420" w:val="left"/>
          <w:tab w:leader="none" w:pos="1300" w:val="left"/>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298,892</w:t>
        <w:tab/>
        <w:t>$</w:t>
      </w:r>
      <w:r>
        <w:rPr>
          <w:sz w:val="20"/>
          <w:szCs w:val="20"/>
          <w:color w:val="auto"/>
        </w:rPr>
        <w:tab/>
      </w:r>
      <w:r>
        <w:rPr>
          <w:rFonts w:ascii="Courier New" w:cs="Courier New" w:eastAsia="Courier New" w:hAnsi="Courier New"/>
          <w:sz w:val="14"/>
          <w:szCs w:val="14"/>
          <w:color w:val="auto"/>
        </w:rPr>
        <w:t>291,265</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380" w:space="260"/>
            <w:col w:w="5599"/>
          </w:cols>
          <w:pgMar w:left="220" w:top="624" w:right="1440" w:bottom="0" w:gutter="0" w:footer="0" w:header="0"/>
          <w:type w:val="continuous"/>
        </w:sectPr>
      </w:pPr>
    </w:p>
    <w:p>
      <w:pPr>
        <w:ind w:right="3839" w:firstLine="437"/>
        <w:spacing w:after="0" w:line="234" w:lineRule="auto"/>
        <w:rPr>
          <w:sz w:val="20"/>
          <w:szCs w:val="20"/>
          <w:color w:val="auto"/>
        </w:rPr>
      </w:pPr>
      <w:r>
        <w:rPr>
          <w:rFonts w:ascii="Courier New" w:cs="Courier New" w:eastAsia="Courier New" w:hAnsi="Courier New"/>
          <w:sz w:val="15"/>
          <w:szCs w:val="15"/>
          <w:color w:val="auto"/>
        </w:rPr>
        <w:t>Lines of Credit and Other Secured Borrowings. Secured line of credit arrangements are as follows:</w:t>
      </w:r>
    </w:p>
    <w:p>
      <w:pPr>
        <w:sectPr>
          <w:pgSz w:w="11900" w:h="16838" w:orient="portrait"/>
          <w:cols w:equalWidth="0" w:num="1">
            <w:col w:w="10239"/>
          </w:cols>
          <w:pgMar w:left="220" w:top="62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Borrowing 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Interest Rate (1)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Maturity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87"/>
        <w:spacing w:after="0" w:line="235" w:lineRule="auto"/>
        <w:rPr>
          <w:sz w:val="20"/>
          <w:szCs w:val="20"/>
          <w:color w:val="auto"/>
        </w:rPr>
      </w:pPr>
      <w:r>
        <w:rPr>
          <w:rFonts w:ascii="Courier New" w:cs="Courier New" w:eastAsia="Courier New" w:hAnsi="Courier New"/>
          <w:sz w:val="15"/>
          <w:szCs w:val="15"/>
          <w:color w:val="auto"/>
        </w:rPr>
        <w:t>Unused Borrowing Capacity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Balance Outstanding at</w:t>
      </w:r>
    </w:p>
    <w:p>
      <w:pPr>
        <w:ind w:left="70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238" w:lineRule="auto"/>
        <w:rPr>
          <w:sz w:val="20"/>
          <w:szCs w:val="20"/>
          <w:color w:val="auto"/>
        </w:rPr>
      </w:pPr>
      <w:r>
        <w:rPr>
          <w:rFonts w:ascii="Courier New" w:cs="Courier New" w:eastAsia="Courier New" w:hAnsi="Courier New"/>
          <w:sz w:val="15"/>
          <w:szCs w:val="15"/>
          <w:color w:val="auto"/>
        </w:rPr>
        <w:t>---------------------------</w:t>
      </w:r>
    </w:p>
    <w:p>
      <w:pPr>
        <w:ind w:left="360"/>
        <w:spacing w:after="0" w:line="237" w:lineRule="auto"/>
        <w:tabs>
          <w:tab w:leader="none" w:pos="16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18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5">
            <w:col w:w="2020" w:space="440"/>
            <w:col w:w="1840" w:space="520"/>
            <w:col w:w="1140" w:space="340"/>
            <w:col w:w="1060" w:space="80"/>
            <w:col w:w="2799"/>
          </w:cols>
          <w:pgMar w:left="220" w:top="624"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Senior secured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1-Month LIBOR + 162.5</w:t>
      </w:r>
    </w:p>
    <w:p>
      <w:pPr>
        <w:spacing w:after="0" w:line="3" w:lineRule="exact"/>
        <w:rPr>
          <w:sz w:val="20"/>
          <w:szCs w:val="20"/>
          <w:color w:val="auto"/>
        </w:rPr>
      </w:pPr>
    </w:p>
    <w:p>
      <w:pPr>
        <w:sectPr>
          <w:pgSz w:w="11900" w:h="16838" w:orient="portrait"/>
          <w:cols w:equalWidth="0" w:num="2">
            <w:col w:w="1840" w:space="440"/>
            <w:col w:w="7959"/>
          </w:cols>
          <w:pgMar w:left="220" w:top="624" w:right="1440" w:bottom="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agreement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 225 basis points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58,782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81,218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439"/>
        <w:spacing w:after="0"/>
        <w:rPr>
          <w:sz w:val="20"/>
          <w:szCs w:val="20"/>
          <w:color w:val="auto"/>
        </w:rPr>
      </w:pPr>
      <w:r>
        <w:rPr>
          <w:rFonts w:ascii="Courier New" w:cs="Courier New" w:eastAsia="Courier New" w:hAnsi="Courier New"/>
          <w:sz w:val="14"/>
          <w:szCs w:val="14"/>
          <w:color w:val="auto"/>
        </w:rPr>
        <w:t>24,218</w:t>
      </w:r>
    </w:p>
    <w:p>
      <w:pPr>
        <w:spacing w:after="0" w:line="9" w:lineRule="exact"/>
        <w:rPr>
          <w:sz w:val="20"/>
          <w:szCs w:val="20"/>
          <w:color w:val="auto"/>
        </w:rPr>
      </w:pPr>
    </w:p>
    <w:p>
      <w:pPr>
        <w:sectPr>
          <w:pgSz w:w="11900" w:h="16838" w:orient="portrait"/>
          <w:cols w:equalWidth="0" w:num="9">
            <w:col w:w="1660" w:space="720"/>
            <w:col w:w="1720" w:space="720"/>
            <w:col w:w="780" w:space="540"/>
            <w:col w:w="80" w:space="440"/>
            <w:col w:w="520" w:space="260"/>
            <w:col w:w="100" w:space="420"/>
            <w:col w:w="540" w:space="260"/>
            <w:col w:w="80" w:space="440"/>
            <w:col w:w="959"/>
          </w:cols>
          <w:pgMar w:left="220" w:top="624"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Senior secured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1-Month LIBOR + 250</w:t>
      </w:r>
    </w:p>
    <w:p>
      <w:pPr>
        <w:spacing w:after="0" w:line="10" w:lineRule="exact"/>
        <w:rPr>
          <w:sz w:val="20"/>
          <w:szCs w:val="20"/>
          <w:color w:val="auto"/>
        </w:rPr>
      </w:pPr>
    </w:p>
    <w:p>
      <w:pPr>
        <w:sectPr>
          <w:pgSz w:w="11900" w:h="16838" w:orient="portrait"/>
          <w:cols w:equalWidth="0" w:num="2">
            <w:col w:w="1840" w:space="540"/>
            <w:col w:w="7859"/>
          </w:cols>
          <w:pgMar w:left="220" w:top="624" w:right="1440"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agreement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basis points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2005</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58,782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81,218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11,458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35,676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6">
            <w:col w:w="1920" w:space="720"/>
            <w:col w:w="1280" w:space="720"/>
            <w:col w:w="1140" w:space="360"/>
            <w:col w:w="1040" w:space="260"/>
            <w:col w:w="1060" w:space="260"/>
            <w:col w:w="1479"/>
          </w:cols>
          <w:pgMar w:left="220" w:top="624" w:right="1440" w:bottom="0" w:gutter="0" w:footer="0" w:header="0"/>
          <w:type w:val="continuous"/>
        </w:sectPr>
      </w:pPr>
    </w:p>
    <w:p>
      <w:pPr>
        <w:spacing w:after="0" w:line="146" w:lineRule="exact"/>
        <w:rPr>
          <w:sz w:val="20"/>
          <w:szCs w:val="20"/>
          <w:color w:val="auto"/>
        </w:rPr>
      </w:pPr>
    </w:p>
    <w:p>
      <w:pPr>
        <w:ind w:left="440" w:right="4199" w:hanging="430"/>
        <w:spacing w:after="0" w:line="234"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1-month LIBOR was 4.39% and 2.40% at December 31, 2005 and 2004, respectively.</w:t>
      </w:r>
    </w:p>
    <w:p>
      <w:pPr>
        <w:spacing w:after="0" w:line="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Secured by mortgage servicing rights and advances on loans serviced for others. Borrowing secured by mortgage servicing rights is at LIBOR plus 225 basis points. Borrowing secured by other acceptable collateral is at LIBOR plus 162.5 basis points. The interest rate may be reduced to 1.625% or</w:t>
      </w:r>
    </w:p>
    <w:p>
      <w:pPr>
        <w:spacing w:after="0" w:line="1" w:lineRule="exact"/>
        <w:rPr>
          <w:rFonts w:ascii="Courier New" w:cs="Courier New" w:eastAsia="Courier New" w:hAnsi="Courier New"/>
          <w:sz w:val="14"/>
          <w:szCs w:val="14"/>
          <w:color w:val="auto"/>
        </w:rPr>
      </w:pPr>
    </w:p>
    <w:p>
      <w:pPr>
        <w:ind w:left="44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2.25% to the extent that we have available balances on deposit with the lender.</w:t>
      </w:r>
    </w:p>
    <w:p>
      <w:pPr>
        <w:spacing w:after="0" w:line="5" w:lineRule="exact"/>
        <w:rPr>
          <w:rFonts w:ascii="Courier New" w:cs="Courier New" w:eastAsia="Courier New" w:hAnsi="Courier New"/>
          <w:sz w:val="14"/>
          <w:szCs w:val="14"/>
          <w:color w:val="auto"/>
        </w:rPr>
      </w:pPr>
    </w:p>
    <w:p>
      <w:pPr>
        <w:ind w:left="440" w:right="3759" w:hanging="430"/>
        <w:spacing w:after="0" w:line="261"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repaid in full the balance outstanding under this credit agreement during the second quarter of 2005 and terminated the agreement.</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Escrow Deposits. Escrow deposits amounted to $86,084 at December 31, 2004 and consisted of custodial deposit balances representing funds collected from borrowers for the payment of taxes and insurance premiums on mortgage properties underlying loans that we serviced for others. In connection with debanking, these custodial deposits were transferred from the Bank to an unaffiliated bank and are now excluded from our balance sheet.</w:t>
      </w:r>
    </w:p>
    <w:p>
      <w:pPr>
        <w:sectPr>
          <w:pgSz w:w="11900" w:h="16838" w:orient="portrait"/>
          <w:cols w:equalWidth="0" w:num="1">
            <w:col w:w="10239"/>
          </w:cols>
          <w:pgMar w:left="220" w:top="624" w:right="1440" w:bottom="0" w:gutter="0" w:footer="0" w:header="0"/>
          <w:type w:val="continuous"/>
        </w:sectPr>
      </w:pPr>
    </w:p>
    <w:bookmarkStart w:id="24" w:name="page25"/>
    <w:bookmarkEnd w:id="24"/>
    <w:p>
      <w:pPr>
        <w:ind w:right="3399" w:firstLine="437"/>
        <w:spacing w:after="0" w:line="235" w:lineRule="auto"/>
        <w:rPr>
          <w:sz w:val="20"/>
          <w:szCs w:val="20"/>
          <w:color w:val="auto"/>
        </w:rPr>
      </w:pPr>
      <w:r>
        <w:rPr>
          <w:rFonts w:ascii="Courier New" w:cs="Courier New" w:eastAsia="Courier New" w:hAnsi="Courier New"/>
          <w:sz w:val="15"/>
          <w:szCs w:val="15"/>
          <w:color w:val="auto"/>
        </w:rPr>
        <w:t>Pre-tax income for the Residential Servicing segment increased by $5,056, or 30%, in 2005 as compared to 2004. Increases in short-term interest rates during 2005 have had a positive impact on our float earnings on funds that we have received from borrowers that are held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310" w:right="1440" w:bottom="1440" w:gutter="0" w:footer="0" w:header="0"/>
        </w:sectPr>
      </w:pPr>
    </w:p>
    <w:bookmarkStart w:id="25" w:name="page26"/>
    <w:bookmarkEnd w:id="25"/>
    <w:p>
      <w:pPr>
        <w:ind w:right="3500"/>
        <w:spacing w:after="0" w:line="236" w:lineRule="auto"/>
        <w:rPr>
          <w:sz w:val="20"/>
          <w:szCs w:val="20"/>
          <w:color w:val="auto"/>
        </w:rPr>
      </w:pPr>
      <w:r>
        <w:rPr>
          <w:rFonts w:ascii="Courier New" w:cs="Courier New" w:eastAsia="Courier New" w:hAnsi="Courier New"/>
          <w:sz w:val="15"/>
          <w:szCs w:val="15"/>
          <w:color w:val="auto"/>
        </w:rPr>
        <w:t>custodial accounts until remitted to investors. However, mortgage prepayment speeds in our servicing portfolio remained high through most of 2005. Not only do prepayments result in the loss of future servicing fees, they also result in increases to the rate at which we amortize the balance of our servicing rights. Prepayments also create an obligation for us to pay compensating interest expense to investors for the full month of interest on loans that are repaid before the end of a calendar month. Results for 2005 also reflect a decline in operating expenses, primarily compensation and benefits and compensating interest, and a decline in earnings from our VA contract due to decreased transaction volumes.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Selected operations data</w:t>
            </w:r>
          </w:p>
        </w:tc>
        <w:tc>
          <w:tcPr>
            <w:tcW w:w="20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Unpaid principal balance of loans serviced at December 31 ............</w:t>
            </w:r>
          </w:p>
        </w:tc>
        <w:tc>
          <w:tcPr>
            <w:tcW w:w="1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$ 42,779,048</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$ 34,524,491</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$ 37,697,318</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loans serviced at December 31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368,802</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320,185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359,590</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unpaid principal balance of loans serviced for the year ......</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$ 37,850,025</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$ 35,295,755</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$ 33,830,520</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Pre-tax income .......................................................</w:t>
            </w:r>
          </w:p>
        </w:tc>
        <w:tc>
          <w:tcPr>
            <w:tcW w:w="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25,683</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Servicing and subservicing fees ...................................</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266,595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259,251</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Process management fees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8,165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7,500</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4,115</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w:t>
            </w:r>
          </w:p>
        </w:tc>
      </w:tr>
      <w:tr>
        <w:trPr>
          <w:trHeight w:val="168"/>
        </w:trPr>
        <w:tc>
          <w:tcPr>
            <w:tcW w:w="63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revenue ...................................................</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279,660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280,809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267,437</w:t>
            </w:r>
          </w:p>
        </w:tc>
      </w:tr>
      <w:tr>
        <w:trPr>
          <w:trHeight w:val="168"/>
        </w:trPr>
        <w:tc>
          <w:tcPr>
            <w:tcW w:w="63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 and benefits .........................................</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33,987</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Amortization of servicing rights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96,692</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96,036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93,558</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Occupancy and equipment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9,605</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9,852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7,270</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Technology and communications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22,700</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20,462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15,411</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Professional services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13,862</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12,547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6,631</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Servicing and origination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36,446</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49,287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48,988</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22,190</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16,570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15,331</w:t>
            </w:r>
          </w:p>
        </w:tc>
      </w:tr>
      <w:tr>
        <w:trPr>
          <w:trHeight w:val="168"/>
        </w:trPr>
        <w:tc>
          <w:tcPr>
            <w:tcW w:w="63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236,517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244,758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221,176</w:t>
            </w:r>
          </w:p>
        </w:tc>
      </w:tr>
      <w:tr>
        <w:trPr>
          <w:trHeight w:val="168"/>
        </w:trPr>
        <w:tc>
          <w:tcPr>
            <w:tcW w:w="63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income ...................................................</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20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(21,752)</w:t>
            </w:r>
          </w:p>
        </w:tc>
        <w:tc>
          <w:tcPr>
            <w:tcW w:w="2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(19,745)</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(20,962)</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0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63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other income (expense) ...................................</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(19,412)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(20,578)</w:t>
            </w:r>
          </w:p>
        </w:tc>
      </w:tr>
      <w:tr>
        <w:trPr>
          <w:trHeight w:val="168"/>
        </w:trPr>
        <w:tc>
          <w:tcPr>
            <w:tcW w:w="63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00" w:firstLine="437"/>
        <w:spacing w:after="0" w:line="261" w:lineRule="auto"/>
        <w:rPr>
          <w:sz w:val="20"/>
          <w:szCs w:val="20"/>
          <w:color w:val="auto"/>
        </w:rPr>
      </w:pPr>
      <w:r>
        <w:rPr>
          <w:rFonts w:ascii="Courier New" w:cs="Courier New" w:eastAsia="Courier New" w:hAnsi="Courier New"/>
          <w:sz w:val="14"/>
          <w:szCs w:val="14"/>
          <w:color w:val="auto"/>
        </w:rPr>
        <w:t>Servicing and Subservicing Fees. The principal components of servicing and subservicing fees are provided in the table below, for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2005</w:t>
            </w:r>
          </w:p>
        </w:tc>
        <w:tc>
          <w:tcPr>
            <w:tcW w:w="40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w w:val="99"/>
              </w:rPr>
              <w:t>Servicing fees (1)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170,522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174,274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166,425</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Late charges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35,095</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40,149</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35,461</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from custodial accounts (float earnings) (2)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31,664</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16,561</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10,821</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Prepayment and collection related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8,681</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14,086</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21,513</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22,160</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21,525</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25,031</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268,122</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266,595</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259,251</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420" w:hanging="430"/>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fees for 2005, 2004 and 2003 include $11,880, $19,286 and $4,714, respectively, of real estate property management fees associated with the contract we entered into with the VA in September 2003.</w:t>
      </w:r>
    </w:p>
    <w:p>
      <w:pPr>
        <w:spacing w:after="0" w:line="5" w:lineRule="exact"/>
        <w:rPr>
          <w:rFonts w:ascii="Courier New" w:cs="Courier New" w:eastAsia="Courier New" w:hAnsi="Courier New"/>
          <w:sz w:val="15"/>
          <w:szCs w:val="15"/>
          <w:color w:val="auto"/>
        </w:rPr>
      </w:pPr>
    </w:p>
    <w:p>
      <w:pPr>
        <w:ind w:left="440" w:right="3500" w:hanging="430"/>
        <w:spacing w:after="0" w:line="255"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revenue from custodial accounts in 2005 is due to an increase in short-term interest rates. The yield we earned on these balances averaged 2.83% during 2005 as compared to 1.38% and 1.01% during 2004 and 2003, respectively. Custodial accounts are excluded from our balance sheet. The average balances held in these custodial accounts were approximately $1,119,400, $1,322,200 and $993,000 for 2005, 2004 and 2003 respectively. The underlying servicing agreements restrict the investment of float balances to certain types of instruments. We are responsible for any losses incurred on the investment of these funds; although to date, we have not incurred any such losses.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420"/>
          </w:cols>
          <w:pgMar w:left="220" w:top="624" w:right="1259" w:bottom="1440" w:gutter="0" w:footer="0" w:header="0"/>
        </w:sectPr>
      </w:pPr>
    </w:p>
    <w:bookmarkStart w:id="26" w:name="page27"/>
    <w:bookmarkEnd w:id="26"/>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sets forth information regarding residential loans and real estate serviced for others: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6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Loans (a)(b)(c)</w:t>
            </w:r>
          </w:p>
        </w:tc>
        <w:tc>
          <w:tcPr>
            <w:tcW w:w="300" w:type="dxa"/>
            <w:vAlign w:val="bottom"/>
          </w:tcPr>
          <w:p>
            <w:pPr>
              <w:spacing w:after="0"/>
              <w:rPr>
                <w:sz w:val="14"/>
                <w:szCs w:val="14"/>
                <w:color w:val="auto"/>
              </w:rPr>
            </w:pPr>
          </w:p>
        </w:tc>
        <w:tc>
          <w:tcPr>
            <w:tcW w:w="21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Real Estate (d)</w:t>
            </w:r>
          </w:p>
        </w:tc>
      </w:tr>
      <w:tr>
        <w:trPr>
          <w:trHeight w:val="168"/>
        </w:trPr>
        <w:tc>
          <w:tcPr>
            <w:tcW w:w="2320" w:type="dxa"/>
            <w:vAlign w:val="bottom"/>
          </w:tcPr>
          <w:p>
            <w:pPr>
              <w:spacing w:after="0"/>
              <w:rPr>
                <w:sz w:val="14"/>
                <w:szCs w:val="14"/>
                <w:color w:val="auto"/>
              </w:rPr>
            </w:pPr>
          </w:p>
        </w:tc>
        <w:tc>
          <w:tcPr>
            <w:tcW w:w="26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Count</w:t>
            </w:r>
          </w:p>
        </w:tc>
        <w:tc>
          <w:tcPr>
            <w:tcW w:w="3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Count</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December 31, 2005:</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Performing ..........</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$ 36,532,664</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297,649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Non-performing ......</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5,125,116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57,420</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1,121,268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13,733</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$ 41,657,780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355,069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1,121,268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13,733</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2004:</w:t>
            </w: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Performing ..........</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$ 29,227,341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253,617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Non-performing ......</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3,971,439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48,711</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1,325,711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17,857</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$ 33,198,780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302,328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1,325,711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17,857</w:t>
            </w:r>
          </w:p>
        </w:tc>
      </w:tr>
      <w:tr>
        <w:trPr>
          <w:trHeight w:val="168"/>
        </w:trPr>
        <w:tc>
          <w:tcPr>
            <w:tcW w:w="23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40" w:hanging="430"/>
        <w:spacing w:after="0" w:line="236"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2005 we serviced 304,234 subprime loans with a total unpaid principal balance of $37,429,090 as compared to 238,105 subprime loans with an unpaid principal balance of $28,374,493 at December 31, 2004. Subprime loans represent residential loans we service that were made by others to borrowers who generally did not qualify under guidelines of Fannie Mae and Freddie Mac ("nonconforming loans").</w:t>
      </w:r>
    </w:p>
    <w:p>
      <w:pPr>
        <w:spacing w:after="0" w:line="6" w:lineRule="exact"/>
        <w:rPr>
          <w:rFonts w:ascii="Courier New" w:cs="Courier New" w:eastAsia="Courier New" w:hAnsi="Courier New"/>
          <w:sz w:val="15"/>
          <w:szCs w:val="15"/>
          <w:color w:val="auto"/>
        </w:rPr>
      </w:pPr>
    </w:p>
    <w:p>
      <w:pPr>
        <w:ind w:left="440" w:right="600" w:hanging="430"/>
        <w:spacing w:after="0" w:line="254"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loans have been delinquent for 90 days or more. Performing loans are current or have been delinquent for less than 90 days.</w:t>
      </w:r>
    </w:p>
    <w:p>
      <w:pPr>
        <w:ind w:left="440" w:right="520" w:hanging="430"/>
        <w:spacing w:after="0" w:line="236"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serviced under subservicing contracts approximately 105,873 residential loans with an unpaid principal balance of $10,983,237 as of December 31, 2005. This compares to approximately 58,776 residential loans with an unpaid principal balance of $7,063,232 serviced under subservicing contracts at December 31, 2004.</w:t>
      </w:r>
    </w:p>
    <w:p>
      <w:pPr>
        <w:spacing w:after="0" w:line="5" w:lineRule="exact"/>
        <w:rPr>
          <w:rFonts w:ascii="Courier New" w:cs="Courier New" w:eastAsia="Courier New" w:hAnsi="Courier New"/>
          <w:sz w:val="15"/>
          <w:szCs w:val="15"/>
          <w:color w:val="auto"/>
        </w:rPr>
      </w:pPr>
    </w:p>
    <w:p>
      <w:pPr>
        <w:ind w:left="440" w:right="440" w:hanging="430"/>
        <w:spacing w:after="0" w:line="261"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includes $683,193 and $839,654 of foreclosed residential properties serviced for the VA at December 31, 2005 and 2004, respectively.</w:t>
      </w:r>
    </w:p>
    <w:p>
      <w:pPr>
        <w:spacing w:after="0" w:line="160" w:lineRule="exact"/>
        <w:rPr>
          <w:sz w:val="20"/>
          <w:szCs w:val="20"/>
          <w:color w:val="auto"/>
        </w:rPr>
      </w:pPr>
    </w:p>
    <w:p>
      <w:pPr>
        <w:ind w:right="440" w:firstLine="437"/>
        <w:spacing w:after="0" w:line="236" w:lineRule="auto"/>
        <w:rPr>
          <w:sz w:val="20"/>
          <w:szCs w:val="20"/>
          <w:color w:val="auto"/>
        </w:rPr>
      </w:pPr>
      <w:r>
        <w:rPr>
          <w:rFonts w:ascii="Courier New" w:cs="Courier New" w:eastAsia="Courier New" w:hAnsi="Courier New"/>
          <w:sz w:val="15"/>
          <w:szCs w:val="15"/>
          <w:color w:val="auto"/>
        </w:rPr>
        <w:t>Compensation and Benefits Expense. The decrease in compensation expense and benefits in 2005 as compared to 2004 has occurred primarily due to a decline in the average number of employees in the U.S. as a result of cost reduction initiatives put in place earlier in the year, including a greater utilization of the lower cost workforce in India. Although average employment in India increased in 2005, total average employment declined and the ratio of India employment to total employment increased significantly as compared to 2004. The increase in compensation and benefits in 2004 as compared to 2003 reflects an increase in average employment, both in the U.S. and India.</w:t>
      </w:r>
    </w:p>
    <w:p>
      <w:pPr>
        <w:spacing w:after="0" w:line="178" w:lineRule="exact"/>
        <w:rPr>
          <w:sz w:val="20"/>
          <w:szCs w:val="20"/>
          <w:color w:val="auto"/>
        </w:rPr>
      </w:pPr>
    </w:p>
    <w:p>
      <w:pPr>
        <w:ind w:right="520" w:firstLine="437"/>
        <w:spacing w:after="0" w:line="234" w:lineRule="auto"/>
        <w:rPr>
          <w:sz w:val="20"/>
          <w:szCs w:val="20"/>
          <w:color w:val="auto"/>
        </w:rPr>
      </w:pPr>
      <w:r>
        <w:rPr>
          <w:rFonts w:ascii="Courier New" w:cs="Courier New" w:eastAsia="Courier New" w:hAnsi="Courier New"/>
          <w:sz w:val="15"/>
          <w:szCs w:val="15"/>
          <w:color w:val="auto"/>
        </w:rPr>
        <w:t>Average employment in the Residential Servicing segment for the last three years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2005</w:t>
            </w: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27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27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r>
      <w:tr>
        <w:trPr>
          <w:trHeight w:val="168"/>
        </w:trPr>
        <w:tc>
          <w:tcPr>
            <w:tcW w:w="27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1220" w:firstLine="437"/>
        <w:spacing w:after="0" w:line="234" w:lineRule="auto"/>
        <w:rPr>
          <w:sz w:val="20"/>
          <w:szCs w:val="20"/>
          <w:color w:val="auto"/>
        </w:rPr>
      </w:pPr>
      <w:r>
        <w:rPr>
          <w:rFonts w:ascii="Courier New" w:cs="Courier New" w:eastAsia="Courier New" w:hAnsi="Courier New"/>
          <w:sz w:val="15"/>
          <w:szCs w:val="15"/>
          <w:color w:val="auto"/>
        </w:rPr>
        <w:t>The increase in average employment in 2004 as compared to 2003 was primarily due to the following:</w:t>
      </w:r>
    </w:p>
    <w:p>
      <w:pPr>
        <w:spacing w:after="0" w:line="173" w:lineRule="exact"/>
        <w:rPr>
          <w:sz w:val="20"/>
          <w:szCs w:val="20"/>
          <w:color w:val="auto"/>
        </w:rPr>
      </w:pPr>
    </w:p>
    <w:p>
      <w:pPr>
        <w:ind w:left="440" w:right="600" w:hanging="430"/>
        <w:spacing w:after="0" w:line="234"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management contract we entered into with the VA in September 2003 resulted in the need to hire additional staff.</w:t>
      </w:r>
    </w:p>
    <w:p>
      <w:pPr>
        <w:spacing w:after="0" w:line="5" w:lineRule="exact"/>
        <w:rPr>
          <w:rFonts w:ascii="Courier New" w:cs="Courier New" w:eastAsia="Courier New" w:hAnsi="Courier New"/>
          <w:sz w:val="15"/>
          <w:szCs w:val="15"/>
          <w:color w:val="auto"/>
        </w:rPr>
      </w:pPr>
    </w:p>
    <w:p>
      <w:pPr>
        <w:ind w:left="440" w:right="440" w:hanging="430"/>
        <w:spacing w:after="0" w:line="236"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2003, we terminated our agreement with an external law firm to manage certain aspects of our loan resolution function, which included, among other functions, the issuance of obligatory breach notices to delinquent borrowers, for which the law firm charged us a fee. At that time, we decided to cease to assess these fees to borrowers although it was legally permissible for us to do so under the mortgage documents. Upon termination of the agreement, we began performing these functions internally. This resulted in the need to hire additional staff to perform these functions which increased 2004 compensation and benefit expenses as well as the related occupancy and technology costs.</w:t>
      </w:r>
    </w:p>
    <w:p>
      <w:pPr>
        <w:spacing w:after="0" w:line="179" w:lineRule="exact"/>
        <w:rPr>
          <w:sz w:val="20"/>
          <w:szCs w:val="20"/>
          <w:color w:val="auto"/>
        </w:rPr>
      </w:pPr>
    </w:p>
    <w:p>
      <w:pPr>
        <w:ind w:right="440" w:firstLine="437"/>
        <w:spacing w:after="0" w:line="236" w:lineRule="auto"/>
        <w:rPr>
          <w:sz w:val="20"/>
          <w:szCs w:val="20"/>
          <w:color w:val="auto"/>
        </w:rPr>
      </w:pPr>
      <w:r>
        <w:rPr>
          <w:rFonts w:ascii="Courier New" w:cs="Courier New" w:eastAsia="Courier New" w:hAnsi="Courier New"/>
          <w:sz w:val="15"/>
          <w:szCs w:val="15"/>
          <w:color w:val="auto"/>
        </w:rPr>
        <w:t>Professional Services Expense. Professional services in 2005 includes $3,700 to provide for current and pending litigation, including $1,830 for a judgment in a wrongful foreclosure case. While this amount is substantially less than the initial jury verdict, we believe the award is not justified and will continue to defend the case. See Note 28 to our Consolidated Financial Statements for additional information regarding this matter.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Count</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$ 36,532,664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297,649</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6,246,384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71,153</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$ 42,779,048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368,802</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$ 29,227,341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253,617</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5,297,150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66,568</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$ 34,524,491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320,185</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440" w:space="260"/>
            <w:col w:w="2539"/>
          </w:cols>
          <w:pgMar w:left="220" w:top="624" w:right="1440" w:bottom="1440" w:gutter="0" w:footer="0" w:header="0"/>
          <w:type w:val="continuous"/>
        </w:sectPr>
      </w:pPr>
    </w:p>
    <w:bookmarkStart w:id="27" w:name="page28"/>
    <w:bookmarkEnd w:id="27"/>
    <w:p>
      <w:pPr>
        <w:ind w:right="3399" w:firstLine="437"/>
        <w:spacing w:after="0" w:line="234" w:lineRule="auto"/>
        <w:rPr>
          <w:sz w:val="20"/>
          <w:szCs w:val="20"/>
          <w:color w:val="auto"/>
        </w:rPr>
      </w:pPr>
      <w:r>
        <w:rPr>
          <w:rFonts w:ascii="Courier New" w:cs="Courier New" w:eastAsia="Courier New" w:hAnsi="Courier New"/>
          <w:sz w:val="15"/>
          <w:szCs w:val="15"/>
          <w:color w:val="auto"/>
        </w:rPr>
        <w:t>Servicing and Origination Expenses. The principal components of servicing and origination expenses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2005</w:t>
            </w:r>
          </w:p>
        </w:tc>
        <w:tc>
          <w:tcPr>
            <w:tcW w:w="34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276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Compensating interest (1)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22,210</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33,115</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32,315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Satisfaction expense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6,273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6,117</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10,055</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13,902</w:t>
            </w:r>
          </w:p>
        </w:tc>
      </w:tr>
      <w:tr>
        <w:trPr>
          <w:trHeight w:val="168"/>
        </w:trPr>
        <w:tc>
          <w:tcPr>
            <w:tcW w:w="276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36,446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49,287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48,988</w:t>
            </w:r>
          </w:p>
        </w:tc>
      </w:tr>
      <w:tr>
        <w:trPr>
          <w:trHeight w:val="168"/>
        </w:trPr>
        <w:tc>
          <w:tcPr>
            <w:tcW w:w="276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hanging="430"/>
        <w:spacing w:after="0" w:line="236"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2004 and 2003, prepayments on our loans serviced for others increased significantly primarily due to declining mortgage interest rates. Accordingly, we were required to pay increased compensating interest to the securitization trusts for the full month of interest on loans that were repaid before the end of a calendar month.</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Other Operating Expenses. Other primarily consists of overhead allocation charges and bad debt expense. The increase in other operating expenses in 2005 is in large part due to an increase in bad debt expense as a result of providing for aged reimbursable expenses that may be uncollectible. Bad debt expense amounted to $4,598, $1,810 and $328 in 2005, 2004 and 2003,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SERVICING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decline in assets and liabilities of this segment during 2005 is primarily due to the sale of two subsidiaries in December 2005 that were engaged in servicing operations in Japan.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00" w:type="dxa"/>
            <w:vAlign w:val="bottom"/>
          </w:tcPr>
          <w:p>
            <w:pPr>
              <w:spacing w:after="0"/>
              <w:rPr>
                <w:sz w:val="14"/>
                <w:szCs w:val="14"/>
                <w:color w:val="auto"/>
              </w:rPr>
            </w:pPr>
          </w:p>
        </w:tc>
        <w:tc>
          <w:tcPr>
            <w:tcW w:w="25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balance sheet data</w:t>
            </w:r>
          </w:p>
        </w:tc>
        <w:tc>
          <w:tcPr>
            <w:tcW w:w="1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2005</w:t>
            </w:r>
          </w:p>
        </w:tc>
        <w:tc>
          <w:tcPr>
            <w:tcW w:w="1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assets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13,659</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Match funded loans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4,134</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2,508</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2,736</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liabilities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3,220</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8,028</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4,134</w:t>
            </w: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Commercial match funded loans were held by one of the GSS subsidiaries in Japan that was sold in 2005. These match funded loans resulted from the transfer, on a non-recourse basis, of an undivided 100% participation interest in certain real estate loans to a Japanese subsidiary of Merrill Lynch on March 30, 2004 in exchange for cash. The transfer did not qualify as a sale for accounting purposes as we did not meet all of the conditions for surrender of control over the transferred loans. Accordingly, we reported the amount of proceeds we received from the transfer as a secured borrowing with pledge of collateral (match funded liabilities).</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Commercial Servicing segment became profitable in 2005 on increased revenues, primarily reflecting higher asset resolution fees earned in both our domestic servicing operations and our Asia operations of GSS as well as lower operating expenses. Results for 2003 and 2004 reflect start-up costs related to GSS.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Selected operations data</w:t>
            </w:r>
          </w:p>
        </w:tc>
        <w:tc>
          <w:tcPr>
            <w:tcW w:w="220" w:type="dxa"/>
            <w:vAlign w:val="bottom"/>
          </w:tcPr>
          <w:p>
            <w:pPr>
              <w:spacing w:after="0"/>
              <w:rPr>
                <w:sz w:val="14"/>
                <w:szCs w:val="1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 (loss)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Servicing and subservicing</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fees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6,312</w:t>
            </w:r>
          </w:p>
        </w:tc>
      </w:tr>
      <w:tr>
        <w:trPr>
          <w:trHeight w:val="168"/>
        </w:trPr>
        <w:tc>
          <w:tcPr>
            <w:tcW w:w="2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5,481</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6,334</w:t>
            </w:r>
          </w:p>
        </w:tc>
        <w:tc>
          <w:tcPr>
            <w:tcW w:w="1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revenue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7,261</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Operating  expenses ..........</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13,766</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Servicing Fees. The principal components of servicing fees 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2005</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31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International servicing fees (1)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8,961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Domestic servicing fees ...........</w:t>
            </w:r>
          </w:p>
        </w:tc>
        <w:tc>
          <w:tcPr>
            <w:tcW w:w="4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2,445</w:t>
            </w:r>
          </w:p>
        </w:tc>
      </w:tr>
      <w:tr>
        <w:trPr>
          <w:trHeight w:val="168"/>
        </w:trPr>
        <w:tc>
          <w:tcPr>
            <w:tcW w:w="31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14,030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9,736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6,312</w:t>
            </w:r>
          </w:p>
        </w:tc>
      </w:tr>
      <w:tr>
        <w:trPr>
          <w:trHeight w:val="168"/>
        </w:trPr>
        <w:tc>
          <w:tcPr>
            <w:tcW w:w="31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499" w:hanging="430"/>
        <w:spacing w:after="0" w:line="234"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servicing fees include $4,389, $3,507 and $1,674 earned by our Japan operations, which we sold in December 2005.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8" w:name="page29"/>
    <w:bookmarkEnd w:id="28"/>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sets forth information regarding commercial loans and real estate serviced for others: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Loans</w:t>
            </w:r>
          </w:p>
        </w:tc>
        <w:tc>
          <w:tcPr>
            <w:tcW w:w="300" w:type="dxa"/>
            <w:vAlign w:val="bottom"/>
          </w:tcPr>
          <w:p>
            <w:pPr>
              <w:spacing w:after="0"/>
              <w:rPr>
                <w:sz w:val="14"/>
                <w:szCs w:val="14"/>
                <w:color w:val="auto"/>
              </w:rPr>
            </w:pPr>
          </w:p>
        </w:tc>
        <w:tc>
          <w:tcPr>
            <w:tcW w:w="23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Real Estate</w:t>
            </w:r>
          </w:p>
        </w:tc>
        <w:tc>
          <w:tcPr>
            <w:tcW w:w="260" w:type="dxa"/>
            <w:vAlign w:val="bottom"/>
          </w:tcPr>
          <w:p>
            <w:pPr>
              <w:spacing w:after="0"/>
              <w:rPr>
                <w:sz w:val="14"/>
                <w:szCs w:val="14"/>
                <w:color w:val="auto"/>
              </w:rPr>
            </w:pPr>
          </w:p>
        </w:tc>
        <w:tc>
          <w:tcPr>
            <w:tcW w:w="22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3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1"/>
              </w:rPr>
              <w:t>---------------------------</w:t>
            </w:r>
          </w:p>
        </w:tc>
        <w:tc>
          <w:tcPr>
            <w:tcW w:w="1320" w:type="dxa"/>
            <w:vAlign w:val="bottom"/>
          </w:tcPr>
          <w:p>
            <w:pPr>
              <w:spacing w:after="0"/>
              <w:rPr>
                <w:sz w:val="14"/>
                <w:szCs w:val="14"/>
                <w:color w:val="auto"/>
              </w:rPr>
            </w:pPr>
          </w:p>
        </w:tc>
        <w:tc>
          <w:tcPr>
            <w:tcW w:w="26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Count</w:t>
            </w:r>
          </w:p>
        </w:tc>
        <w:tc>
          <w:tcPr>
            <w:tcW w:w="3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Count</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Count</w:t>
            </w:r>
          </w:p>
        </w:tc>
      </w:tr>
      <w:tr>
        <w:trPr>
          <w:trHeight w:val="168"/>
        </w:trPr>
        <w:tc>
          <w:tcPr>
            <w:tcW w:w="23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December 31, 2005: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Performing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1,389,787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1,389,787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Non-performing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193,635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56,719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250,354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w:t>
            </w:r>
          </w:p>
        </w:tc>
      </w:tr>
      <w:tr>
        <w:trPr>
          <w:trHeight w:val="168"/>
        </w:trPr>
        <w:tc>
          <w:tcPr>
            <w:tcW w:w="23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1,583,422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56,719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1,640,141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w:t>
            </w:r>
          </w:p>
        </w:tc>
      </w:tr>
      <w:tr>
        <w:trPr>
          <w:trHeight w:val="168"/>
        </w:trPr>
        <w:tc>
          <w:tcPr>
            <w:tcW w:w="23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2004:</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Performing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847,811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847,811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Non-performing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12,537,631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9,398</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121,210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12,658,841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9,433</w:t>
            </w:r>
          </w:p>
        </w:tc>
      </w:tr>
      <w:tr>
        <w:trPr>
          <w:trHeight w:val="168"/>
        </w:trPr>
        <w:tc>
          <w:tcPr>
            <w:tcW w:w="23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$ 13,385,442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9,763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121,210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$ 13,506,652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9,798</w:t>
            </w:r>
          </w:p>
        </w:tc>
      </w:tr>
      <w:tr>
        <w:trPr>
          <w:trHeight w:val="168"/>
        </w:trPr>
        <w:tc>
          <w:tcPr>
            <w:tcW w:w="23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2005, our international offices serviced a total of 272 loans with an unpaid principal balance of $1,269,796. This compares to 9,267 loans with an unpaid principal balance of $12,826,411 serviced at December 31, 2004. The reduction is primarily due to the sale of our Japanese operations in the fourth quarter of 2005 which serviced a total of 8,909 loans with an unpaid principal balance of $12,300,754 at December 31, 2004.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RECOVERY GROUP</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Overall results for the past three years reflect a shift in revenue from a maturing portfolio of proprietary assets to lower yielding third-party contracts.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Selected operations data</w:t>
            </w:r>
          </w:p>
        </w:tc>
        <w:tc>
          <w:tcPr>
            <w:tcW w:w="22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Pre-tax income (loss)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Servicing fees: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Third-party collections (1) ......</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11,575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9,167</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Proprietary recoveries (2) .......</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1,338</w:t>
            </w:r>
          </w:p>
        </w:tc>
        <w:tc>
          <w:tcPr>
            <w:tcW w:w="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2,071</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2,737</w:t>
            </w:r>
          </w:p>
        </w:tc>
      </w:tr>
      <w:tr>
        <w:trPr>
          <w:trHeight w:val="168"/>
        </w:trPr>
        <w:tc>
          <w:tcPr>
            <w:tcW w:w="37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revenue ..................</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13,646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11,904</w:t>
            </w:r>
          </w:p>
        </w:tc>
      </w:tr>
      <w:tr>
        <w:trPr>
          <w:trHeight w:val="168"/>
        </w:trPr>
        <w:tc>
          <w:tcPr>
            <w:tcW w:w="37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expenses (3)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6,856</w:t>
            </w:r>
          </w:p>
        </w:tc>
      </w:tr>
    </w:tbl>
    <w:p>
      <w:pPr>
        <w:spacing w:after="0" w:line="341" w:lineRule="exact"/>
        <w:rPr>
          <w:sz w:val="20"/>
          <w:szCs w:val="20"/>
          <w:color w:val="auto"/>
        </w:rPr>
      </w:pPr>
    </w:p>
    <w:p>
      <w:pPr>
        <w:ind w:left="440" w:right="3759" w:hanging="430"/>
        <w:spacing w:after="0" w:line="254"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collections of unsecured receivables for third party owners, we generally earn a fee based upon a percentage of the amount collected.</w:t>
      </w:r>
    </w:p>
    <w:p>
      <w:pPr>
        <w:ind w:left="440" w:right="3399" w:hanging="430"/>
        <w:spacing w:after="0" w:line="254"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Recoveries of unsecured credit card receivables that we own have declined as these portfolios have declined in size and have not been replaced. We have not purchased any unsecured credit card receivables since 2000.</w:t>
      </w:r>
    </w:p>
    <w:p>
      <w:pPr>
        <w:spacing w:after="0" w:line="1" w:lineRule="exact"/>
        <w:rPr>
          <w:rFonts w:ascii="Courier New" w:cs="Courier New" w:eastAsia="Courier New" w:hAnsi="Courier New"/>
          <w:sz w:val="14"/>
          <w:szCs w:val="14"/>
          <w:color w:val="auto"/>
        </w:rPr>
      </w:pPr>
    </w:p>
    <w:p>
      <w:pPr>
        <w:ind w:left="440" w:right="3399" w:hanging="430"/>
        <w:spacing w:after="0" w:line="234"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operating expenses in 2005 and 2004 is largely due to the following:</w:t>
      </w:r>
    </w:p>
    <w:p>
      <w:pPr>
        <w:spacing w:after="0" w:line="5" w:lineRule="exact"/>
        <w:rPr>
          <w:rFonts w:ascii="Courier New" w:cs="Courier New" w:eastAsia="Courier New" w:hAnsi="Courier New"/>
          <w:sz w:val="15"/>
          <w:szCs w:val="15"/>
          <w:color w:val="auto"/>
        </w:rPr>
      </w:pPr>
    </w:p>
    <w:p>
      <w:pPr>
        <w:ind w:left="880" w:right="34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oHigher compensation and benefits in 2004 and the first half of 2005 due to an increase in staffing levels;</w:t>
      </w:r>
    </w:p>
    <w:p>
      <w:pPr>
        <w:spacing w:after="0" w:line="5" w:lineRule="exact"/>
        <w:rPr>
          <w:rFonts w:ascii="Courier New" w:cs="Courier New" w:eastAsia="Courier New" w:hAnsi="Courier New"/>
          <w:sz w:val="15"/>
          <w:szCs w:val="15"/>
          <w:color w:val="auto"/>
        </w:rPr>
      </w:pPr>
    </w:p>
    <w:p>
      <w:pPr>
        <w:ind w:left="880" w:right="375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oAn increase in legal fees and settlements in 2005 related to the settlement of contract disputes; and</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An increased share of corporate overhead costs in 2005.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ORIGINATION SERVICES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Total assets of this segment increased by $630,084 during 2005 primarily due to a $616,234 increase in loans held for resale. This increase is largely the result of loans acquired during the fourth quarter. These loans were acquired with the intention of securitizing them and retaining the residual securities. The securitization was completed in February 2006. In addition to providing various mortgage due diligence and loan origination services, our strategy in this business includes the targeted acquisition of residual securities, either directly or indirectly through the purchase and subsequent securitization of loans. The $535,946 increase in liabilities in 2005 is primarily due to a repurchase agreement to finance the purchase of the loans.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00" w:type="dxa"/>
            <w:vAlign w:val="bottom"/>
          </w:tcPr>
          <w:p>
            <w:pPr>
              <w:spacing w:after="0"/>
              <w:rPr>
                <w:sz w:val="14"/>
                <w:szCs w:val="14"/>
                <w:color w:val="auto"/>
              </w:rPr>
            </w:pPr>
          </w:p>
        </w:tc>
        <w:tc>
          <w:tcPr>
            <w:tcW w:w="25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balance sheet data</w:t>
            </w:r>
          </w:p>
        </w:tc>
        <w:tc>
          <w:tcPr>
            <w:tcW w:w="1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2005</w:t>
            </w:r>
          </w:p>
        </w:tc>
        <w:tc>
          <w:tcPr>
            <w:tcW w:w="1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assets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679,432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49,348</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27,023</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35,277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Loans held for resale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624,671</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18,497</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3,455</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liabilities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538,226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2,280</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530,569</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Trading Securities. Consists of subordinate and residual securities. During 2005, the balance declined by $8,254 primarily due to a decrease in the fair value of the unrated UK subprime residual securities, principal repayments and amortization. This decline was offset in part by a residual security with a fair value of $705 at December 31, 2005 that was retained in connection with a securitization of loans held for resale during the fourth quarter.</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Subordinate and residual securities do not have a contractual maturity but are paid down over time as cash distributions are received. The weighted average remaining life of these securities was 3.5 years at December 31, 2005.The anticipated effective yield to maturity as of December 31, 2005 based on the purchase price, actual cash flows received to date and the current estimate of future cash flows under the assumptions was 15.31%. The original anticipated effective yield to maturity based on the purchase price and anticipated future cash flows under pricing assumptions was 18.68%. Differences in the December 31, 2005 anticipated yield to maturity from that originally anticipated are due to differences between estimated cash flows and actual cash flows. Each quarter, we update the assumptions used to estimate future cash flows based on the actual results to date. The primary assumptions include prepayment speeds, loss rates and the discount rate. The mortgages that underlie our residential trading unrated subprime subordinate and residual securities amounted to $397,088 at December 31, 2005 and are secured by properties located in 50 states and the UK. The largest aggregate value of mortgages in any one state or foreign country is $34,436 in the UK.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Loans Held for Resale. Loans held for resale represent single-family residential loans originated or acquired by our Residential Origination Services segment that we intend to sell or securitize. These loans are carried at the lower of cost or market value and were comprised of the following at December 31, 2005:</w:t>
      </w:r>
    </w:p>
    <w:p>
      <w:pPr>
        <w:spacing w:after="0" w:line="174" w:lineRule="exact"/>
        <w:rPr>
          <w:sz w:val="20"/>
          <w:szCs w:val="20"/>
          <w:color w:val="auto"/>
        </w:rPr>
      </w:pPr>
    </w:p>
    <w:p>
      <w:pPr>
        <w:ind w:left="440" w:right="3239" w:hanging="430"/>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with a carrying value of $469,937, net of market valuation reserve of $4,380, were acquired during the fourth quarter of 2005. These loans were securitized in a transaction that closed in February 2006.</w:t>
      </w:r>
    </w:p>
    <w:p>
      <w:pPr>
        <w:ind w:left="440" w:hanging="430"/>
        <w:spacing w:after="0" w:line="237"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with a carrying value of $11,885 (unpaid principal balance of</w:t>
      </w:r>
    </w:p>
    <w:p>
      <w:pPr>
        <w:spacing w:after="0" w:line="5" w:lineRule="exact"/>
        <w:rPr>
          <w:rFonts w:ascii="Courier New" w:cs="Courier New" w:eastAsia="Courier New" w:hAnsi="Courier New"/>
          <w:sz w:val="15"/>
          <w:szCs w:val="15"/>
          <w:color w:val="auto"/>
        </w:rPr>
      </w:pPr>
    </w:p>
    <w:p>
      <w:pPr>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$15,164), net of a market valuation reserve of $3,279, were acquired as a part of an acquisition of $81,853 of loans in September 2005 in connection with the termination of securitization trusts in which we were the servicer and holder of residual securities. These loans included non-performing loans at the time of acquisition. In October 2005, we completed a securitization involving $59,756 of these loans. The remaining carrying value at December 31, 2005 includes $10,857 of non-performing loans.</w:t>
      </w:r>
    </w:p>
    <w:p>
      <w:pPr>
        <w:spacing w:after="0" w:line="2"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with a carrying value of $51,406 were originated in connection with our new origination services business.</w:t>
      </w:r>
    </w:p>
    <w:p>
      <w:pPr>
        <w:spacing w:after="0" w:line="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balance of $18,587 represented loans that were originated in response to requests from Residential Servicing customers to refinance their mortgage. A balance of $8,437 of such loans was outstanding at December 31, 2004, all of which were sold in January 2005. Only loans with sales commitments prior to closing are originated under this program. Of the loans outstanding at December 31, 2005, nearly all were sold in January 2006.</w:t>
      </w:r>
    </w:p>
    <w:p>
      <w:pPr>
        <w:spacing w:after="0" w:line="2" w:lineRule="exact"/>
        <w:rPr>
          <w:rFonts w:ascii="Courier New" w:cs="Courier New" w:eastAsia="Courier New" w:hAnsi="Courier New"/>
          <w:sz w:val="14"/>
          <w:szCs w:val="14"/>
          <w:color w:val="auto"/>
        </w:rPr>
      </w:pPr>
    </w:p>
    <w:p>
      <w:pPr>
        <w:ind w:left="440" w:right="323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with a carrying value of $72,856 were held by a consolidated VIE. The majority of these loans were sold in February 2006.</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Receivables. The $15,042 increase in receivables during 2005 is primarily due to uncollected principal and interest on loans held for resale.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0" w:name="page31"/>
    <w:bookmarkEnd w:id="30"/>
    <w:p>
      <w:pPr>
        <w:ind w:right="3239" w:firstLine="437"/>
        <w:spacing w:after="0" w:line="256" w:lineRule="auto"/>
        <w:rPr>
          <w:sz w:val="20"/>
          <w:szCs w:val="20"/>
          <w:color w:val="auto"/>
        </w:rPr>
      </w:pPr>
      <w:r>
        <w:rPr>
          <w:rFonts w:ascii="Courier New" w:cs="Courier New" w:eastAsia="Courier New" w:hAnsi="Courier New"/>
          <w:sz w:val="14"/>
          <w:szCs w:val="14"/>
          <w:color w:val="auto"/>
        </w:rPr>
        <w:t>Lines of Credit and Other Secured Borrowings. The loans we acquired in the fourth quarter of 2005 were funded through a transaction involving the sale of loans under an agreement to repurchase which we account for as a collateralized financing. The loans were securitized in February 2006 and the outstanding balance was repaid. Lines of credit and other secured borrowings are as follows: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Borrowing 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87"/>
        <w:spacing w:after="0" w:line="234" w:lineRule="auto"/>
        <w:rPr>
          <w:sz w:val="20"/>
          <w:szCs w:val="20"/>
          <w:color w:val="auto"/>
        </w:rPr>
      </w:pPr>
      <w:r>
        <w:rPr>
          <w:rFonts w:ascii="Courier New" w:cs="Courier New" w:eastAsia="Courier New" w:hAnsi="Courier New"/>
          <w:sz w:val="15"/>
          <w:szCs w:val="15"/>
          <w:color w:val="auto"/>
        </w:rPr>
        <w:t>Interest Rate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88"/>
        <w:spacing w:after="0" w:line="234" w:lineRule="auto"/>
        <w:rPr>
          <w:sz w:val="20"/>
          <w:szCs w:val="20"/>
          <w:color w:val="auto"/>
        </w:rPr>
      </w:pPr>
      <w:r>
        <w:rPr>
          <w:rFonts w:ascii="Courier New" w:cs="Courier New" w:eastAsia="Courier New" w:hAnsi="Courier New"/>
          <w:sz w:val="15"/>
          <w:szCs w:val="15"/>
          <w:color w:val="auto"/>
        </w:rPr>
        <w:t>Maturity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Unused</w:t>
      </w:r>
    </w:p>
    <w:p>
      <w:pPr>
        <w:spacing w:after="0" w:line="237" w:lineRule="auto"/>
        <w:rPr>
          <w:sz w:val="20"/>
          <w:szCs w:val="20"/>
          <w:color w:val="auto"/>
        </w:rPr>
      </w:pPr>
      <w:r>
        <w:rPr>
          <w:rFonts w:ascii="Courier New" w:cs="Courier New" w:eastAsia="Courier New" w:hAnsi="Courier New"/>
          <w:sz w:val="15"/>
          <w:szCs w:val="15"/>
          <w:color w:val="auto"/>
        </w:rPr>
        <w:t>Borrowing</w:t>
      </w:r>
    </w:p>
    <w:p>
      <w:pPr>
        <w:ind w:left="100"/>
        <w:spacing w:after="0" w:line="238" w:lineRule="auto"/>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Balance Outstanding at</w:t>
      </w:r>
    </w:p>
    <w:p>
      <w:pPr>
        <w:ind w:left="70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238" w:lineRule="auto"/>
        <w:rPr>
          <w:sz w:val="20"/>
          <w:szCs w:val="20"/>
          <w:color w:val="auto"/>
        </w:rPr>
      </w:pPr>
      <w:r>
        <w:rPr>
          <w:rFonts w:ascii="Courier New" w:cs="Courier New" w:eastAsia="Courier New" w:hAnsi="Courier New"/>
          <w:sz w:val="15"/>
          <w:szCs w:val="15"/>
          <w:color w:val="auto"/>
        </w:rPr>
        <w:t>---------------------------</w:t>
      </w:r>
    </w:p>
    <w:p>
      <w:pPr>
        <w:ind w:left="360"/>
        <w:spacing w:after="0" w:line="237" w:lineRule="auto"/>
        <w:tabs>
          <w:tab w:leader="none" w:pos="16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380" w:space="260"/>
            <w:col w:w="1660" w:space="180"/>
            <w:col w:w="1220" w:space="340"/>
            <w:col w:w="1060" w:space="80"/>
            <w:col w:w="3059"/>
          </w:cols>
          <w:pgMar w:left="220" w:top="62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1-Month LIBOR + 75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2006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459,400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8">
            <w:col w:w="1760" w:space="700"/>
            <w:col w:w="1580" w:space="260"/>
            <w:col w:w="1220" w:space="340"/>
            <w:col w:w="160" w:space="720"/>
            <w:col w:w="520" w:space="360"/>
            <w:col w:w="620" w:space="260"/>
            <w:col w:w="140" w:space="720"/>
            <w:col w:w="8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Master loan and 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1-Month LIBOR + 55</w:t>
      </w:r>
    </w:p>
    <w:p>
      <w:pPr>
        <w:spacing w:after="0" w:line="10" w:lineRule="exact"/>
        <w:rPr>
          <w:sz w:val="20"/>
          <w:szCs w:val="20"/>
          <w:color w:val="auto"/>
        </w:rPr>
      </w:pPr>
    </w:p>
    <w:p>
      <w:pPr>
        <w:sectPr>
          <w:pgSz w:w="11900" w:h="16838" w:orient="portrait"/>
          <w:cols w:equalWidth="0" w:num="2">
            <w:col w:w="2100" w:space="360"/>
            <w:col w:w="7779"/>
          </w:cols>
          <w:pgMar w:left="220" w:top="62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agreement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 355 basis points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6">
            <w:col w:w="1740" w:space="720"/>
            <w:col w:w="1660" w:space="260"/>
            <w:col w:w="1200" w:space="720"/>
            <w:col w:w="1040" w:space="720"/>
            <w:col w:w="580" w:space="720"/>
            <w:col w:w="8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Master loan and security</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agreement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1-Month LIBOR + 55</w:t>
      </w:r>
    </w:p>
    <w:p>
      <w:pPr>
        <w:spacing w:after="0" w:line="3" w:lineRule="exact"/>
        <w:rPr>
          <w:sz w:val="20"/>
          <w:szCs w:val="20"/>
          <w:color w:val="auto"/>
        </w:rPr>
      </w:pPr>
    </w:p>
    <w:p>
      <w:pPr>
        <w:sectPr>
          <w:pgSz w:w="11900" w:h="16838" w:orient="portrait"/>
          <w:cols w:equalWidth="0" w:num="2">
            <w:col w:w="1740" w:space="720"/>
            <w:col w:w="7779"/>
          </w:cols>
          <w:pgMar w:left="220" w:top="624"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consolidated VIE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 355 basis points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2006</w:t>
      </w:r>
    </w:p>
    <w:p>
      <w:pPr>
        <w:spacing w:after="0" w:line="20" w:lineRule="exact"/>
        <w:rPr>
          <w:sz w:val="20"/>
          <w:szCs w:val="20"/>
          <w:color w:val="auto"/>
        </w:rPr>
      </w:pPr>
      <w:r>
        <w:rPr>
          <w:sz w:val="20"/>
          <w:szCs w:val="20"/>
          <w:color w:val="auto"/>
        </w:rPr>
        <w:br w:type="column"/>
      </w:r>
    </w:p>
    <w:p>
      <w:pPr>
        <w:ind w:firstLine="437"/>
        <w:spacing w:after="0" w:line="256" w:lineRule="auto"/>
        <w:rPr>
          <w:sz w:val="20"/>
          <w:szCs w:val="20"/>
          <w:color w:val="auto"/>
        </w:rPr>
      </w:pPr>
      <w:r>
        <w:rPr>
          <w:rFonts w:ascii="Courier New" w:cs="Courier New" w:eastAsia="Courier New" w:hAnsi="Courier New"/>
          <w:sz w:val="14"/>
          <w:szCs w:val="14"/>
          <w:color w:val="auto"/>
        </w:rPr>
        <w:t>178,831 ------------ $ 278,831 ============</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71,169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530,569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3" w:lineRule="exact"/>
        <w:rPr>
          <w:sz w:val="20"/>
          <w:szCs w:val="20"/>
          <w:color w:val="auto"/>
        </w:rPr>
      </w:pPr>
    </w:p>
    <w:p>
      <w:pPr>
        <w:sectPr>
          <w:pgSz w:w="11900" w:h="16838" w:orient="portrait"/>
          <w:cols w:equalWidth="0" w:num="6">
            <w:col w:w="1940" w:space="520"/>
            <w:col w:w="1660" w:space="260"/>
            <w:col w:w="1060" w:space="420"/>
            <w:col w:w="1060" w:space="260"/>
            <w:col w:w="1060" w:space="260"/>
            <w:col w:w="1739"/>
          </w:cols>
          <w:pgMar w:left="220" w:top="624" w:right="1440" w:bottom="1440" w:gutter="0" w:footer="0" w:header="0"/>
          <w:type w:val="continuous"/>
        </w:sectPr>
      </w:pPr>
    </w:p>
    <w:p>
      <w:pPr>
        <w:spacing w:after="0" w:line="126"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matured on March 17, 2006.</w:t>
      </w:r>
    </w:p>
    <w:p>
      <w:pPr>
        <w:spacing w:after="0" w:line="4"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entered into this agreement on October 11, 2005 and any future borrowings under this agreement will be secured by mortgage loans. We can borrow up to 90% of the principal balance of the mortgage loans or 88.2% of the market value of the loans, whichever is lower, at LIBOR plus 55 basis points. Borrowing above this level is at LIBOR plus 355 basis points.</w:t>
      </w:r>
    </w:p>
    <w:p>
      <w:pPr>
        <w:spacing w:after="0" w:line="1" w:lineRule="exact"/>
        <w:rPr>
          <w:rFonts w:ascii="Courier New" w:cs="Courier New" w:eastAsia="Courier New" w:hAnsi="Courier New"/>
          <w:sz w:val="14"/>
          <w:szCs w:val="14"/>
          <w:color w:val="auto"/>
        </w:rPr>
      </w:pPr>
    </w:p>
    <w:p>
      <w:pPr>
        <w:ind w:left="440" w:right="3679" w:hanging="430"/>
        <w:spacing w:after="0" w:line="236"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VIE entered into this agreement on October 11, 2005. Borrowings under this agreement are secured by mortgage loans. The consolidated VIE can borrow up to 90% of the principal balance of the mortgage loans or 88.2% of the market value of the loans, whichever is lower, at LIBOR plus 55 basis points. Borrowing above this level is at LIBOR plus 355 basis points.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Results for 2005 include an operating loss from the mortgage fulfillment center and due diligence operation we acquired in December 2004. This loss primarily reflects our need to increase processing staff in advance of increased transaction volume. Our 2005 results were also impacted by declining earnings on our maturing portfolio of UK-based residual securities, a provision to fully reserve a working capital investment in a consolidated VIE and charges recorded to provide market valuation reserves on loans held for resale. Our loan refinancing program for residential servicing customers began earning fees in the second quarter of 2004.</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Selected operations data</w:t>
            </w:r>
          </w:p>
        </w:tc>
        <w:tc>
          <w:tcPr>
            <w:tcW w:w="220" w:type="dxa"/>
            <w:vAlign w:val="bottom"/>
          </w:tcPr>
          <w:p>
            <w:pPr>
              <w:spacing w:after="0"/>
              <w:rPr>
                <w:sz w:val="14"/>
                <w:szCs w:val="14"/>
                <w:color w:val="auto"/>
              </w:rPr>
            </w:pPr>
          </w:p>
        </w:tc>
        <w:tc>
          <w:tcPr>
            <w:tcW w:w="11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Pre-tax income (loss) ...........................</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5,533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Process management fees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54,511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41,368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22,394</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627</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revenue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54,732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23,021</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 and benefits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12,581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2,018</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Servicing and origination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24,049</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23,056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10,897</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Occupancy and equipment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Technology and communications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2,406</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Professional services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3,680</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12,051</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21,730</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6,468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7,656</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71,221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35,586</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520" w:type="dxa"/>
            <w:vAlign w:val="bottom"/>
          </w:tcPr>
          <w:p>
            <w:pPr>
              <w:jc w:val="right"/>
              <w:ind w:right="2687"/>
              <w:spacing w:after="0" w:line="168" w:lineRule="exact"/>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Subordinate and residual trading securities</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16,223</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Loans held for resale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4,642</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494</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interest income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16,745</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14,812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16,717</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22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(6,672)</w:t>
            </w:r>
          </w:p>
        </w:tc>
        <w:tc>
          <w:tcPr>
            <w:tcW w:w="2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(877)</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trading securities ...........</w:t>
            </w:r>
          </w:p>
        </w:tc>
        <w:tc>
          <w:tcPr>
            <w:tcW w:w="22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2,932</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1,197</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other income (expense)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18,098</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type w:val="continuous"/>
        </w:sectPr>
      </w:pPr>
    </w:p>
    <w:bookmarkStart w:id="31" w:name="page32"/>
    <w:bookmarkEnd w:id="31"/>
    <w:p>
      <w:pPr>
        <w:ind w:right="3579" w:firstLine="437"/>
        <w:spacing w:after="0" w:line="234" w:lineRule="auto"/>
        <w:rPr>
          <w:sz w:val="20"/>
          <w:szCs w:val="20"/>
          <w:color w:val="auto"/>
        </w:rPr>
      </w:pPr>
      <w:r>
        <w:rPr>
          <w:rFonts w:ascii="Courier New" w:cs="Courier New" w:eastAsia="Courier New" w:hAnsi="Courier New"/>
          <w:sz w:val="15"/>
          <w:szCs w:val="15"/>
          <w:color w:val="auto"/>
        </w:rPr>
        <w:t>Process Management Fees. The principal components of process management fees 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2005</w:t>
            </w:r>
          </w:p>
        </w:tc>
        <w:tc>
          <w:tcPr>
            <w:tcW w:w="40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Property valuation fees (1)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29,122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30,373</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18,804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Mortgage due diligence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9,109</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refinancing fees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6,078</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2,362</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(2)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10,202</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8,633</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w:t>
            </w:r>
          </w:p>
        </w:tc>
      </w:tr>
      <w:tr>
        <w:trPr>
          <w:trHeight w:val="168"/>
        </w:trPr>
        <w:tc>
          <w:tcPr>
            <w:tcW w:w="44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54,511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41,368</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22,394</w:t>
            </w:r>
          </w:p>
        </w:tc>
      </w:tr>
      <w:tr>
        <w:trPr>
          <w:trHeight w:val="168"/>
        </w:trPr>
        <w:tc>
          <w:tcPr>
            <w:tcW w:w="44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399" w:hanging="430"/>
        <w:spacing w:after="0" w:line="235"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property valuation fees in 2004 reflects an increase in volume primarily as a result of the VA contract entered into in September 2003.</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primarily includes title service and other fees earned from vendors in the REALTrans network.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Operating Expenses. The increase in operating expenses in 2005 is in large part due to increased staffing, technology and other operating expenses associated with the mortgage fulfillment center and due diligence operation we acquired in December 2004. Servicing and origination expenses for 2005, 2004 and 2003 include $19,426, $20,747 and $10,649, respectively, of fees incurred in connection with the residential property valuation services that we provided. Other operating expenses for 2005 include a charge of $7,238 to recognize the full impairment of a working capital investment in a consolidated VIE and charges of $4,380 to reduce loans held for resale to market value. Professional services for 2003 include a $10,000 settlement resulting from a proceeding before an arbitration panel in connection with a subsidiary which ceased operations in 1999.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Gain (Loss) on Trading Securities These gains and losses primarily represent unrealized gains and losses on unrated subprime residual securities backed by subprime residential loans originated in the UK. A decline in cash flows from the UK securities has resulted in reduced interest income and a decline in fair value. The $5,475 of net unrealized losses for 2005 were almost entirely offset by realized gains of $5,468. The realized gains resulted from the following:</w:t>
      </w:r>
    </w:p>
    <w:p>
      <w:pPr>
        <w:spacing w:after="0" w:line="176" w:lineRule="exact"/>
        <w:rPr>
          <w:sz w:val="20"/>
          <w:szCs w:val="20"/>
          <w:color w:val="auto"/>
        </w:rPr>
      </w:pPr>
    </w:p>
    <w:p>
      <w:pPr>
        <w:ind w:left="440" w:right="3239" w:hanging="430"/>
        <w:spacing w:after="0" w:line="254"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30, 2005, we purchased $11,766 of unrated residual securities related to loans for which we were the master servicer for the related securitizations. As the master servicer, we had the clean-up call rights to collapse the related trusts once the balance of the underlying loans outstanding reached the optional termination amount of 10% of the original amount of loans in the securitization. In September 2005, we exercised our call rights and purchased the approximately $81,853 of remaining loans from the trusts. As a result, the over collateralization was remitted to us, and we realized a gain of $8,495 on the residual securities that we had purchased. We purchased the loans with the intention of securitizing or selling them. A portion of the loans that we acquired were nonperforming, and we recorded a provision of $6,476 to reduce these nonperforming loans to their market value, yielding a net gain of $2,019.</w:t>
      </w:r>
    </w:p>
    <w:p>
      <w:pPr>
        <w:spacing w:after="0" w:line="4" w:lineRule="exact"/>
        <w:rPr>
          <w:rFonts w:ascii="Courier New" w:cs="Courier New" w:eastAsia="Courier New" w:hAnsi="Courier New"/>
          <w:sz w:val="14"/>
          <w:szCs w:val="14"/>
          <w:color w:val="auto"/>
        </w:rPr>
      </w:pPr>
    </w:p>
    <w:p>
      <w:pPr>
        <w:ind w:left="440" w:right="3319" w:hanging="430"/>
        <w:spacing w:after="0" w:line="235"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2005, we completed the securitization of $59,756 of the loans acquired in the transaction described above and recorded a gain of $3,449. We retained a residual security with a fair value of $705.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PROCESS OUTSOURCING</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This segment began operations in 2002. Results reflect the initiation of new outsourcing contracts in late 2003 and 2004 and the expansion of sales and marketing activities in 2004.</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Selected operations data</w:t>
            </w:r>
          </w:p>
        </w:tc>
        <w:tc>
          <w:tcPr>
            <w:tcW w:w="1260" w:type="dxa"/>
            <w:vAlign w:val="bottom"/>
          </w:tcPr>
          <w:p>
            <w:pPr>
              <w:spacing w:after="0"/>
              <w:rPr>
                <w:sz w:val="14"/>
                <w:szCs w:val="1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77"/>
              </w:rPr>
              <w:t>Pre-tax income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1,893</w:t>
            </w: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Process management fees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11,265</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9,493</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4,496</w:t>
            </w: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9,945</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2,598</w:t>
            </w:r>
          </w:p>
        </w:tc>
      </w:tr>
      <w:tr>
        <w:trPr>
          <w:trHeight w:val="505"/>
        </w:trPr>
        <w:tc>
          <w:tcPr>
            <w:tcW w:w="3420" w:type="dxa"/>
            <w:vAlign w:val="bottom"/>
          </w:tcPr>
          <w:p>
            <w:pPr>
              <w:spacing w:after="0"/>
              <w:rPr>
                <w:sz w:val="24"/>
                <w:szCs w:val="24"/>
                <w:color w:val="auto"/>
              </w:rPr>
            </w:pPr>
          </w:p>
        </w:tc>
        <w:tc>
          <w:tcPr>
            <w:tcW w:w="1260" w:type="dxa"/>
            <w:vAlign w:val="bottom"/>
          </w:tcPr>
          <w:p>
            <w:pPr>
              <w:jc w:val="right"/>
              <w:ind w:right="1007"/>
              <w:spacing w:after="0"/>
              <w:rPr>
                <w:sz w:val="20"/>
                <w:szCs w:val="20"/>
                <w:color w:val="auto"/>
              </w:rPr>
            </w:pPr>
            <w:r>
              <w:rPr>
                <w:rFonts w:ascii="Courier New" w:cs="Courier New" w:eastAsia="Courier New" w:hAnsi="Courier New"/>
                <w:sz w:val="15"/>
                <w:szCs w:val="15"/>
                <w:color w:val="auto"/>
                <w:w w:val="88"/>
              </w:rPr>
              <w:t>30</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CORPORATE ITEMS AND OTHER</w:t>
      </w:r>
    </w:p>
    <w:p>
      <w:pPr>
        <w:spacing w:after="0" w:line="173"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The decline in assets during 2005 primarily reflects a decline in cash and investment grade securities used to fund the transfer of our customer deposits to Marathon in connection with debanking. The decline in liabilities in 2005 is largely due to the transfer of customer deposits to Marathon and the repurchase of debt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00" w:type="dxa"/>
            <w:vAlign w:val="bottom"/>
          </w:tcPr>
          <w:p>
            <w:pPr>
              <w:spacing w:after="0"/>
              <w:rPr>
                <w:sz w:val="14"/>
                <w:szCs w:val="14"/>
                <w:color w:val="auto"/>
              </w:rPr>
            </w:pPr>
          </w:p>
        </w:tc>
        <w:tc>
          <w:tcPr>
            <w:tcW w:w="25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balance sheet data</w:t>
            </w:r>
          </w:p>
        </w:tc>
        <w:tc>
          <w:tcPr>
            <w:tcW w:w="1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2005</w:t>
            </w:r>
          </w:p>
        </w:tc>
        <w:tc>
          <w:tcPr>
            <w:tcW w:w="1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assets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382,513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829,249</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4,939</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90,465</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21,891</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94,643</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Premises and equipment, net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37,227</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35,400</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assets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52,985</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50,567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liabilities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214,894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578,449</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14,661</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14,936</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Debt securities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154,329</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231,249</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Deposits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290,507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liabilities .............................</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45,904</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41,655</w:t>
            </w:r>
          </w:p>
        </w:tc>
      </w:tr>
    </w:tbl>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Trading Securities. The following table sets forth the fair value of our trading securities in the Corporate Items and Other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2005</w:t>
            </w: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6"/>
              </w:rPr>
              <w:t>Investment grade securities: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 Treasury securities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w:t>
            </w:r>
          </w:p>
        </w:tc>
      </w:tr>
      <w:tr>
        <w:trPr>
          <w:trHeight w:val="168"/>
        </w:trPr>
        <w:tc>
          <w:tcPr>
            <w:tcW w:w="45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Collateralized mortgage obligations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(AAA-rated) (1)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81,466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Bonds and debentures (2)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1,685</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3,155</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1,685</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86,215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Subordinates (commercial unrated)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3,254</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4,939</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90,465</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579" w:hanging="430"/>
        <w:spacing w:after="0" w:line="234"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debanking, we invested in CMOs as needed to meet the Qualified Thrift Lender requirements of the Bank.</w:t>
      </w:r>
    </w:p>
    <w:p>
      <w:pPr>
        <w:spacing w:after="0" w:line="5" w:lineRule="exact"/>
        <w:rPr>
          <w:rFonts w:ascii="Courier New" w:cs="Courier New" w:eastAsia="Courier New" w:hAnsi="Courier New"/>
          <w:sz w:val="15"/>
          <w:szCs w:val="15"/>
          <w:color w:val="auto"/>
        </w:rPr>
      </w:pPr>
    </w:p>
    <w:p>
      <w:pPr>
        <w:ind w:left="440" w:right="3399" w:hanging="430"/>
        <w:spacing w:after="0" w:line="465"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were acquired in connection with our acquisition of BOK. Receivables. Receivables in this segment consist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2005</w:t>
            </w:r>
          </w:p>
        </w:tc>
        <w:tc>
          <w:tcPr>
            <w:tcW w:w="4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6"/>
              </w:rPr>
              <w:t>Amounts due from sales of affordable housing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properties (1)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13,160</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18,308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taxes (2) .................................</w:t>
            </w:r>
          </w:p>
        </w:tc>
        <w:tc>
          <w:tcPr>
            <w:tcW w:w="4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68,463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(3) ........................................</w:t>
            </w:r>
          </w:p>
        </w:tc>
        <w:tc>
          <w:tcPr>
            <w:tcW w:w="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8,826</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7,872</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21,891</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94,643</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399" w:hanging="430"/>
        <w:spacing w:after="0" w:line="236"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primarily represents payments to be received in future years (through June 2014) from the sale of investments in affordable housing properties. The balances are net of an unaccreted discounts of $1,530 and $2,346 and a reserves for doubtful accounts of $6,150 and $5,596 at December 31, 2005 and 2004, respectively.</w:t>
      </w:r>
    </w:p>
    <w:p>
      <w:pPr>
        <w:spacing w:after="0" w:line="5" w:lineRule="exact"/>
        <w:rPr>
          <w:rFonts w:ascii="Courier New" w:cs="Courier New" w:eastAsia="Courier New" w:hAnsi="Courier New"/>
          <w:sz w:val="15"/>
          <w:szCs w:val="15"/>
          <w:color w:val="auto"/>
        </w:rPr>
      </w:pPr>
    </w:p>
    <w:p>
      <w:pPr>
        <w:ind w:left="440" w:right="3679" w:hanging="430"/>
        <w:spacing w:after="0" w:line="254"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2004, income taxes receivable included $63,398 of federal tax refund claims, including $6,872 of accrued interest on the claims. In September 2005, we collected the federal income tax refund claims, which totaled $ 65,317 including $ 8,772 of interest.</w:t>
      </w:r>
    </w:p>
    <w:p>
      <w:pPr>
        <w:spacing w:after="0" w:line="1" w:lineRule="exact"/>
        <w:rPr>
          <w:rFonts w:ascii="Courier New" w:cs="Courier New" w:eastAsia="Courier New" w:hAnsi="Courier New"/>
          <w:sz w:val="14"/>
          <w:szCs w:val="14"/>
          <w:color w:val="auto"/>
        </w:rPr>
      </w:pPr>
    </w:p>
    <w:p>
      <w:pPr>
        <w:ind w:left="440" w:right="4199" w:hanging="430"/>
        <w:spacing w:after="0" w:line="23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$3,701 and $3,384, at December 31, 2005 and 2004, respectively, of receivables related to BOK.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3" w:name="page34"/>
    <w:bookmarkEnd w:id="33"/>
    <w:p>
      <w:pPr>
        <w:ind w:right="3839" w:firstLine="437"/>
        <w:spacing w:after="0" w:line="234" w:lineRule="auto"/>
        <w:rPr>
          <w:sz w:val="20"/>
          <w:szCs w:val="20"/>
          <w:color w:val="auto"/>
        </w:rPr>
      </w:pPr>
      <w:r>
        <w:rPr>
          <w:rFonts w:ascii="Courier New" w:cs="Courier New" w:eastAsia="Courier New" w:hAnsi="Courier New"/>
          <w:sz w:val="15"/>
          <w:szCs w:val="15"/>
          <w:color w:val="auto"/>
        </w:rPr>
        <w:t>Other Assets. Other assets held by this segment are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2005</w:t>
            </w: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tax assets, net (1)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20,270</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17,677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earning collateral deposits (2)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15,164</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debt related costs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4,349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and intangibles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5,435</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4,062</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18,732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Prepaid expenses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2,796</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(net of allowance of $40 and $4,546)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Affordable housing properties (3)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496</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52,985</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73,091</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39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assets are net of valuation allowances totaling $163,802 and $165,927 at December 31, 2005 and 2004, respectively.</w:t>
      </w:r>
    </w:p>
    <w:p>
      <w:pPr>
        <w:spacing w:after="0" w:line="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at December 31, 2005 and 2004 includes $8,912 and $8,905, respectively, of deposits that were required in order to obtain surety bonds for affordable housing properties that we sold before the end of the fifteen-year tax credit amortization period and on which we have previously claimed tax credits on our income tax returns. The surety bond is necessary in order to avoid the recapture of those tax credits previously claimed. The balance at December 31, 2005 also includes a $5,000 cash collateral account required under the Guaranty we entered into in connection with debanking. See Note 22 to the Consolidated Financial Statements for additional information regarding this agreement.</w:t>
      </w:r>
    </w:p>
    <w:p>
      <w:pPr>
        <w:spacing w:after="0" w:line="3" w:lineRule="exact"/>
        <w:rPr>
          <w:rFonts w:ascii="Courier New" w:cs="Courier New" w:eastAsia="Courier New" w:hAnsi="Courier New"/>
          <w:sz w:val="14"/>
          <w:szCs w:val="14"/>
          <w:color w:val="auto"/>
        </w:rPr>
      </w:pPr>
    </w:p>
    <w:p>
      <w:pPr>
        <w:ind w:left="440" w:right="357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sold our one remaining limited partnership interest in an affordable housing property during 2005 for a loss of $1,272.</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Lines of Credit and Other Secured Borrowings. Lines of credit and other secured borrowings in this segment represent a mortgage note collateralized by our loan servicing call center located in Orlando, Florida. This note has a fixed interest rate of 5.62% and matures in October 2014.</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Debt Securities. Debt securities in this segment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2005</w:t>
            </w:r>
          </w:p>
        </w:tc>
        <w:tc>
          <w:tcPr>
            <w:tcW w:w="4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3.25% Contingent Convertible Senior Unsecured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Notes due August 1, 2024 (1)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100,900</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10.875% Capital Securities due August 1, 2027 (2)</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53,429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154,329</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231,249</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319" w:hanging="430"/>
        <w:spacing w:after="0" w:line="236"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28, 2004, OCN issued $175,000 aggregate principal amount of 3.25% Contingent Convertible Senior Unsecured Notes due 2024 ("Convertible Notes"). The Convertible Notes are convertible at the option of the holder under certain circumstances into shares of our common stock at an initial conversion rate of 82.1693 shares per $1 principal amount of the Convertible Notes, subject to adjustment. During 2005, we repurchased $74,100 of the Convertible Notes generating total gains of $4,497, net of the write-off of unamortized issuance costs. See Note 14 to our Consolidated Financial Statements for additional details regarding the Convertible Notes.</w:t>
      </w:r>
    </w:p>
    <w:p>
      <w:pPr>
        <w:spacing w:after="0" w:line="11"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2005 we repurchased $2,820 of the Capital Securities generating total losses of $239, net of the write-off of unamortized issuance costs. See Note 14 to our Consolidated Financial Statements for additional information regarding the Capital Securities.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Deposits. In connection with debanking, on June 30, 2005, Marathon National Bank assumed the customer deposits associated with the Bank's branch facility. As a result of our termination of the Bank's status as a federal savings bank, we are no longer able to accept deposits in the U.S. Total customer deposits amounted to $290,507 at December 31, 2004.</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Other Liabilities. Other liabilities in this segment consist primarily of accruals for incentive compensation awards, audit fees, legal fees and settlements, interest on debt securities and other operating expenses. Other liabilities also include funds of third parties held on deposit by BOK.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4" w:name="page35"/>
    <w:bookmarkEnd w:id="34"/>
    <w:p>
      <w:pPr>
        <w:ind w:right="3399" w:firstLine="437"/>
        <w:spacing w:after="0" w:line="235" w:lineRule="auto"/>
        <w:rPr>
          <w:sz w:val="20"/>
          <w:szCs w:val="20"/>
          <w:color w:val="auto"/>
        </w:rPr>
      </w:pPr>
      <w:r>
        <w:rPr>
          <w:rFonts w:ascii="Courier New" w:cs="Courier New" w:eastAsia="Courier New" w:hAnsi="Courier New"/>
          <w:sz w:val="15"/>
          <w:szCs w:val="15"/>
          <w:color w:val="auto"/>
        </w:rPr>
        <w:t>The Corporate Items and Other segment recorded pre-tax income in 2005, as compared to losses in 2004 and 2003, primarily as a result of gains on debt repurchases and declines in operating expenses and interest expense.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Selected operations data</w:t>
            </w:r>
          </w:p>
        </w:tc>
        <w:tc>
          <w:tcPr>
            <w:tcW w:w="220" w:type="dxa"/>
            <w:vAlign w:val="bottom"/>
          </w:tcPr>
          <w:p>
            <w:pPr>
              <w:spacing w:after="0"/>
              <w:rPr>
                <w:sz w:val="14"/>
                <w:szCs w:val="14"/>
                <w:color w:val="auto"/>
              </w:rPr>
            </w:pPr>
          </w:p>
        </w:tc>
        <w:tc>
          <w:tcPr>
            <w:tcW w:w="11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Pre-tax income (loss) ...........................</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(27,153)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(1)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income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8,747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7,330</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22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(8,158)</w:t>
            </w:r>
          </w:p>
        </w:tc>
        <w:tc>
          <w:tcPr>
            <w:tcW w:w="2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(9,696)</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(16,164)</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Distributions on Capital Securities (2)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trading securities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debt repurchases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4,394</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5,398</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other income (expense)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(12,589)</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099" w:hanging="430"/>
        <w:spacing w:after="0" w:line="234"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2005 and 2004 primarily represent the elimination of inter-company servicing and process management fees.</w:t>
      </w:r>
    </w:p>
    <w:p>
      <w:pPr>
        <w:spacing w:after="0" w:line="5"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with our adoption of SFAS No. 150 on July 1, 2003, distributions on Capital Securities are included in interest expense.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Expenses. Operating expenses for 2005, 2004 and 2003 include</w:t>
      </w:r>
    </w:p>
    <w:p>
      <w:pPr>
        <w:spacing w:after="0" w:line="237" w:lineRule="auto"/>
        <w:rPr>
          <w:sz w:val="20"/>
          <w:szCs w:val="20"/>
          <w:color w:val="auto"/>
        </w:rPr>
      </w:pPr>
      <w:r>
        <w:rPr>
          <w:rFonts w:ascii="Courier New" w:cs="Courier New" w:eastAsia="Courier New" w:hAnsi="Courier New"/>
          <w:sz w:val="15"/>
          <w:szCs w:val="15"/>
          <w:color w:val="auto"/>
        </w:rPr>
        <w:t>$6,131, $6,468, and $7,170, respectively, of expenses associated with business</w:t>
      </w:r>
    </w:p>
    <w:p>
      <w:pPr>
        <w:spacing w:after="0" w:line="238" w:lineRule="auto"/>
        <w:rPr>
          <w:sz w:val="20"/>
          <w:szCs w:val="20"/>
          <w:color w:val="auto"/>
        </w:rPr>
      </w:pPr>
      <w:r>
        <w:rPr>
          <w:rFonts w:ascii="Courier New" w:cs="Courier New" w:eastAsia="Courier New" w:hAnsi="Courier New"/>
          <w:sz w:val="15"/>
          <w:szCs w:val="15"/>
          <w:color w:val="auto"/>
        </w:rPr>
        <w:t>activities that are individually insignificant, primarily Affordable Housing,</w:t>
      </w:r>
    </w:p>
    <w:p>
      <w:pPr>
        <w:spacing w:after="0" w:line="237" w:lineRule="auto"/>
        <w:rPr>
          <w:sz w:val="20"/>
          <w:szCs w:val="20"/>
          <w:color w:val="auto"/>
        </w:rPr>
      </w:pPr>
      <w:r>
        <w:rPr>
          <w:rFonts w:ascii="Courier New" w:cs="Courier New" w:eastAsia="Courier New" w:hAnsi="Courier New"/>
          <w:sz w:val="15"/>
          <w:szCs w:val="15"/>
          <w:color w:val="auto"/>
        </w:rPr>
        <w:t>Commercial Assets and BOK.</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2004, reserves of $4,000 were established to provide for the following claims:</w:t>
      </w:r>
    </w:p>
    <w:p>
      <w:pPr>
        <w:spacing w:after="0" w:line="173" w:lineRule="exact"/>
        <w:rPr>
          <w:sz w:val="20"/>
          <w:szCs w:val="20"/>
          <w:color w:val="auto"/>
        </w:rPr>
      </w:pPr>
    </w:p>
    <w:p>
      <w:pPr>
        <w:ind w:left="440" w:right="3239" w:hanging="430"/>
        <w:spacing w:after="0" w:line="236"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8, 2005, a jury in Circuit Court for Palm Beach County, Florida returned verdicts of $1,000 and $1,056 in compensatory damages in favor of two former employees of the Bank in a lawsuit against OCN and the Bank as well as the award of $900 in plaintiff's attorney fees. We have filed motions for a new trial and have taken an appeal to the Florida Court of Appeals for the Fourth District.</w:t>
      </w:r>
    </w:p>
    <w:p>
      <w:pPr>
        <w:spacing w:after="0" w:line="6"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5, 2005, the trial judge in County Court for Nueces County, Texas, entered an Agreed Order of Dismissal, dismissing with prejudice all claims brought by two investor plaintiffs whose mortgage loan on an investment property was serviced by the Bank. After a trial in February 2005, the jury returned a verdict in favor of plaintiffs for compensatory and statutory damages in the amount of $140. The parties subsequently entered into a definitive settlement agreement disposing of all claims. The amount of the settlement was within the reserve amount established for the case.</w:t>
      </w:r>
    </w:p>
    <w:p>
      <w:pPr>
        <w:spacing w:after="0" w:line="10"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3, 2004, the trial judge in litigation brought by Cartel Asset Management, Inc. ("Cartel") against OCN, the Bank and OTX in federal court in Denver, Colorado entered final judgment in the amount of $520 against OTX and nominal damages of two dollars against the Bank. No damages were entered against OCN. Notwithstanding the nominal damage award against the Bank, it was assessed a statutory award to Cartel of attorneys' fees in an additional amount of $170, and the Bank and OTX were further assessed costs in the amount of $9.</w:t>
      </w:r>
    </w:p>
    <w:p>
      <w:pPr>
        <w:spacing w:after="0" w:line="177"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See Note 28 to our Consolidated Financial Statements for additional information regarding these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Interest expense includes a portion of interest on the $175,000 of 3.25% Convertible Notes that we issued in July 2004. For 2005, 2004 and 2003, interest expense included a total of $920, $4,250 and $11,575, respectively, related to the Affordable Housing and Commercial Asset businesses. The decline reflects the decline in the assets of those businesses, many of which were not interest-earning assets.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net. Other, net is primarily comprised of the following:</w:t>
      </w:r>
    </w:p>
    <w:p>
      <w:pPr>
        <w:spacing w:after="0" w:line="173" w:lineRule="exact"/>
        <w:rPr>
          <w:sz w:val="20"/>
          <w:szCs w:val="20"/>
          <w:color w:val="auto"/>
        </w:rPr>
      </w:pPr>
    </w:p>
    <w:p>
      <w:pPr>
        <w:ind w:left="440" w:right="331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on federal income tax refund claims of $1,900 and $ 6,874 for 2005 and 2004, respectively. These claims, including accrued interest, were collected in September 2005.</w:t>
      </w:r>
    </w:p>
    <w:p>
      <w:pPr>
        <w:spacing w:after="0" w:line="5"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gains (losses) from the operation, valuation and sale of real estate (primarily commercial) of $1,856, $(2,924) and $(2,140) were recorded in 2005, 2004 and 2003 respectively. Gains on sales of real estate were $2,522 in 2005, including a gain of $1,882 related to the sale of a commercial real estate investment during the third quarter.</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gain of $1,750 we recognized in the second quarter of 2005 in connection with the assumption of our customer deposit liabilities on June 30, 2005 by Marathon.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5" w:name="page36"/>
    <w:bookmarkEnd w:id="35"/>
    <w:p>
      <w:pPr>
        <w:ind w:left="440" w:right="3239" w:hanging="430"/>
        <w:spacing w:after="0" w:line="236"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(losses) from the operation, valuation and sale of affordable housing properties of $(1,750), $255 and $(284) were recognized in 2005, 2004 and 2003, respectively. We recognized a loss of $1,272 in 2005 on the sale of our one remaining limited partnership interest in an affordable housing property.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 IN SUBSIDIARIES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Minority interest of $1,853 and $1,530 at December 31, 2005 and 2004, respectively, represents the investment by others in Global Servicing Solutions, LLC (GSS). ML IBK Positions, Inc. ("Merrill Lynch") owns 30% of GSS. In addition, 10% of one of the Japanese operating subsidiaries of GSS that we sold in 2005 was owned by an unaffiliated third party.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Stockholders' equity amounted to $347,407 at December 31, 2005 as compared to $330,108 at December 31, 2004. The $17,299 increase in stockholders' equity during 2005 was primarily due to net income of $15,065 and the issuance of 388,627 shares of common stock to employees as a result of the exercise of stock options and the vesting of stock awards.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did not purchase any shares of our own common stock during the year ended December 31, 2005. A total of 5,568,900 shares may be purchased under a plan we announced on May 9, 2000 to repurchase up to 6,000,000 shares of our issued and outstanding common stock. Our ability to repurchase shares of our common stock is restricted under the terms of the Guaranty that we entered into with the OTS in connection with debanking.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 (BENEFIT)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provides details of our income tax expense (benefit):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2005</w:t>
            </w:r>
          </w:p>
        </w:tc>
        <w:tc>
          <w:tcPr>
            <w:tcW w:w="360" w:type="dxa"/>
            <w:vAlign w:val="bottom"/>
          </w:tcPr>
          <w:p>
            <w:pPr>
              <w:spacing w:after="0"/>
              <w:rPr>
                <w:sz w:val="14"/>
                <w:szCs w:val="14"/>
                <w:color w:val="auto"/>
              </w:rPr>
            </w:pP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tax expense (benefit) on income (loss)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before taxes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(1,427)</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(reversal of) valuation allowance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on deferred tax asset .........................</w:t>
            </w:r>
          </w:p>
        </w:tc>
        <w:tc>
          <w:tcPr>
            <w:tcW w:w="4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(2,125)</w:t>
            </w:r>
          </w:p>
        </w:tc>
        <w:tc>
          <w:tcPr>
            <w:tcW w:w="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(35,518)</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2,175</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recapture of base year bad debt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reserves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1,967</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Total income tax expense (benefit)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5,815</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(32,324)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We maintain a valuation allowance in an amount sufficient to reduce our deferred tax asset to the amount that is more likely than not to be realized. The valuation allowance amounted to $163,802 and $165,927 at December 31, 2005 and 2004, respectively. The amount of the valuation allowance was based on consideration of all available evidence, both positive and negative, including our recent earnings history, current tax position and estimates of future taxable income. The tax character (ordinary versus capital) and the carry forward and carry back periods of certain tax attributes (e.g., capital losses and tax credits) were also considered. We assess the amount of our valuation allowance each quarter and in light of our recent positive earnings history, changes to the valuation allowance may be appropriate in 2006.</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$35,518 reduction in the valuation allowance on the deferred tax asset in 2004 is principally a result of refund claims of $56,526 filed with the IRS that reduced our gross deferred tax asset and increased our income tax receivable balance by the same amount. These refund claims, which were affirmed in writing by the IRS agent during 2004, arose because of changes in the tax law that allowed us to carry back net operating losses from 2001 and 2002 to taxes paid in earlier years.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second quarter of 2005, we recorded a one-time provision of $1,967 ($1,124 net of a related reversal of the valuation allowance on the deferred tax asset) to recognize a deferred tax liability arising from the recapture of bad debt reserves in connection with our termination of the Bank's status as a federal savings bank.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tax expense (benefit) on income (loss) before income taxes differs from amounts that would be computed by applying the Federal corporate income tax rate of 35% primarily because of the effect of foreign taxes, non-economic tax residual payments, changes in the valuation allowance and low-income housing tax credits. See Note 19 to our Consolidated Financial Statements for a reconciliation of taxes at the statutory rate to actual income tax expense (benefit). Income tax expense reflects tax credits of $998, $4,848 and $2,393, respectively. Although we have substantial unused tax credits available to reduce the liability arising from income taxes on our current year income, tax credits can be used to reduce income tax expense only to the corporate alternative minimum tax rate of 20% of taxable income.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853"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LIQUIDITY, COMMITMENTS AND OFF-BALANCE SHEET RISKS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primary sources of funds for liquidity are:</w:t>
      </w:r>
    </w:p>
    <w:p>
      <w:pPr>
        <w:spacing w:after="0" w:line="166" w:lineRule="exact"/>
        <w:rPr>
          <w:sz w:val="20"/>
          <w:szCs w:val="20"/>
          <w:color w:val="auto"/>
        </w:rPr>
      </w:pPr>
    </w:p>
    <w:p>
      <w:pPr>
        <w:ind w:left="1320" w:hanging="436"/>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 and other secured borrowings</w:t>
      </w:r>
    </w:p>
    <w:p>
      <w:pPr>
        <w:ind w:left="1320" w:hanging="436"/>
        <w:spacing w:after="0" w:line="237"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liabilities</w:t>
      </w:r>
    </w:p>
    <w:p>
      <w:pPr>
        <w:ind w:left="1320" w:hanging="436"/>
        <w:spacing w:after="0" w:line="237"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w:t>
      </w:r>
    </w:p>
    <w:p>
      <w:pPr>
        <w:ind w:left="1320" w:hanging="436"/>
        <w:spacing w:after="0" w:line="237"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fees</w:t>
      </w:r>
    </w:p>
    <w:p>
      <w:pPr>
        <w:ind w:left="1320" w:hanging="436"/>
        <w:spacing w:after="0" w:line="237"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received on trading securities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closely monitor our liquidity position and ongoing funding requirements. At December 31, 2005, we had $267,896 of unrestricted cash, which represented 14% of total assets. Under certain of our credit facilities, we are required to maintain minimum liquidity levels. Among the risks and challenges associated with our funding activities are the following:</w:t>
      </w:r>
    </w:p>
    <w:p>
      <w:pPr>
        <w:spacing w:after="0" w:line="163" w:lineRule="exact"/>
        <w:rPr>
          <w:sz w:val="20"/>
          <w:szCs w:val="20"/>
          <w:color w:val="auto"/>
        </w:rPr>
      </w:pPr>
    </w:p>
    <w:p>
      <w:pPr>
        <w:ind w:left="440" w:right="3679" w:hanging="430"/>
        <w:spacing w:after="0" w:line="234"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debanking, we are no longer able to raise funds through customer deposits in the U.S.</w:t>
      </w:r>
    </w:p>
    <w:p>
      <w:pPr>
        <w:spacing w:after="0" w:line="5" w:lineRule="exact"/>
        <w:rPr>
          <w:rFonts w:ascii="Courier New" w:cs="Courier New" w:eastAsia="Courier New" w:hAnsi="Courier New"/>
          <w:sz w:val="15"/>
          <w:szCs w:val="15"/>
          <w:color w:val="auto"/>
        </w:rPr>
      </w:pPr>
    </w:p>
    <w:p>
      <w:pPr>
        <w:jc w:val="both"/>
        <w:ind w:left="440" w:right="3499" w:hanging="430"/>
        <w:spacing w:after="0" w:line="235"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 and to fund existing operations and growth in other core business lines.</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an existing line of credit with an outstanding balance of $81,218 in June 2006, subject to the renewal of this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grow our Residential Servicing business through the purchase of servicing rights or by entering into subservicing agreements. Servicing rights entitle us as the owner to earn servicing fees and other types of ancillary income, but they also impose on us various obligations as the servicer. Among these are the obligations to advance our own funds to meet contractual principal and interest payments for certain investors and to pay taxes, insurance and various other items that are required to preserve the assets being serviced.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ability to expand our Residential Servicing business depends in part on our ability to obtain additional financing to purchase new servicing rights and to fund servicing advances. We currently use a variety of sources of debt to finance these assets, including match funded agreements, credit facilities and seller financing.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be unable to acquire new servicing rights or make the associated advances. Credit facilities directly related to our Residential Servicing business are summarized as follows:</w:t>
      </w:r>
    </w:p>
    <w:p>
      <w:pPr>
        <w:spacing w:after="0" w:line="180" w:lineRule="exact"/>
        <w:rPr>
          <w:sz w:val="20"/>
          <w:szCs w:val="20"/>
          <w:color w:val="auto"/>
        </w:rPr>
      </w:pPr>
    </w:p>
    <w:p>
      <w:pPr>
        <w:ind w:left="440" w:right="3319" w:hanging="430"/>
        <w:spacing w:after="0" w:line="236"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a match funding agreement that we entered into on December 20, 2001, we are eligible to sell advances on loans serviced for others up to a maximum debt balance of $125,000 at any one time. At December 31, 2005, we had $100,349 of match funded liabilities outstanding under this facility which will mature in January 2007.</w:t>
      </w:r>
    </w:p>
    <w:p>
      <w:pPr>
        <w:spacing w:after="0" w:line="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 $140,000 secured credit agreement that may be used to fund servicing advances and acquisitions of servicing rights. At December 31, 2005, we had a balance outstanding under this agreement of $81,218. The agreement matures in June 2006.</w:t>
      </w:r>
    </w:p>
    <w:p>
      <w:pPr>
        <w:spacing w:after="0" w:line="7" w:lineRule="exact"/>
        <w:rPr>
          <w:rFonts w:ascii="Courier New" w:cs="Courier New" w:eastAsia="Courier New" w:hAnsi="Courier New"/>
          <w:sz w:val="15"/>
          <w:szCs w:val="15"/>
          <w:color w:val="auto"/>
        </w:rPr>
      </w:pPr>
    </w:p>
    <w:p>
      <w:pPr>
        <w:ind w:left="440" w:right="3319" w:hanging="430"/>
        <w:spacing w:after="0" w:line="255"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 match funding agreement we entered into on November 17, 2004, we are eligible to sell advances on loans serviced for others up to a maximum outstanding balance of $275,000. As of December 31, 2005, the balance outstanding under this agreement was $238,943. The two term notes of $100,000 and $75,000 under this facility have stated maturities of October 2013 and March 2014, respectively. The variable funding note has a maximum amount of $100,000 and a stated maturity of November 2010.</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our Residential Origination Services has available a warehouse line of credit of $100,000. We had no borrowings outstanding under this line, which expires in October 2006.</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our existing sources of liquidity, including internally generated funds, will be adequate to fund planned activities, although there can be no assurances in this regard. At December 31, 2005, we had $398,321 of unused borrowing capacity under existing credit agreements, including $178,831 that is available to a consolidated VIE. We continue to evaluate other sources of liquidity, such as debt securities, lines of credit from unaffiliated parties, match funded debt and other secured borrowings.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operating activities provided (used) $(328,174), $179,514 and $72,618 of cash flows during 2005, 2004 and 2003, respectively. The decline in operating cash flow in 2005 primarily reflects the net increase in loans we held for resale and a decline in the amount of borrower payments held by us prior to their transfer to collection accounts, offset in part by the collection of federal income tax refund claims and related interest totaling $65,317 and an increase in cash provided by trading activities due primarily to the sale and maturity of investment grade securities held at December 31, 2004.</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7" w:name="page38"/>
    <w:bookmarkEnd w:id="37"/>
    <w:p>
      <w:pPr>
        <w:ind w:left="360"/>
        <w:spacing w:after="0"/>
        <w:rPr>
          <w:sz w:val="20"/>
          <w:szCs w:val="20"/>
          <w:color w:val="auto"/>
        </w:rPr>
      </w:pPr>
      <w:r>
        <w:rPr>
          <w:rFonts w:ascii="Courier New" w:cs="Courier New" w:eastAsia="Courier New" w:hAnsi="Courier New"/>
          <w:sz w:val="15"/>
          <w:szCs w:val="15"/>
          <w:color w:val="auto"/>
        </w:rPr>
        <w:t>Our investing activities provided (used) cash flows totaling $(104,796),</w:t>
      </w:r>
    </w:p>
    <w:p>
      <w:pPr>
        <w:spacing w:after="0" w:line="237" w:lineRule="auto"/>
        <w:rPr>
          <w:sz w:val="20"/>
          <w:szCs w:val="20"/>
          <w:color w:val="auto"/>
        </w:rPr>
      </w:pPr>
      <w:r>
        <w:rPr>
          <w:rFonts w:ascii="Courier New" w:cs="Courier New" w:eastAsia="Courier New" w:hAnsi="Courier New"/>
          <w:sz w:val="15"/>
          <w:szCs w:val="15"/>
          <w:color w:val="auto"/>
        </w:rPr>
        <w:t>$39,625,and $(18,777) during 2005, 2004 and 2003, respectively. The decline in</w:t>
      </w:r>
    </w:p>
    <w:p>
      <w:pPr>
        <w:spacing w:after="0" w:line="238" w:lineRule="auto"/>
        <w:rPr>
          <w:sz w:val="20"/>
          <w:szCs w:val="20"/>
          <w:color w:val="auto"/>
        </w:rPr>
      </w:pPr>
      <w:r>
        <w:rPr>
          <w:rFonts w:ascii="Courier New" w:cs="Courier New" w:eastAsia="Courier New" w:hAnsi="Courier New"/>
          <w:sz w:val="15"/>
          <w:szCs w:val="15"/>
          <w:color w:val="auto"/>
        </w:rPr>
        <w:t>cash flows provided by investing activities in 2005 is largely the result of an</w:t>
      </w:r>
    </w:p>
    <w:p>
      <w:pPr>
        <w:spacing w:after="0" w:line="237" w:lineRule="auto"/>
        <w:rPr>
          <w:sz w:val="20"/>
          <w:szCs w:val="20"/>
          <w:color w:val="auto"/>
        </w:rPr>
      </w:pPr>
      <w:r>
        <w:rPr>
          <w:rFonts w:ascii="Courier New" w:cs="Courier New" w:eastAsia="Courier New" w:hAnsi="Courier New"/>
          <w:sz w:val="15"/>
          <w:szCs w:val="15"/>
          <w:color w:val="auto"/>
        </w:rPr>
        <w:t>increase in purchases of mortgage servicing rights, coupled with a decline in</w:t>
      </w:r>
    </w:p>
    <w:p>
      <w:pPr>
        <w:spacing w:after="0" w:line="238" w:lineRule="auto"/>
        <w:rPr>
          <w:sz w:val="20"/>
          <w:szCs w:val="20"/>
          <w:color w:val="auto"/>
        </w:rPr>
      </w:pPr>
      <w:r>
        <w:rPr>
          <w:rFonts w:ascii="Courier New" w:cs="Courier New" w:eastAsia="Courier New" w:hAnsi="Courier New"/>
          <w:sz w:val="15"/>
          <w:szCs w:val="15"/>
          <w:color w:val="auto"/>
        </w:rPr>
        <w:t>proceeds from the sale of real estate and a decline in principal payments</w:t>
      </w:r>
    </w:p>
    <w:p>
      <w:pPr>
        <w:spacing w:after="0" w:line="237" w:lineRule="auto"/>
        <w:rPr>
          <w:sz w:val="20"/>
          <w:szCs w:val="20"/>
          <w:color w:val="auto"/>
        </w:rPr>
      </w:pPr>
      <w:r>
        <w:rPr>
          <w:rFonts w:ascii="Courier New" w:cs="Courier New" w:eastAsia="Courier New" w:hAnsi="Courier New"/>
          <w:sz w:val="15"/>
          <w:szCs w:val="15"/>
          <w:color w:val="auto"/>
        </w:rPr>
        <w:t>received on loans and partly offset by a decline in loan originations in 2005.</w:t>
      </w:r>
    </w:p>
    <w:p>
      <w:pPr>
        <w:spacing w:after="0" w:line="174" w:lineRule="exact"/>
        <w:rPr>
          <w:sz w:val="20"/>
          <w:szCs w:val="20"/>
          <w:color w:val="auto"/>
        </w:rPr>
      </w:pPr>
    </w:p>
    <w:p>
      <w:pPr>
        <w:ind w:right="4300" w:firstLine="437"/>
        <w:spacing w:after="0" w:line="236" w:lineRule="auto"/>
        <w:rPr>
          <w:sz w:val="20"/>
          <w:szCs w:val="20"/>
          <w:color w:val="auto"/>
        </w:rPr>
      </w:pPr>
      <w:r>
        <w:rPr>
          <w:rFonts w:ascii="Courier New" w:cs="Courier New" w:eastAsia="Courier New" w:hAnsi="Courier New"/>
          <w:sz w:val="15"/>
          <w:szCs w:val="15"/>
          <w:color w:val="auto"/>
        </w:rPr>
        <w:t>Our financing activities provided cash flows of $159,690, $7,585 and $557 during 2005, 2004 and 2003, respectively. Cash flows provided by financing activities increased in 2005 principally because of $459,400 of cash we received under a collateralized borrowing agreement we entered into to finance a purchase of loans held for resale, offset by a decline in deposits and the repurchase of debt securities in 2005. The decline in deposits in 2005 resulted from maturing certificates of deposit and the cash payment to Marathon in connection with its assumption of our customer deposits. Also, in 2004 we received proceeds from our issuance of $175,000 of 3.25% Convertible Notes, repurchased 5,481,100 shares of our common stock and repaid a maturing line of credit collateralized by servicing advances.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4300" w:firstLine="437"/>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regarding amounts we owe to others under contractual obligations as of December 31, 2005 based on maturities and payment due dates: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After One Year</w:t>
            </w:r>
          </w:p>
        </w:tc>
        <w:tc>
          <w:tcPr>
            <w:tcW w:w="12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After Three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Less Than</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Through Three</w:t>
            </w:r>
          </w:p>
        </w:tc>
        <w:tc>
          <w:tcPr>
            <w:tcW w:w="120" w:type="dxa"/>
            <w:vAlign w:val="bottom"/>
          </w:tcPr>
          <w:p>
            <w:pPr>
              <w:spacing w:after="0"/>
              <w:rPr>
                <w:sz w:val="14"/>
                <w:szCs w:val="14"/>
                <w:color w:val="auto"/>
              </w:rPr>
            </w:pP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Years Through</w:t>
            </w:r>
          </w:p>
        </w:tc>
        <w:tc>
          <w:tcPr>
            <w:tcW w:w="1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After Five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Contractual Obligations</w:t>
            </w: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Note (1)</w:t>
            </w:r>
          </w:p>
        </w:tc>
        <w:tc>
          <w:tcPr>
            <w:tcW w:w="2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One Year</w:t>
            </w:r>
          </w:p>
        </w:tc>
        <w:tc>
          <w:tcPr>
            <w:tcW w:w="1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Years</w:t>
            </w:r>
          </w:p>
        </w:tc>
        <w:tc>
          <w:tcPr>
            <w:tcW w:w="120" w:type="dxa"/>
            <w:vAlign w:val="bottom"/>
          </w:tcPr>
          <w:p>
            <w:pPr>
              <w:spacing w:after="0"/>
              <w:rPr>
                <w:sz w:val="14"/>
                <w:szCs w:val="14"/>
                <w:color w:val="auto"/>
              </w:rPr>
            </w:pPr>
          </w:p>
        </w:tc>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Five Years</w:t>
            </w:r>
          </w:p>
        </w:tc>
        <w:tc>
          <w:tcPr>
            <w:tcW w:w="16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Years</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3.25% Convertible Notes ...........</w:t>
            </w:r>
          </w:p>
        </w:tc>
        <w:tc>
          <w:tcPr>
            <w:tcW w:w="9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14</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100,900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100,900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10.875% Capital Trust Securities ..</w:t>
            </w: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14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53,429</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53,429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 ..................</w:t>
            </w: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28</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3,626</w:t>
            </w:r>
          </w:p>
        </w:tc>
        <w:tc>
          <w:tcPr>
            <w:tcW w:w="1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5,019</w:t>
            </w:r>
          </w:p>
        </w:tc>
        <w:tc>
          <w:tcPr>
            <w:tcW w:w="12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2,324</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1,665</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borrowings .....................</w:t>
            </w: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13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540,618</w:t>
            </w:r>
          </w:p>
        </w:tc>
        <w:tc>
          <w:tcPr>
            <w:tcW w:w="1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14,661</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555,279</w:t>
            </w:r>
          </w:p>
        </w:tc>
      </w:tr>
      <w:tr>
        <w:trPr>
          <w:trHeight w:val="168"/>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Subtotal .......................</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544,244</w:t>
            </w:r>
          </w:p>
        </w:tc>
        <w:tc>
          <w:tcPr>
            <w:tcW w:w="1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5,019</w:t>
            </w:r>
          </w:p>
        </w:tc>
        <w:tc>
          <w:tcPr>
            <w:tcW w:w="12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2,324</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170,655</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722,242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borrowings - consolidated VIE ..</w:t>
            </w: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13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71,169</w:t>
            </w:r>
          </w:p>
        </w:tc>
        <w:tc>
          <w:tcPr>
            <w:tcW w:w="1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71,169</w:t>
            </w:r>
          </w:p>
        </w:tc>
      </w:tr>
      <w:tr>
        <w:trPr>
          <w:trHeight w:val="168"/>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w:t>
            </w:r>
          </w:p>
        </w:tc>
        <w:tc>
          <w:tcPr>
            <w:tcW w:w="98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615,413</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170,655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793,411</w:t>
            </w:r>
          </w:p>
        </w:tc>
      </w:tr>
      <w:tr>
        <w:trPr>
          <w:trHeight w:val="168"/>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respective Notes to our Consolidated Financial Statements.</w:t>
      </w:r>
    </w:p>
    <w:p>
      <w:pPr>
        <w:spacing w:after="0" w:line="173" w:lineRule="exact"/>
        <w:rPr>
          <w:sz w:val="20"/>
          <w:szCs w:val="20"/>
          <w:color w:val="auto"/>
        </w:rPr>
      </w:pPr>
    </w:p>
    <w:p>
      <w:pPr>
        <w:jc w:val="both"/>
        <w:ind w:right="4300" w:firstLine="437"/>
        <w:spacing w:after="0" w:line="261" w:lineRule="auto"/>
        <w:rPr>
          <w:sz w:val="20"/>
          <w:szCs w:val="20"/>
          <w:color w:val="auto"/>
        </w:rPr>
      </w:pPr>
      <w:r>
        <w:rPr>
          <w:rFonts w:ascii="Courier New" w:cs="Courier New" w:eastAsia="Courier New" w:hAnsi="Courier New"/>
          <w:sz w:val="14"/>
          <w:szCs w:val="14"/>
          <w:color w:val="auto"/>
        </w:rPr>
        <w:t>We believe that we have adequate resources to fund all unfunded commitments to the extent required and to meet all contractual obligations as they come due.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OFF-BALANCE SHEET RISKS</w:t>
      </w:r>
    </w:p>
    <w:p>
      <w:pPr>
        <w:spacing w:after="0" w:line="173" w:lineRule="exact"/>
        <w:rPr>
          <w:sz w:val="20"/>
          <w:szCs w:val="20"/>
          <w:color w:val="auto"/>
        </w:rPr>
      </w:pPr>
    </w:p>
    <w:p>
      <w:pPr>
        <w:jc w:val="both"/>
        <w:ind w:right="4640" w:firstLine="437"/>
        <w:spacing w:after="0" w:line="261" w:lineRule="auto"/>
        <w:rPr>
          <w:sz w:val="20"/>
          <w:szCs w:val="20"/>
          <w:color w:val="auto"/>
        </w:rPr>
      </w:pPr>
      <w:r>
        <w:rPr>
          <w:rFonts w:ascii="Courier New" w:cs="Courier New" w:eastAsia="Courier New" w:hAnsi="Courier New"/>
          <w:sz w:val="14"/>
          <w:szCs w:val="14"/>
          <w:color w:val="auto"/>
        </w:rPr>
        <w:t>As of December 31, 2005 we had outstanding commitments to fund mortgage loans of $58,489 and outstanding commitments to sell $17,442 of these loans.</w:t>
      </w:r>
    </w:p>
    <w:p>
      <w:pPr>
        <w:spacing w:after="0" w:line="160" w:lineRule="exact"/>
        <w:rPr>
          <w:sz w:val="20"/>
          <w:szCs w:val="20"/>
          <w:color w:val="auto"/>
        </w:rPr>
      </w:pPr>
    </w:p>
    <w:p>
      <w:pPr>
        <w:ind w:right="4300" w:firstLine="437"/>
        <w:spacing w:after="0" w:line="255" w:lineRule="auto"/>
        <w:rPr>
          <w:sz w:val="20"/>
          <w:szCs w:val="20"/>
          <w:color w:val="auto"/>
        </w:rPr>
      </w:pPr>
      <w:r>
        <w:rPr>
          <w:rFonts w:ascii="Courier New" w:cs="Courier New" w:eastAsia="Courier New" w:hAnsi="Courier New"/>
          <w:sz w:val="14"/>
          <w:szCs w:val="14"/>
          <w:color w:val="auto"/>
        </w:rPr>
        <w:t>In addition to commitments to extend credit, we are party to various off-balance sheet financial instruments in the normal course of our business to manage our interest rate risk and foreign currency exchange rate risk. We have also committed to fund operating cash deficits of certain affordable housing properties that we have sold and are a limited guarantor under a master loan and security agreement that terminates in October 2006. Our guarantee is limited to 5% of the aggregate principal balance of the mortgage loans pledged to secure any debt under this agreement. The maximum amount of potential future payments under the guaranty is approximately $20,000, including $12,500 related to a consolidated VIE. See Note 28 to our Consolidated Financial Statements and "Quantitative and Qualitative Disclosures About Market Risk" below.</w:t>
      </w:r>
    </w:p>
    <w:p>
      <w:pPr>
        <w:spacing w:after="0" w:line="165" w:lineRule="exact"/>
        <w:rPr>
          <w:sz w:val="20"/>
          <w:szCs w:val="20"/>
          <w:color w:val="auto"/>
        </w:rPr>
      </w:pPr>
    </w:p>
    <w:p>
      <w:pPr>
        <w:ind w:right="4460" w:firstLine="437"/>
        <w:spacing w:after="0" w:line="236" w:lineRule="auto"/>
        <w:rPr>
          <w:sz w:val="20"/>
          <w:szCs w:val="20"/>
          <w:color w:val="auto"/>
        </w:rPr>
      </w:pPr>
      <w:r>
        <w:rPr>
          <w:rFonts w:ascii="Courier New" w:cs="Courier New" w:eastAsia="Courier New" w:hAnsi="Courier New"/>
          <w:sz w:val="15"/>
          <w:szCs w:val="15"/>
          <w:color w:val="auto"/>
        </w:rPr>
        <w:t>We conduct business with a variety of financial institutions and other companies in the normal course of business, including counterparties to our off-balance sheet financial instruments. We are subject to potential financial loss if the counterparty is unable to complete an agreed upon transaction. We seek to limit counterparty risk through financial analysis, dollar limits and other monitoring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73" w:lineRule="exact"/>
        <w:rPr>
          <w:sz w:val="20"/>
          <w:szCs w:val="20"/>
          <w:color w:val="auto"/>
        </w:rPr>
      </w:pPr>
    </w:p>
    <w:p>
      <w:pPr>
        <w:ind w:right="4300" w:firstLine="437"/>
        <w:spacing w:after="0" w:line="235" w:lineRule="auto"/>
        <w:rPr>
          <w:sz w:val="20"/>
          <w:szCs w:val="20"/>
          <w:color w:val="auto"/>
        </w:rPr>
      </w:pPr>
      <w:r>
        <w:rPr>
          <w:rFonts w:ascii="Courier New" w:cs="Courier New" w:eastAsia="Courier New" w:hAnsi="Courier New"/>
          <w:sz w:val="15"/>
          <w:szCs w:val="15"/>
          <w:color w:val="auto"/>
        </w:rPr>
        <w:t>During 2005, we adopted no new accounting standards that had a material effect on our Consolidated Financial Statements. For additional information relating to the effects of our adoption of recent accounting standards, see Note 1 to our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300"/>
          </w:cols>
          <w:pgMar w:left="220" w:top="617" w:right="379" w:bottom="1440" w:gutter="0" w:footer="0" w:header="0"/>
        </w:sectPr>
      </w:pPr>
    </w:p>
    <w:bookmarkStart w:id="38" w:name="page39"/>
    <w:bookmarkEnd w:id="38"/>
    <w:p>
      <w:pPr>
        <w:ind w:right="3319"/>
        <w:spacing w:after="0" w:line="234" w:lineRule="auto"/>
        <w:rPr>
          <w:sz w:val="20"/>
          <w:szCs w:val="20"/>
          <w:color w:val="auto"/>
        </w:rPr>
      </w:pPr>
      <w:r>
        <w:rPr>
          <w:rFonts w:ascii="Courier New" w:cs="Courier New" w:eastAsia="Courier New" w:hAnsi="Courier New"/>
          <w:sz w:val="15"/>
          <w:szCs w:val="15"/>
          <w:color w:val="auto"/>
        </w:rPr>
        <w:t>ITEM 7A. QUANTITATIVE AND QUALITATIVE DISCLOSURES ABOUT MARKET RISK (Dollars in thousands)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Market risk includes interest rate risk, foreign currency exchange rate risk and liquidity risk. We are exposed to interest rate risk to the degree that our interest-bearing liabilities mature or reprice at different speeds, or different bases, than our interest-earning assets. We are exposed to foreign currency exchange rate risk in connection with our investment in non-U.S. dollar functional currency operations and to the extent our foreign exchange positions remain unhedged. Market risk also reflects the risk of declines in the valuation of trading securities, mortgage servicing rights and in the value of the collateral underlying loans.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are also exposed to liquidity risk primarily because of the highly variable daily cash requirements to support the Residential Servicing business including acquisitions of mortgage servicing rights, the requirement to make advances pursuant to servicing contracts and the process of remitting borrower payments to the custodial accounts. In general, we finance our operations through operating cash flows and various other sources including long-term debt and financing facilities. See "Liquidity, Commitments and Off-Balance Sheet Risks" for additional discussion regarding liquidity.</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primary risk associated with mortgage servicing rights is that they will lose a portion of their value as a result of higher than anticipated prepayments occasioned by declining interest rates or because of higher than anticipated delinquency rates occasioned by deteriorating credit conditions. Interest rates, prepayment speeds and the payment performance of the underlying loans significantly affect both our initial and ongoing valuations and the rate of amortization of mortgage servicing rights. As of December 31, 2005 and 2004, we held $148,663 and $131,409, respectively, of mortgage servicing rights.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Residential Servicing business is characterized by non-interest earning assets financed by interest-bearing liabilities. Among the more significant non-interest earning assets are servicing advances and mortgage servicing rights. At December 31, 2005, we had servicing advances of $592,312 consisting of advances on loans serviced for others of $215,207 and match funded advances on loans serviced for others of $377,105.</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are also exposed to interest rate risk because earnings on float balances are affected by short-term interest rates. These float balances, which are not included in our financial statements, amounted to $716,904 and $867,884 at December 31, 2005 and 2004, respectively. We report these earnings as a component of servicing and subservicing fees.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December 31, 2005, the combined balance of our match funded liabilities,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 lines of credit and other secured borrowings totaled</w:t>
      </w:r>
    </w:p>
    <w:p>
      <w:pPr>
        <w:spacing w:after="0" w:line="237" w:lineRule="auto"/>
        <w:rPr>
          <w:sz w:val="20"/>
          <w:szCs w:val="20"/>
          <w:color w:val="auto"/>
        </w:rPr>
      </w:pPr>
      <w:r>
        <w:rPr>
          <w:rFonts w:ascii="Courier New" w:cs="Courier New" w:eastAsia="Courier New" w:hAnsi="Courier New"/>
          <w:sz w:val="15"/>
          <w:szCs w:val="15"/>
          <w:color w:val="auto"/>
        </w:rPr>
        <w:t>$1,120,179. Of this amount $951,189 was variable rate debt, for which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costs are sensitive to changes in interest rates, and $168,990 was fixed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debt.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IMPACT OF CHANGES IN INTEREST RATES ON THE NET VALUE OF INTEREST RATE-SENSITIVE FINANCIAL INSTRUMENTS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perform an interest rate sensitivity analysis of our mortgage servicing rights portfolio every quarter. We currently estimate that the fair value of the portfolio increases by approximately 3.21% for every 50 basis point (bps) increase in interest rates and reduces by approximately 3.37% for every 50 bps decline in interest rates. Mortgage servicing rights are carried at the lower of amortized cost or fair value by strata. To the extent that fair value was to decline below amortized cost, we would record an impairment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9" w:name="page40"/>
    <w:bookmarkEnd w:id="39"/>
    <w:p>
      <w:pPr>
        <w:ind w:right="4620" w:firstLine="437"/>
        <w:spacing w:after="0" w:line="258" w:lineRule="auto"/>
        <w:rPr>
          <w:sz w:val="20"/>
          <w:szCs w:val="20"/>
          <w:color w:val="auto"/>
        </w:rPr>
      </w:pPr>
      <w:r>
        <w:rPr>
          <w:rFonts w:ascii="Courier New" w:cs="Courier New" w:eastAsia="Courier New" w:hAnsi="Courier New"/>
          <w:sz w:val="14"/>
          <w:szCs w:val="14"/>
          <w:color w:val="auto"/>
        </w:rPr>
        <w:t>The following table shows our financial instruments that are sensitive to changes in interest rates, categorized by expected maturity or repricing characteristics, and the fair values of those instruments at December 31, 2005:</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Expected Maturity Date at December 31, 2005 (1)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2006</w:t>
            </w: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2007</w:t>
            </w: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2008</w:t>
            </w: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2009</w:t>
            </w: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2010</w:t>
            </w:r>
          </w:p>
        </w:tc>
        <w:tc>
          <w:tcPr>
            <w:tcW w:w="10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Thereafter</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Balance</w:t>
            </w:r>
          </w:p>
        </w:tc>
        <w:tc>
          <w:tcPr>
            <w:tcW w:w="22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9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6"/>
              </w:rPr>
              <w:t>Rate-Sensitive Assets: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Interest-earning cash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15,161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15,161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15,161</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10,481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6,583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4,316</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1,827</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5,932</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31,962</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31,962</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21.99%</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20.31%</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23.28%</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26.26%</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22.24%</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Loans held for resale (2)(3)..</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624,671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624,671</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624,671</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Interest-earning collateral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debt service deposits ..</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29,962</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29,962</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29,962</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rate-sensitive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680,275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6,583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4,316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1,827</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5,932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701,756</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701,756</w:t>
            </w:r>
          </w:p>
        </w:tc>
      </w:tr>
      <w:tr>
        <w:trPr>
          <w:trHeight w:val="168"/>
        </w:trPr>
        <w:tc>
          <w:tcPr>
            <w:tcW w:w="29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Rate-Sensitive Liabilities: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339,292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339,292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339,292</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Lines of credit and other</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secured borrowings (3) .....</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611,787</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14,661</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626,448</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626,448</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 securities ..............</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100,900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53,429</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154,329</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151,028</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rate-sensitive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951,079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100,900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68,090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1,120,069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1,116,768</w:t>
            </w:r>
          </w:p>
        </w:tc>
      </w:tr>
      <w:tr>
        <w:trPr>
          <w:trHeight w:val="168"/>
        </w:trPr>
        <w:tc>
          <w:tcPr>
            <w:tcW w:w="29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440" w:right="4620" w:hanging="430"/>
        <w:spacing w:after="0" w:line="254" w:lineRule="auto"/>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maturities are contractual maturities adjusted for prepayments of principal. We use certain assumptions to estimate fair values and expected maturities. For assets, expected maturities are based upon contractual maturity, projected repayments and prepayments of principal. We base the prepayment experience reflected herein on our historical experience. The actual maturities of these instruments could vary substantially if future prepayments differ from our historical experience.</w:t>
      </w:r>
    </w:p>
    <w:p>
      <w:pPr>
        <w:spacing w:after="0" w:line="2" w:lineRule="exact"/>
        <w:rPr>
          <w:rFonts w:ascii="Courier New" w:cs="Courier New" w:eastAsia="Courier New" w:hAnsi="Courier New"/>
          <w:sz w:val="14"/>
          <w:szCs w:val="14"/>
          <w:color w:val="auto"/>
        </w:rPr>
      </w:pPr>
    </w:p>
    <w:p>
      <w:pPr>
        <w:ind w:left="440" w:right="4540" w:hanging="430"/>
        <w:spacing w:after="0" w:line="235"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majority of loans held for resale at December 31, 2005 were either sold or securitized during the first quarter of 2006. The balances are net of market valuation reserves and include non-performing loans.</w:t>
      </w:r>
    </w:p>
    <w:p>
      <w:pPr>
        <w:ind w:left="440" w:hanging="430"/>
        <w:spacing w:after="0" w:line="237"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loans and borrowings of a consolidated VIE.</w:t>
      </w:r>
    </w:p>
    <w:p>
      <w:pPr>
        <w:spacing w:after="0" w:line="173" w:lineRule="exact"/>
        <w:rPr>
          <w:sz w:val="20"/>
          <w:szCs w:val="20"/>
          <w:color w:val="auto"/>
        </w:rPr>
      </w:pPr>
    </w:p>
    <w:p>
      <w:pPr>
        <w:ind w:right="4620" w:firstLine="437"/>
        <w:spacing w:after="0" w:line="234" w:lineRule="auto"/>
        <w:rPr>
          <w:sz w:val="20"/>
          <w:szCs w:val="20"/>
          <w:color w:val="auto"/>
        </w:rPr>
      </w:pPr>
      <w:r>
        <w:rPr>
          <w:rFonts w:ascii="Courier New" w:cs="Courier New" w:eastAsia="Courier New" w:hAnsi="Courier New"/>
          <w:sz w:val="15"/>
          <w:szCs w:val="15"/>
          <w:color w:val="auto"/>
        </w:rPr>
        <w:t>The expected maturity of interest rate-sensitive assets and liabilities as of December 31, 2005 and 2004 compare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1st Year</w:t>
            </w:r>
          </w:p>
        </w:tc>
        <w:tc>
          <w:tcPr>
            <w:tcW w:w="10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2nd Year</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3rd Year</w:t>
            </w:r>
          </w:p>
        </w:tc>
        <w:tc>
          <w:tcPr>
            <w:tcW w:w="1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4th Year</w:t>
            </w:r>
          </w:p>
        </w:tc>
        <w:tc>
          <w:tcPr>
            <w:tcW w:w="1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5th Year</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Thereafter</w:t>
            </w:r>
          </w:p>
        </w:tc>
        <w:tc>
          <w:tcPr>
            <w:tcW w:w="2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9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 rate-sensitive assets: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680,275</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6,583</w:t>
            </w:r>
          </w:p>
        </w:tc>
        <w:tc>
          <w:tcPr>
            <w:tcW w:w="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1,827</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701,756</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 of total ..............</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96.94%</w:t>
            </w: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0.94%</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0.40%</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0.84%</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221,552</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32,047</w:t>
            </w:r>
          </w:p>
        </w:tc>
        <w:tc>
          <w:tcPr>
            <w:tcW w:w="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8,682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5,018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2,580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8,919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278,798</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 of total ..............</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79.47%</w:t>
            </w: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336"/>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Total rate-sensitive liabilities: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951,079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100,900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68,090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1,120,069</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 of total ..............</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84.91%</w:t>
            </w: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489,579</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47,264</w:t>
            </w:r>
          </w:p>
        </w:tc>
        <w:tc>
          <w:tcPr>
            <w:tcW w:w="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22,042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5,098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175,449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72,750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812,182</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 of total ..............</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60.28%</w:t>
            </w: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0.63%</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bl>
    <w:p>
      <w:pPr>
        <w:spacing w:after="0" w:line="341" w:lineRule="exact"/>
        <w:rPr>
          <w:sz w:val="20"/>
          <w:szCs w:val="20"/>
          <w:color w:val="auto"/>
        </w:rPr>
      </w:pPr>
    </w:p>
    <w:p>
      <w:pPr>
        <w:ind w:right="4540" w:firstLine="437"/>
        <w:spacing w:after="0" w:line="235" w:lineRule="auto"/>
        <w:rPr>
          <w:sz w:val="20"/>
          <w:szCs w:val="20"/>
          <w:color w:val="auto"/>
        </w:rPr>
      </w:pPr>
      <w:r>
        <w:rPr>
          <w:rFonts w:ascii="Courier New" w:cs="Courier New" w:eastAsia="Courier New" w:hAnsi="Courier New"/>
          <w:sz w:val="15"/>
          <w:szCs w:val="15"/>
          <w:color w:val="auto"/>
        </w:rPr>
        <w:t>Our Asset/Liability Management Committee is authorized to utilize a wide variety of off-balance sheet financial techniques to assist it in the management of interest rate risk and foreign currency exchange rate risk. These techniques include interest rate exchange contracts or "swap"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1540"/>
          </w:cols>
          <w:pgMar w:left="220" w:top="624" w:right="139" w:bottom="1440" w:gutter="0" w:footer="0" w:header="0"/>
        </w:sectPr>
      </w:pPr>
    </w:p>
    <w:bookmarkStart w:id="40" w:name="page41"/>
    <w:bookmarkEnd w:id="40"/>
    <w:p>
      <w:pPr>
        <w:ind w:right="3399"/>
        <w:spacing w:after="0" w:line="235" w:lineRule="auto"/>
        <w:rPr>
          <w:sz w:val="20"/>
          <w:szCs w:val="20"/>
          <w:color w:val="auto"/>
        </w:rPr>
      </w:pPr>
      <w:r>
        <w:rPr>
          <w:rFonts w:ascii="Courier New" w:cs="Courier New" w:eastAsia="Courier New" w:hAnsi="Courier New"/>
          <w:sz w:val="15"/>
          <w:szCs w:val="15"/>
          <w:color w:val="auto"/>
        </w:rPr>
        <w:t>agreements, interest rate caps and floors, U.S. Treasury interest rate futures contracts, foreign currency futures contracts, foreign currency forwards and European swaptions and put options.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entered into foreign currency futures to hedge our net investment in the foreign subsidiary that owns our UK subprime residual securities. The notional amount of these futures was (pound)13,438 ($23,148) at December 31, 2005. Our principal exposure to foreign currency exchange rates exists with the British Pound versus the U.S. dollar. Our operations in India and the foreign operations of GSS also expose us to foreign currency exchange rate risk. However, this risk is insignificant. See Note 18 to our Consolidated Financial Statements for additional information regarding our management of foreign currency exchange rate risk.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information required by this section is contained in the Consolidated Financial Statements of Ocwen Financial Corporation and Report of PricewaterhouseCoopers LLP, Independent Registered Certified Public Accounting Firm, beginning on Page F-1.</w:t>
      </w:r>
    </w:p>
    <w:p>
      <w:pPr>
        <w:spacing w:after="0" w:line="17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DISCLOSURE CONTROLS AND PROCEDURES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management, under the supervision of and with the participation of our Chief Executive Officer and Principal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Principal Financial Officer have concluded that, as of the end of such period, our disclosure controls and procedures are effective.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REPORT ON INTERNAL CONTROL OVER FINANCIAL REPORTING</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management is responsible for establishing and maintaining adequate internal control over financial reporting, as that term is defined in Exchange Act Rules 13a-15(f) and 15d-15(f).</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supervision of and with the participation of our management, including our Chief Executive Officer and Principal Financial Officer, we have conducted an evaluation of our internal control over financial reporting as of December 31, 2005, based on the framework set forth by the Committee of Sponsoring Organizations of the Treadway Commission ("COSO") in Internal Control</w:t>
      </w:r>
    </w:p>
    <w:p>
      <w:pPr>
        <w:spacing w:after="0" w:line="2" w:lineRule="exact"/>
        <w:rPr>
          <w:sz w:val="20"/>
          <w:szCs w:val="20"/>
          <w:color w:val="auto"/>
        </w:rPr>
      </w:pPr>
    </w:p>
    <w:p>
      <w:pPr>
        <w:ind w:right="3059" w:firstLine="10"/>
        <w:spacing w:after="0" w:line="235" w:lineRule="auto"/>
        <w:tabs>
          <w:tab w:leader="none" w:pos="17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Integrated Framework. Based on that evaluation, our management concluded that, as of December 31, 2005, internal control over financial reporting is effective based on criteria established in Internal Control - Integrated Framework issued by the COSO.</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has excluded Funding America, LLC ("FA") from its assessment of internal control over financial reporting as of December 31, 2005 because it was acquired in a purchase business combination on December 28, 2005. FA is a VIE consolidated under the provisions of FASB Interpretation No. 46, as revised. FA's total assets represent approximately 4% of OCN's consolidated assets at December 31, 2005.</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Management's assessment of the effectiveness of OCN's internal control over financial reporting as of December 31, 2005, has been audited by PricewaterhouseCoopers LLP, an independent registered certified public accounting firm, as stated in their report which appears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THE EFFECTIVENESS OF CONTROLS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1" w:name="page42"/>
    <w:bookmarkEnd w:id="41"/>
    <w:p>
      <w:pPr>
        <w:ind w:right="3319"/>
        <w:spacing w:after="0" w:line="235" w:lineRule="auto"/>
        <w:rPr>
          <w:sz w:val="20"/>
          <w:szCs w:val="20"/>
          <w:color w:val="auto"/>
        </w:rPr>
      </w:pPr>
      <w:r>
        <w:rPr>
          <w:rFonts w:ascii="Courier New" w:cs="Courier New" w:eastAsia="Courier New" w:hAnsi="Courier New"/>
          <w:sz w:val="15"/>
          <w:szCs w:val="15"/>
          <w:color w:val="auto"/>
        </w:rPr>
        <w:t>directors of the company; and (iii)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INTERNAL CONTROL OVER FINANCIAL REPORTING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have not been any changes in our internal control over financial reporting, as such term is defined in Rules 13a-15(f) and 15d-15(f) under the Exchange Act, during our fiscal quarter ended December 31, 2005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9B. OTHER INFORMATION</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There was no information required to be reported on Form 8-K during the fourth quarter of the year covered by this Form 10-K that was not so reported.</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information contained in our definitive Proxy Statement with respect to our Annual Meeting of Shareholders to be held on May 4, 2006 and as filed with the Commission on March 23, 2006 (the "2006 Proxy Statement") under the captions "Election of Directors - Nominees for Director," "Executive Officers Who Are Not Directors," "Board of Directors and Corporate Governance - Committees of the Board of Directors - Audit committee", "Security Ownership of Certain Beneficial Owners and Related Stockholder Matters - Section 16(a) Beneficial Ownership Reporting Compliance" and "Board of Directors and Corporate Governance - Code of Ethics" is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information contained in our 2006 Proxy Statement under the captions "Executive Compensation," "Board of Directors Compensation" and "Comparison of Cumulative Total Return" is incorporated herein by reference</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ITEM 12. SECURITY OWNERSHIP OF CERTAIN BENEFICIAL OWNERS AND MANAGEMENT AND RELATED STOCKHOLDER MATTERS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information contained in our 2006 Proxy Statement under the captions "Security Ownership of Certain Beneficial Owners and Related Stockholder Matters</w:t>
      </w:r>
    </w:p>
    <w:p>
      <w:pPr>
        <w:spacing w:after="0" w:line="1" w:lineRule="exact"/>
        <w:rPr>
          <w:sz w:val="20"/>
          <w:szCs w:val="20"/>
          <w:color w:val="auto"/>
        </w:rPr>
      </w:pPr>
    </w:p>
    <w:p>
      <w:pPr>
        <w:jc w:val="both"/>
        <w:ind w:right="3579" w:firstLine="10"/>
        <w:spacing w:after="0" w:line="235" w:lineRule="auto"/>
        <w:tabs>
          <w:tab w:leader="none" w:pos="1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Beneficial Ownership of Common Stock" and "Security Ownership of Certain Beneficial Owners and Related Stockholder Matters - Equity Compensation Plan Information" are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ACCOUNTING FEES AND SERVICES</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in our 2006 Proxy Statement under the caption "Ratification of Appointment of Independent Registered Certified Public Accounting Firm" and is incorporated herein by reference.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AND FINANCIAL STATEMENT SCHEDULES</w:t>
      </w:r>
    </w:p>
    <w:p>
      <w:pPr>
        <w:spacing w:after="0" w:line="173" w:lineRule="exact"/>
        <w:rPr>
          <w:sz w:val="20"/>
          <w:szCs w:val="20"/>
          <w:color w:val="auto"/>
        </w:rPr>
      </w:pPr>
    </w:p>
    <w:p>
      <w:pPr>
        <w:ind w:left="1320" w:right="3399" w:hanging="1310"/>
        <w:spacing w:after="0" w:line="236" w:lineRule="auto"/>
        <w:tabs>
          <w:tab w:leader="none" w:pos="35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(2)Financial Statements and Schedules. The information required by this section is contained in the Consolidated Financial Statements of Ocwen Financial Corporation and Report of PricewaterhouseCoopers LLP, Independent Registered Certified Public Accounting Firm, beginning on Page F-1.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2" w:name="page43"/>
    <w:bookmarkEnd w:id="42"/>
    <w:p>
      <w:pPr>
        <w:ind w:left="1310" w:right="3939" w:hanging="1310"/>
        <w:spacing w:after="0" w:line="261" w:lineRule="auto"/>
        <w:tabs>
          <w:tab w:leader="none" w:pos="131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(Exhibits marked with a " * " denote management contracts or compensatory plans or agreements)</w:t>
      </w:r>
    </w:p>
    <w:p>
      <w:pPr>
        <w:spacing w:after="0" w:line="160" w:lineRule="exact"/>
        <w:rPr>
          <w:sz w:val="20"/>
          <w:szCs w:val="20"/>
          <w:color w:val="auto"/>
        </w:rPr>
      </w:pPr>
    </w:p>
    <w:p>
      <w:pPr>
        <w:ind w:left="1750" w:right="3499" w:hanging="874"/>
        <w:spacing w:after="0" w:line="235" w:lineRule="auto"/>
        <w:tabs>
          <w:tab w:leader="none" w:pos="173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Agreement of Merger dated as of July 25, 1999 among Ocwen Financial Corporation, Ocwen Asset Investment Corp. and Ocwen Acquisition Company (1)</w:t>
      </w:r>
    </w:p>
    <w:p>
      <w:pPr>
        <w:ind w:left="870"/>
        <w:spacing w:after="0"/>
        <w:tabs>
          <w:tab w:leader="none" w:pos="173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Articles of Incorporation (2)</w:t>
      </w:r>
    </w:p>
    <w:p>
      <w:pPr>
        <w:ind w:left="870"/>
        <w:spacing w:after="0"/>
        <w:tabs>
          <w:tab w:leader="none" w:pos="173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(3)</w:t>
      </w:r>
    </w:p>
    <w:p>
      <w:pPr>
        <w:ind w:left="870"/>
        <w:spacing w:after="0"/>
        <w:tabs>
          <w:tab w:leader="none" w:pos="173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4"/>
          <w:szCs w:val="14"/>
          <w:color w:val="auto"/>
        </w:rPr>
        <w:t>Form of Certificate of Common Stock (2)</w:t>
      </w:r>
    </w:p>
    <w:p>
      <w:pPr>
        <w:ind w:left="870"/>
        <w:spacing w:after="0"/>
        <w:tabs>
          <w:tab w:leader="none" w:pos="173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Certificate of Trust of Ocwen Capital Trust I (4)</w:t>
      </w:r>
    </w:p>
    <w:p>
      <w:pPr>
        <w:spacing w:after="0" w:line="5" w:lineRule="exact"/>
        <w:rPr>
          <w:sz w:val="20"/>
          <w:szCs w:val="20"/>
          <w:color w:val="auto"/>
        </w:rPr>
      </w:pPr>
    </w:p>
    <w:p>
      <w:pPr>
        <w:ind w:left="1750" w:right="3399" w:hanging="874"/>
        <w:spacing w:after="0" w:line="234" w:lineRule="auto"/>
        <w:tabs>
          <w:tab w:leader="none" w:pos="173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Amended and Restated Declaration of Trust of Ocwen Capital Trust I (4)</w:t>
      </w:r>
    </w:p>
    <w:p>
      <w:pPr>
        <w:spacing w:after="0" w:line="5" w:lineRule="exact"/>
        <w:rPr>
          <w:sz w:val="20"/>
          <w:szCs w:val="20"/>
          <w:color w:val="auto"/>
        </w:rPr>
      </w:pPr>
    </w:p>
    <w:p>
      <w:pPr>
        <w:ind w:left="1750" w:right="3319" w:hanging="874"/>
        <w:spacing w:after="0" w:line="234" w:lineRule="auto"/>
        <w:tabs>
          <w:tab w:leader="none" w:pos="173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Form of Capital Security of Ocwen Capital Trust I (included in Exhibit 4.4) (4)</w:t>
      </w:r>
    </w:p>
    <w:p>
      <w:pPr>
        <w:spacing w:after="0" w:line="5" w:lineRule="exact"/>
        <w:rPr>
          <w:sz w:val="20"/>
          <w:szCs w:val="20"/>
          <w:color w:val="auto"/>
        </w:rPr>
      </w:pPr>
    </w:p>
    <w:p>
      <w:pPr>
        <w:ind w:left="1750" w:right="3499" w:hanging="874"/>
        <w:spacing w:after="0" w:line="234" w:lineRule="auto"/>
        <w:tabs>
          <w:tab w:leader="none" w:pos="173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Form of Indenture relating to 10.875% Junior Subordinated Debentures due 2027 of OCN (4)</w:t>
      </w:r>
    </w:p>
    <w:p>
      <w:pPr>
        <w:spacing w:after="0" w:line="5" w:lineRule="exact"/>
        <w:rPr>
          <w:sz w:val="20"/>
          <w:szCs w:val="20"/>
          <w:color w:val="auto"/>
        </w:rPr>
      </w:pPr>
    </w:p>
    <w:p>
      <w:pPr>
        <w:ind w:left="1750" w:right="3399" w:hanging="874"/>
        <w:spacing w:after="0" w:line="234" w:lineRule="auto"/>
        <w:tabs>
          <w:tab w:leader="none" w:pos="173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Form of 10.875% Junior Subordinated Debentures due 2027 of OCN (included in Exhibit 4.6) (4)</w:t>
      </w:r>
    </w:p>
    <w:p>
      <w:pPr>
        <w:spacing w:after="0" w:line="5" w:lineRule="exact"/>
        <w:rPr>
          <w:sz w:val="20"/>
          <w:szCs w:val="20"/>
          <w:color w:val="auto"/>
        </w:rPr>
      </w:pPr>
    </w:p>
    <w:p>
      <w:pPr>
        <w:ind w:left="1750" w:right="3319" w:hanging="874"/>
        <w:spacing w:after="0" w:line="234" w:lineRule="auto"/>
        <w:tabs>
          <w:tab w:leader="none" w:pos="173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Form of Guarantee of OCN relating to the Capital Securities of Ocwen Capital Trust I (4)</w:t>
      </w:r>
    </w:p>
    <w:p>
      <w:pPr>
        <w:spacing w:after="0" w:line="5" w:lineRule="exact"/>
        <w:rPr>
          <w:sz w:val="20"/>
          <w:szCs w:val="20"/>
          <w:color w:val="auto"/>
        </w:rPr>
      </w:pPr>
    </w:p>
    <w:p>
      <w:pPr>
        <w:ind w:left="1750" w:right="3579" w:hanging="874"/>
        <w:spacing w:after="0" w:line="234" w:lineRule="auto"/>
        <w:tabs>
          <w:tab w:leader="none" w:pos="173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Registration Rights Agreement dated as of July 28, 2004, between OCN and Jeffries &amp; Company Inc. (5)</w:t>
      </w:r>
    </w:p>
    <w:p>
      <w:pPr>
        <w:spacing w:after="0" w:line="5" w:lineRule="exact"/>
        <w:rPr>
          <w:sz w:val="20"/>
          <w:szCs w:val="20"/>
          <w:color w:val="auto"/>
        </w:rPr>
      </w:pPr>
    </w:p>
    <w:p>
      <w:pPr>
        <w:ind w:left="1750" w:right="3579" w:hanging="874"/>
        <w:spacing w:after="0" w:line="254" w:lineRule="auto"/>
        <w:tabs>
          <w:tab w:leader="none" w:pos="173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Indenture dated as of July 28, 2004, between OCN and the Bank of New York Trust Company, N.A., as trustee (5)</w:t>
      </w:r>
    </w:p>
    <w:p>
      <w:pPr>
        <w:spacing w:after="0" w:line="1" w:lineRule="exact"/>
        <w:rPr>
          <w:sz w:val="20"/>
          <w:szCs w:val="20"/>
          <w:color w:val="auto"/>
        </w:rPr>
      </w:pPr>
    </w:p>
    <w:p>
      <w:pPr>
        <w:ind w:left="1750" w:right="3399" w:hanging="961"/>
        <w:spacing w:after="0" w:line="234" w:lineRule="auto"/>
        <w:tabs>
          <w:tab w:leader="none" w:pos="173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Ocwen Financial Corporation 1996 Stock Plan for Directors, as amended (6)</w:t>
      </w:r>
    </w:p>
    <w:p>
      <w:pPr>
        <w:ind w:left="790"/>
        <w:spacing w:after="0"/>
        <w:tabs>
          <w:tab w:leader="none" w:pos="173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Ocwen Financial Corporation 1998 Annual Incentive Plan (7)</w:t>
      </w:r>
    </w:p>
    <w:p>
      <w:pPr>
        <w:spacing w:after="0" w:line="5" w:lineRule="exact"/>
        <w:rPr>
          <w:sz w:val="20"/>
          <w:szCs w:val="20"/>
          <w:color w:val="auto"/>
        </w:rPr>
      </w:pPr>
    </w:p>
    <w:p>
      <w:pPr>
        <w:ind w:left="1750" w:right="3319" w:hanging="961"/>
        <w:spacing w:after="0" w:line="235" w:lineRule="auto"/>
        <w:tabs>
          <w:tab w:leader="none" w:pos="173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Compensation and Indemnification Agreement, dated as of May 6, 1999, between OAC and the independent committee of the Board of Directors (8)</w:t>
      </w:r>
    </w:p>
    <w:p>
      <w:pPr>
        <w:spacing w:after="0" w:line="5" w:lineRule="exact"/>
        <w:rPr>
          <w:sz w:val="20"/>
          <w:szCs w:val="20"/>
          <w:color w:val="auto"/>
        </w:rPr>
      </w:pPr>
    </w:p>
    <w:p>
      <w:pPr>
        <w:ind w:left="1750" w:right="3499" w:hanging="961"/>
        <w:spacing w:after="0" w:line="234" w:lineRule="auto"/>
        <w:tabs>
          <w:tab w:leader="none" w:pos="173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Indemnity agreement, dated August 24, 1999, among OCN and OAC's directors (9)</w:t>
      </w:r>
    </w:p>
    <w:p>
      <w:pPr>
        <w:spacing w:after="0" w:line="5" w:lineRule="exact"/>
        <w:rPr>
          <w:sz w:val="20"/>
          <w:szCs w:val="20"/>
          <w:color w:val="auto"/>
        </w:rPr>
      </w:pPr>
    </w:p>
    <w:p>
      <w:pPr>
        <w:ind w:left="1750" w:right="3239" w:hanging="961"/>
        <w:spacing w:after="0" w:line="234" w:lineRule="auto"/>
        <w:tabs>
          <w:tab w:leader="none" w:pos="173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Amended Ocwen Financial Corporation 1991 Non-Qualified Stock Option Plan, dated October 26, 1999 (9)</w:t>
      </w:r>
    </w:p>
    <w:p>
      <w:pPr>
        <w:spacing w:after="0" w:line="5" w:lineRule="exact"/>
        <w:rPr>
          <w:sz w:val="20"/>
          <w:szCs w:val="20"/>
          <w:color w:val="auto"/>
        </w:rPr>
      </w:pPr>
    </w:p>
    <w:p>
      <w:pPr>
        <w:ind w:left="1750" w:right="3399" w:hanging="961"/>
        <w:spacing w:after="0" w:line="254" w:lineRule="auto"/>
        <w:tabs>
          <w:tab w:leader="none" w:pos="173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First Amendment to Agreement, dated March 30, 2000 between HCT Investments, Inc. and OAIC Partnership I, L.P. (9)</w:t>
      </w:r>
    </w:p>
    <w:p>
      <w:pPr>
        <w:spacing w:after="0" w:line="1" w:lineRule="exact"/>
        <w:rPr>
          <w:sz w:val="20"/>
          <w:szCs w:val="20"/>
          <w:color w:val="auto"/>
        </w:rPr>
      </w:pPr>
    </w:p>
    <w:p>
      <w:pPr>
        <w:ind w:left="1750" w:right="3579" w:hanging="961"/>
        <w:spacing w:after="0" w:line="234" w:lineRule="auto"/>
        <w:tabs>
          <w:tab w:leader="none" w:pos="173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Ocwen Financial Corporation Deferral Plan for Directors, dated March 7, 2005 (10)</w:t>
      </w:r>
    </w:p>
    <w:p>
      <w:pPr>
        <w:jc w:val="right"/>
        <w:ind w:right="3239"/>
        <w:spacing w:after="0"/>
        <w:tabs>
          <w:tab w:leader="none" w:pos="522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Collateral Trust Agreement, dated June 28, 2005, between OCN</w:t>
      </w:r>
    </w:p>
    <w:p>
      <w:pPr>
        <w:ind w:left="1750"/>
        <w:spacing w:after="0" w:line="238" w:lineRule="auto"/>
        <w:rPr>
          <w:sz w:val="20"/>
          <w:szCs w:val="20"/>
          <w:color w:val="auto"/>
        </w:rPr>
      </w:pPr>
      <w:r>
        <w:rPr>
          <w:rFonts w:ascii="Courier New" w:cs="Courier New" w:eastAsia="Courier New" w:hAnsi="Courier New"/>
          <w:sz w:val="15"/>
          <w:szCs w:val="15"/>
          <w:color w:val="auto"/>
        </w:rPr>
        <w:t>and the Bank of New York Trust Company, N.A. (11)</w:t>
      </w:r>
    </w:p>
    <w:p>
      <w:pPr>
        <w:spacing w:after="0" w:line="5" w:lineRule="exact"/>
        <w:rPr>
          <w:sz w:val="20"/>
          <w:szCs w:val="20"/>
          <w:color w:val="auto"/>
        </w:rPr>
      </w:pPr>
    </w:p>
    <w:p>
      <w:pPr>
        <w:ind w:left="1750" w:right="3499" w:hanging="961"/>
        <w:spacing w:after="0" w:line="234" w:lineRule="auto"/>
        <w:tabs>
          <w:tab w:leader="none" w:pos="173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Guaranty, dated June 28, 2005, from OCN to the Guaranteed Parties (11)</w:t>
      </w:r>
    </w:p>
    <w:p>
      <w:pPr>
        <w:spacing w:after="0" w:line="5" w:lineRule="exact"/>
        <w:rPr>
          <w:sz w:val="20"/>
          <w:szCs w:val="20"/>
          <w:color w:val="auto"/>
        </w:rPr>
      </w:pPr>
    </w:p>
    <w:p>
      <w:pPr>
        <w:ind w:left="1750" w:right="3399" w:hanging="961"/>
        <w:spacing w:after="0" w:line="235" w:lineRule="auto"/>
        <w:tabs>
          <w:tab w:leader="none" w:pos="173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Cash Collateral Agreement, dated June 28, 2005, among OCN, Bank of New York Trust Company, N.A. as collateral Trustee and Bank of New York Trust Company, N.A. as Account Bank (11)</w:t>
      </w:r>
    </w:p>
    <w:p>
      <w:pPr>
        <w:spacing w:after="0" w:line="1" w:lineRule="exact"/>
        <w:rPr>
          <w:sz w:val="20"/>
          <w:szCs w:val="20"/>
          <w:color w:val="auto"/>
        </w:rPr>
      </w:pPr>
    </w:p>
    <w:p>
      <w:pPr>
        <w:ind w:left="790"/>
        <w:spacing w:after="0"/>
        <w:tabs>
          <w:tab w:leader="none" w:pos="173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Computation of earnings per share (12)</w:t>
      </w:r>
    </w:p>
    <w:p>
      <w:pPr>
        <w:ind w:left="790"/>
        <w:spacing w:after="0"/>
        <w:tabs>
          <w:tab w:leader="none" w:pos="173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Ratio of earnings to fixed charges (filed herewith)</w:t>
      </w:r>
    </w:p>
    <w:p>
      <w:pPr>
        <w:ind w:left="790"/>
        <w:spacing w:after="0"/>
        <w:tabs>
          <w:tab w:leader="none" w:pos="173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Subsidiaries (filed herewith)</w:t>
      </w:r>
    </w:p>
    <w:p>
      <w:pPr>
        <w:ind w:left="790"/>
        <w:spacing w:after="0"/>
        <w:tabs>
          <w:tab w:leader="none" w:pos="1730" w:val="left"/>
        </w:tabs>
        <w:rPr>
          <w:sz w:val="20"/>
          <w:szCs w:val="20"/>
          <w:color w:val="auto"/>
        </w:rPr>
      </w:pPr>
      <w:r>
        <w:rPr>
          <w:rFonts w:ascii="Courier New" w:cs="Courier New" w:eastAsia="Courier New" w:hAnsi="Courier New"/>
          <w:sz w:val="15"/>
          <w:szCs w:val="15"/>
          <w:color w:val="auto"/>
        </w:rPr>
        <w:t>23.0</w:t>
      </w:r>
      <w:r>
        <w:rPr>
          <w:sz w:val="20"/>
          <w:szCs w:val="20"/>
          <w:color w:val="auto"/>
        </w:rPr>
        <w:tab/>
      </w:r>
      <w:r>
        <w:rPr>
          <w:rFonts w:ascii="Courier New" w:cs="Courier New" w:eastAsia="Courier New" w:hAnsi="Courier New"/>
          <w:sz w:val="14"/>
          <w:szCs w:val="14"/>
          <w:color w:val="auto"/>
        </w:rPr>
        <w:t>Consent of PricewaterhouseCoopers LLP (filed herewith)</w:t>
      </w:r>
    </w:p>
    <w:p>
      <w:pPr>
        <w:spacing w:after="0" w:line="5" w:lineRule="exact"/>
        <w:rPr>
          <w:sz w:val="20"/>
          <w:szCs w:val="20"/>
          <w:color w:val="auto"/>
        </w:rPr>
      </w:pPr>
    </w:p>
    <w:p>
      <w:pPr>
        <w:ind w:left="1750" w:right="3579" w:hanging="961"/>
        <w:spacing w:after="0" w:line="235" w:lineRule="auto"/>
        <w:tabs>
          <w:tab w:leader="none" w:pos="173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Certification of the Chief Executive Officer pursuant to Section 302 of the Sarbanes-Oxley Act of 2002 (filed herewith)</w:t>
      </w:r>
    </w:p>
    <w:p>
      <w:pPr>
        <w:spacing w:after="0" w:line="5" w:lineRule="exact"/>
        <w:rPr>
          <w:sz w:val="20"/>
          <w:szCs w:val="20"/>
          <w:color w:val="auto"/>
        </w:rPr>
      </w:pPr>
    </w:p>
    <w:p>
      <w:pPr>
        <w:ind w:left="1750" w:right="3579" w:hanging="961"/>
        <w:spacing w:after="0" w:line="235" w:lineRule="auto"/>
        <w:tabs>
          <w:tab w:leader="none" w:pos="173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Certification of the Chief Financial Officer pursuant to Section 302 of the Sarbanes-Oxley Act of 2002 (filed herewith)</w:t>
      </w:r>
    </w:p>
    <w:p>
      <w:pPr>
        <w:spacing w:after="0" w:line="5" w:lineRule="exact"/>
        <w:rPr>
          <w:sz w:val="20"/>
          <w:szCs w:val="20"/>
          <w:color w:val="auto"/>
        </w:rPr>
      </w:pPr>
    </w:p>
    <w:p>
      <w:pPr>
        <w:jc w:val="both"/>
        <w:ind w:left="1750" w:right="3319" w:hanging="961"/>
        <w:spacing w:after="0" w:line="235" w:lineRule="auto"/>
        <w:tabs>
          <w:tab w:leader="none" w:pos="173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Certification of the Chief Executive Officer pursuant to 18 U.S.C. Section 1350, as adopted pursuant to Section 906 of the Sarbanes-Oxley Act of 2002 (filed herewith)</w:t>
      </w:r>
    </w:p>
    <w:p>
      <w:pPr>
        <w:spacing w:after="0" w:line="5" w:lineRule="exact"/>
        <w:rPr>
          <w:sz w:val="20"/>
          <w:szCs w:val="20"/>
          <w:color w:val="auto"/>
        </w:rPr>
      </w:pPr>
    </w:p>
    <w:p>
      <w:pPr>
        <w:jc w:val="both"/>
        <w:ind w:left="1750" w:right="3319" w:hanging="961"/>
        <w:spacing w:after="0" w:line="235" w:lineRule="auto"/>
        <w:tabs>
          <w:tab w:leader="none" w:pos="173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Certification of the Chief Financial Officer pursuant to 18 U.S.C. Section 1350, as adopted pursuant to Section 906 of the Sarbanes-Oxley Act of 2002 (filed herewith)</w:t>
      </w:r>
    </w:p>
    <w:p>
      <w:pPr>
        <w:spacing w:after="0" w:line="174" w:lineRule="exact"/>
        <w:rPr>
          <w:sz w:val="20"/>
          <w:szCs w:val="20"/>
          <w:color w:val="auto"/>
        </w:rPr>
      </w:pPr>
    </w:p>
    <w:p>
      <w:pPr>
        <w:ind w:left="790" w:right="3399" w:hanging="790"/>
        <w:spacing w:after="0" w:line="235"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a similarly described exhibit included with the Registrant's Current Report on Form 8-K filed with the Commission on July 26, 1999.</w:t>
      </w:r>
    </w:p>
    <w:p>
      <w:pPr>
        <w:spacing w:after="0" w:line="5"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7"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Annual Report on Form 10-K for the year ended December 31, 1998.</w:t>
      </w:r>
    </w:p>
    <w:p>
      <w:pPr>
        <w:spacing w:after="0" w:line="5" w:lineRule="exact"/>
        <w:rPr>
          <w:rFonts w:ascii="Courier New" w:cs="Courier New" w:eastAsia="Courier New" w:hAnsi="Courier New"/>
          <w:sz w:val="15"/>
          <w:szCs w:val="15"/>
          <w:color w:val="auto"/>
        </w:rPr>
      </w:pPr>
    </w:p>
    <w:p>
      <w:pPr>
        <w:ind w:left="790" w:right="3239" w:hanging="790"/>
        <w:spacing w:after="0" w:line="234"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our Registration Statement on Form S-1 (File No.</w:t>
      </w:r>
    </w:p>
    <w:p>
      <w:pPr>
        <w:spacing w:after="0" w:line="5" w:lineRule="exact"/>
        <w:rPr>
          <w:rFonts w:ascii="Courier New" w:cs="Courier New" w:eastAsia="Courier New" w:hAnsi="Courier New"/>
          <w:sz w:val="15"/>
          <w:szCs w:val="15"/>
          <w:color w:val="auto"/>
        </w:rPr>
      </w:pPr>
    </w:p>
    <w:p>
      <w:pPr>
        <w:ind w:left="79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333-28889), as amended, declared effective by the Commission on August 6, 1997.</w:t>
      </w:r>
    </w:p>
    <w:p>
      <w:pPr>
        <w:spacing w:after="0" w:line="5"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Registrant's Quarterly Report on Form 10-Q for the quarterly period ended June 30, 2004.</w:t>
      </w:r>
    </w:p>
    <w:p>
      <w:pPr>
        <w:spacing w:after="0" w:line="5"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the Registrant's Registration Statement on Form S-8 (File No. 333-44999), effective when filed with the Commission on January 28, 1998.</w:t>
      </w:r>
    </w:p>
    <w:p>
      <w:pPr>
        <w:spacing w:after="0" w:line="7" w:lineRule="exact"/>
        <w:rPr>
          <w:rFonts w:ascii="Courier New" w:cs="Courier New" w:eastAsia="Courier New" w:hAnsi="Courier New"/>
          <w:sz w:val="15"/>
          <w:szCs w:val="15"/>
          <w:color w:val="auto"/>
        </w:rPr>
      </w:pPr>
    </w:p>
    <w:p>
      <w:pPr>
        <w:jc w:val="both"/>
        <w:ind w:left="790" w:right="3399" w:hanging="790"/>
        <w:spacing w:after="0" w:line="254" w:lineRule="auto"/>
        <w:tabs>
          <w:tab w:leader="none" w:pos="79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to our definitive Proxy Statement with respect to our 1998 Annual Meeting of Shareholders as filed with the Commission on March 31, 1998.</w:t>
      </w:r>
    </w:p>
    <w:p>
      <w:pPr>
        <w:spacing w:after="0" w:line="1" w:lineRule="exact"/>
        <w:rPr>
          <w:rFonts w:ascii="Courier New" w:cs="Courier New" w:eastAsia="Courier New" w:hAnsi="Courier New"/>
          <w:sz w:val="14"/>
          <w:szCs w:val="14"/>
          <w:color w:val="auto"/>
        </w:rPr>
      </w:pPr>
    </w:p>
    <w:p>
      <w:pPr>
        <w:ind w:left="790" w:right="3319" w:hanging="790"/>
        <w:spacing w:after="0" w:line="234"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Quarterly Report on Form 10-Q for the quarterly period ended September 30, 1999.</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624" w:right="1440" w:bottom="349" w:gutter="0" w:footer="0" w:header="0"/>
        </w:sectPr>
      </w:pPr>
    </w:p>
    <w:bookmarkStart w:id="43" w:name="page44"/>
    <w:bookmarkEnd w:id="43"/>
    <w:p>
      <w:pPr>
        <w:ind w:left="790" w:right="3239" w:hanging="790"/>
        <w:spacing w:after="0" w:line="235" w:lineRule="auto"/>
        <w:tabs>
          <w:tab w:leader="none" w:pos="79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Quarterly Report on Form 10-Q for the quarterly period ended March 31, 2000.</w:t>
      </w:r>
    </w:p>
    <w:p>
      <w:pPr>
        <w:spacing w:after="0" w:line="5"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Annual Report on Form 10-K for the year ended December 31, 2004.</w:t>
      </w:r>
    </w:p>
    <w:p>
      <w:pPr>
        <w:spacing w:after="0" w:line="5"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Quarterly Report on Form 10-Q for the quarterly period ended June 30, 2005.</w:t>
      </w:r>
    </w:p>
    <w:p>
      <w:pPr>
        <w:spacing w:after="0" w:line="5" w:lineRule="exact"/>
        <w:rPr>
          <w:rFonts w:ascii="Courier New" w:cs="Courier New" w:eastAsia="Courier New" w:hAnsi="Courier New"/>
          <w:sz w:val="15"/>
          <w:szCs w:val="15"/>
          <w:color w:val="auto"/>
        </w:rPr>
      </w:pPr>
    </w:p>
    <w:p>
      <w:pPr>
        <w:ind w:left="790" w:right="3239" w:hanging="790"/>
        <w:spacing w:after="0" w:line="261" w:lineRule="auto"/>
        <w:tabs>
          <w:tab w:leader="none" w:pos="79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"Note 17 Basic and Diluted Earnings per Share" on pages F-26 and F-27 of our Consolidated Financial Statements.</w:t>
      </w:r>
    </w:p>
    <w:p>
      <w:pPr>
        <w:spacing w:after="0" w:line="15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624" w:right="1440" w:bottom="1440" w:gutter="0" w:footer="0" w:header="0"/>
        </w:sectPr>
      </w:pPr>
    </w:p>
    <w:bookmarkStart w:id="44" w:name="page45"/>
    <w:bookmarkEnd w:id="44"/>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our behalf by the undersigned, thereunto duly authorized.</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Ocwen Financial Corporation</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William C. Erbey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William C. Erbey</w:t>
      </w:r>
    </w:p>
    <w:p>
      <w:pPr>
        <w:ind w:left="4120"/>
        <w:spacing w:after="0" w:line="237" w:lineRule="auto"/>
        <w:rPr>
          <w:sz w:val="20"/>
          <w:szCs w:val="20"/>
          <w:color w:val="auto"/>
        </w:rPr>
      </w:pPr>
      <w:r>
        <w:rPr>
          <w:rFonts w:ascii="Courier New" w:cs="Courier New" w:eastAsia="Courier New" w:hAnsi="Courier New"/>
          <w:sz w:val="15"/>
          <w:szCs w:val="15"/>
          <w:color w:val="auto"/>
        </w:rPr>
        <w:t>Chairman of the Board and</w:t>
      </w:r>
    </w:p>
    <w:p>
      <w:pPr>
        <w:ind w:left="412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(duly authorized representative)</w:t>
      </w:r>
    </w:p>
    <w:p>
      <w:pPr>
        <w:spacing w:after="0" w:line="17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March 30, 2006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William C. Erbey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540" w:right="62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Erbey, Chairman of the Board and Chief Executive Officer (principal executive officer)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Ronald M. Faris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Ronald M. Faris, President and Director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Martha C. Goss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Martha C. Goss, Director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Ronald J. Korn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Ronald J. Korn, Director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William H. Lacy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H. Lacy, Director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W. Michael Linn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 Michael Linn, Executive Vice President</w:t>
      </w:r>
    </w:p>
    <w:p>
      <w:pPr>
        <w:ind w:left="540"/>
        <w:spacing w:after="0" w:line="238" w:lineRule="auto"/>
        <w:rPr>
          <w:sz w:val="20"/>
          <w:szCs w:val="20"/>
          <w:color w:val="auto"/>
        </w:rPr>
      </w:pPr>
      <w:r>
        <w:rPr>
          <w:rFonts w:ascii="Courier New" w:cs="Courier New" w:eastAsia="Courier New" w:hAnsi="Courier New"/>
          <w:sz w:val="15"/>
          <w:szCs w:val="15"/>
          <w:color w:val="auto"/>
        </w:rPr>
        <w:t>and Director</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 C. Martin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30, 2006</w:t>
      </w:r>
    </w:p>
    <w:p>
      <w:pPr>
        <w:spacing w:after="0" w:line="3" w:lineRule="exact"/>
        <w:rPr>
          <w:sz w:val="20"/>
          <w:szCs w:val="20"/>
          <w:color w:val="auto"/>
        </w:rPr>
      </w:pPr>
    </w:p>
    <w:p>
      <w:pPr>
        <w:sectPr>
          <w:pgSz w:w="11900" w:h="16838" w:orient="portrait"/>
          <w:cols w:equalWidth="0" w:num="3">
            <w:col w:w="4460" w:space="720"/>
            <w:col w:w="420" w:space="180"/>
            <w:col w:w="4459"/>
          </w:cols>
          <w:pgMar w:left="220" w:top="617" w:right="1440" w:bottom="1440" w:gutter="0" w:footer="0" w:header="0"/>
          <w:type w:val="continuous"/>
        </w:sectPr>
      </w:pPr>
    </w:p>
    <w:p>
      <w:pPr>
        <w:ind w:left="180" w:hanging="170"/>
        <w:spacing w:after="0"/>
        <w:tabs>
          <w:tab w:leader="none" w:pos="1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Barry N. Wish</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Robert J. Leist, Jr.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30, 2006</w:t>
      </w:r>
    </w:p>
    <w:p>
      <w:pPr>
        <w:ind w:left="180" w:hanging="170"/>
        <w:spacing w:after="0" w:line="237" w:lineRule="auto"/>
        <w:tabs>
          <w:tab w:leader="none" w:pos="1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540" w:right="58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Robert J. Leist, Jr., Senior Vice President and Principal Financial Officer (principal financial and accounting officer)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type w:val="continuous"/>
        </w:sectPr>
      </w:pPr>
    </w:p>
    <w:bookmarkStart w:id="45" w:name="page46"/>
    <w:bookmarkEnd w:id="45"/>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17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CONSOLIDATED FINANCIAL STATEMENTS AND REPORT OF</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INDEPENDENT REGISTERED PUBLIC ACCOUNTING FIRM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2005</w:t>
      </w:r>
    </w:p>
    <w:p>
      <w:pPr>
        <w:sectPr>
          <w:pgSz w:w="11900" w:h="16838" w:orient="portrait"/>
          <w:cols w:equalWidth="0" w:num="1">
            <w:col w:w="10239"/>
          </w:cols>
          <w:pgMar w:left="220" w:top="617" w:right="1440" w:bottom="1440" w:gutter="0" w:footer="0" w:header="0"/>
        </w:sectPr>
      </w:pPr>
    </w:p>
    <w:bookmarkStart w:id="46" w:name="page47"/>
    <w:bookmarkEnd w:id="46"/>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INDEX TO CONSOLIDATED FINANCIAL STATEMENTS AND SCHEDULES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00" w:type="dxa"/>
            <w:vAlign w:val="bottom"/>
          </w:tcPr>
          <w:p>
            <w:pPr>
              <w:jc w:val="right"/>
              <w:ind w:right="5127"/>
              <w:spacing w:after="0"/>
              <w:rPr>
                <w:sz w:val="20"/>
                <w:szCs w:val="20"/>
                <w:color w:val="auto"/>
              </w:rPr>
            </w:pPr>
            <w:r>
              <w:rPr>
                <w:rFonts w:ascii="Courier New" w:cs="Courier New" w:eastAsia="Courier New" w:hAnsi="Courier New"/>
                <w:sz w:val="15"/>
                <w:szCs w:val="15"/>
                <w:color w:val="auto"/>
              </w:rPr>
              <w:t>December 31, 2005</w:t>
            </w:r>
          </w:p>
        </w:tc>
        <w:tc>
          <w:tcPr>
            <w:tcW w:w="480" w:type="dxa"/>
            <w:vAlign w:val="bottom"/>
          </w:tcPr>
          <w:p>
            <w:pPr>
              <w:spacing w:after="0"/>
              <w:rPr>
                <w:sz w:val="14"/>
                <w:szCs w:val="14"/>
                <w:color w:val="auto"/>
              </w:rPr>
            </w:pPr>
          </w:p>
        </w:tc>
      </w:tr>
      <w:tr>
        <w:trPr>
          <w:trHeight w:val="673"/>
        </w:trPr>
        <w:tc>
          <w:tcPr>
            <w:tcW w:w="950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95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9500" w:type="dxa"/>
            <w:vAlign w:val="bottom"/>
          </w:tcPr>
          <w:p>
            <w:pPr>
              <w:jc w:val="right"/>
              <w:spacing w:after="0"/>
              <w:rPr>
                <w:sz w:val="20"/>
                <w:szCs w:val="20"/>
                <w:color w:val="auto"/>
              </w:rPr>
            </w:pPr>
            <w:r>
              <w:rPr>
                <w:rFonts w:ascii="Courier New" w:cs="Courier New" w:eastAsia="Courier New" w:hAnsi="Courier New"/>
                <w:sz w:val="15"/>
                <w:szCs w:val="15"/>
                <w:color w:val="auto"/>
                <w:w w:val="97"/>
              </w:rPr>
              <w:t>Report of Independent Registered Certified Public Accounting Firm...........................................</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F-2</w:t>
            </w:r>
          </w:p>
        </w:tc>
      </w:tr>
      <w:tr>
        <w:trPr>
          <w:trHeight w:val="336"/>
        </w:trPr>
        <w:tc>
          <w:tcPr>
            <w:tcW w:w="9500" w:type="dxa"/>
            <w:vAlign w:val="bottom"/>
          </w:tcPr>
          <w:p>
            <w:pPr>
              <w:jc w:val="right"/>
              <w:ind w:right="7587"/>
              <w:spacing w:after="0"/>
              <w:rPr>
                <w:sz w:val="20"/>
                <w:szCs w:val="20"/>
                <w:color w:val="auto"/>
              </w:rPr>
            </w:pPr>
            <w:r>
              <w:rPr>
                <w:rFonts w:ascii="Courier New" w:cs="Courier New" w:eastAsia="Courier New" w:hAnsi="Courier New"/>
                <w:sz w:val="15"/>
                <w:szCs w:val="15"/>
                <w:color w:val="auto"/>
                <w:w w:val="96"/>
              </w:rPr>
              <w:t>Financial Statements:</w:t>
            </w:r>
          </w:p>
        </w:tc>
        <w:tc>
          <w:tcPr>
            <w:tcW w:w="480" w:type="dxa"/>
            <w:vAlign w:val="bottom"/>
          </w:tcPr>
          <w:p>
            <w:pPr>
              <w:spacing w:after="0"/>
              <w:rPr>
                <w:sz w:val="24"/>
                <w:szCs w:val="24"/>
                <w:color w:val="auto"/>
              </w:rPr>
            </w:pPr>
          </w:p>
        </w:tc>
      </w:tr>
      <w:tr>
        <w:trPr>
          <w:trHeight w:val="336"/>
        </w:trPr>
        <w:tc>
          <w:tcPr>
            <w:tcW w:w="950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 Sheets at December 31, 2005 and 2004...............................................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F-4</w:t>
            </w:r>
          </w:p>
        </w:tc>
      </w:tr>
      <w:tr>
        <w:trPr>
          <w:trHeight w:val="336"/>
        </w:trPr>
        <w:tc>
          <w:tcPr>
            <w:tcW w:w="950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 of Operations for the years ended December 31, 2005, 2004 and 2003..............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F-5</w:t>
            </w:r>
          </w:p>
        </w:tc>
      </w:tr>
      <w:tr>
        <w:trPr>
          <w:trHeight w:val="336"/>
        </w:trPr>
        <w:tc>
          <w:tcPr>
            <w:tcW w:w="950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 of Comprehensive Income for the years ended December 31, 2005, 2004 and 2003....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F-6</w:t>
            </w:r>
          </w:p>
        </w:tc>
      </w:tr>
      <w:tr>
        <w:trPr>
          <w:trHeight w:val="336"/>
        </w:trPr>
        <w:tc>
          <w:tcPr>
            <w:tcW w:w="9500" w:type="dxa"/>
            <w:vAlign w:val="bottom"/>
          </w:tcPr>
          <w:p>
            <w:pPr>
              <w:jc w:val="right"/>
              <w:ind w:right="2327"/>
              <w:spacing w:after="0"/>
              <w:rPr>
                <w:sz w:val="20"/>
                <w:szCs w:val="20"/>
                <w:color w:val="auto"/>
              </w:rPr>
            </w:pPr>
            <w:r>
              <w:rPr>
                <w:rFonts w:ascii="Courier New" w:cs="Courier New" w:eastAsia="Courier New" w:hAnsi="Courier New"/>
                <w:sz w:val="15"/>
                <w:szCs w:val="15"/>
                <w:color w:val="auto"/>
              </w:rPr>
              <w:t>Consolidated Statements of Changes in Stockholders Equity for the years ended</w:t>
            </w:r>
          </w:p>
        </w:tc>
        <w:tc>
          <w:tcPr>
            <w:tcW w:w="480" w:type="dxa"/>
            <w:vAlign w:val="bottom"/>
          </w:tcPr>
          <w:p>
            <w:pPr>
              <w:spacing w:after="0"/>
              <w:rPr>
                <w:sz w:val="24"/>
                <w:szCs w:val="24"/>
                <w:color w:val="auto"/>
              </w:rPr>
            </w:pPr>
          </w:p>
        </w:tc>
      </w:tr>
      <w:tr>
        <w:trPr>
          <w:trHeight w:val="168"/>
        </w:trPr>
        <w:tc>
          <w:tcPr>
            <w:tcW w:w="9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2005, 2004 and 2003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F-7</w:t>
            </w:r>
          </w:p>
        </w:tc>
      </w:tr>
      <w:tr>
        <w:trPr>
          <w:trHeight w:val="336"/>
        </w:trPr>
        <w:tc>
          <w:tcPr>
            <w:tcW w:w="950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 of Cash Flows for the years ended December 31, 2005, 2004 and 2003..............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F-8</w:t>
            </w:r>
          </w:p>
        </w:tc>
      </w:tr>
      <w:tr>
        <w:trPr>
          <w:trHeight w:val="336"/>
        </w:trPr>
        <w:tc>
          <w:tcPr>
            <w:tcW w:w="950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505"/>
        </w:trPr>
        <w:tc>
          <w:tcPr>
            <w:tcW w:w="9500" w:type="dxa"/>
            <w:vAlign w:val="bottom"/>
          </w:tcPr>
          <w:p>
            <w:pPr>
              <w:jc w:val="right"/>
              <w:ind w:right="5747"/>
              <w:spacing w:after="0"/>
              <w:rPr>
                <w:sz w:val="20"/>
                <w:szCs w:val="20"/>
                <w:color w:val="auto"/>
              </w:rPr>
            </w:pPr>
            <w:r>
              <w:rPr>
                <w:rFonts w:ascii="Courier New" w:cs="Courier New" w:eastAsia="Courier New" w:hAnsi="Courier New"/>
                <w:sz w:val="15"/>
                <w:szCs w:val="15"/>
                <w:color w:val="auto"/>
              </w:rPr>
              <w:t>F-1</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7" w:name="page48"/>
    <w:bookmarkEnd w:id="47"/>
    <w:p>
      <w:pPr>
        <w:ind w:left="700"/>
        <w:spacing w:after="0"/>
        <w:rPr>
          <w:sz w:val="20"/>
          <w:szCs w:val="20"/>
          <w:color w:val="auto"/>
        </w:rPr>
      </w:pPr>
      <w:r>
        <w:rPr>
          <w:rFonts w:ascii="Courier New" w:cs="Courier New" w:eastAsia="Courier New" w:hAnsi="Courier New"/>
          <w:sz w:val="15"/>
          <w:szCs w:val="15"/>
          <w:color w:val="auto"/>
        </w:rPr>
        <w:t>REPORT OF INDEPENDENT REGISTERED CERTIFIED PUBLIC ACCOUNTING FIRM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Ocwen Financial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completed integrated audits of Ocwen Financial Corporation's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Ocwen Financial Corporation and its subsidiaries (the "Company") at December 31, 2005 and December 31, 2004, and the results of their operations and their cash flows for each of the three years in the period ended December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discussed in Note 1 to the consolidated financial statements, effective December 31, 2005 the Company has revised the presentation of their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control over financial reporting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Also, in our opinion, management's assessment, included in Management's Report on Internal Control over Financial Reporting appearing under Item 9A, that the Company maintained effective internal control over financial reporting as of December 31, 2005 based on criteria established in Internal Control - 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2005, based on criteria established in Internal Control - 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48" w:name="page49"/>
    <w:bookmarkEnd w:id="48"/>
    <w:p>
      <w:pPr>
        <w:ind w:right="3239"/>
        <w:spacing w:after="0" w:line="255" w:lineRule="auto"/>
        <w:rPr>
          <w:sz w:val="20"/>
          <w:szCs w:val="20"/>
          <w:color w:val="auto"/>
        </w:rPr>
      </w:pPr>
      <w:r>
        <w:rPr>
          <w:rFonts w:ascii="Courier New" w:cs="Courier New" w:eastAsia="Courier New" w:hAnsi="Courier New"/>
          <w:sz w:val="14"/>
          <w:szCs w:val="14"/>
          <w:color w:val="auto"/>
        </w:rPr>
        <w:t>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described in Management's Report on Internal Control over Financial Reporting appearing under Item 9A, management has excluded Funding America, LLC ("FA") from its assessment of internal control over financial reporting as of December 31, 2005 because FA was acquired in a purchase business combination on December 28, 2005. We have also excluded FA from our audit of internal control over financial reporting. FA is a variable interest entity consolidated under Financial Accounting Standards Board Interpretation No. 46, as revised. FA's total assets represent approximately 4% of the Company's consolidated assets at December 31, 2005.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237" w:lineRule="auto"/>
        <w:rPr>
          <w:sz w:val="20"/>
          <w:szCs w:val="20"/>
          <w:color w:val="auto"/>
        </w:rPr>
      </w:pPr>
      <w:r>
        <w:rPr>
          <w:rFonts w:ascii="Courier New" w:cs="Courier New" w:eastAsia="Courier New" w:hAnsi="Courier New"/>
          <w:sz w:val="15"/>
          <w:szCs w:val="15"/>
          <w:color w:val="auto"/>
        </w:rPr>
        <w:t>Fort Lauderdale, Florida</w:t>
      </w:r>
    </w:p>
    <w:p>
      <w:pPr>
        <w:spacing w:after="0" w:line="238" w:lineRule="auto"/>
        <w:rPr>
          <w:sz w:val="20"/>
          <w:szCs w:val="20"/>
          <w:color w:val="auto"/>
        </w:rPr>
      </w:pPr>
      <w:r>
        <w:rPr>
          <w:rFonts w:ascii="Courier New" w:cs="Courier New" w:eastAsia="Courier New" w:hAnsi="Courier New"/>
          <w:sz w:val="15"/>
          <w:szCs w:val="15"/>
          <w:color w:val="auto"/>
        </w:rPr>
        <w:t>March 30, 2006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24" w:right="1440" w:bottom="1440" w:gutter="0" w:footer="0" w:header="0"/>
        </w:sectPr>
      </w:pPr>
    </w:p>
    <w:bookmarkStart w:id="49" w:name="page50"/>
    <w:bookmarkEnd w:id="49"/>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Cash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269,611</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542,891</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Trading securities, at fair value</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grade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1,685</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86,215</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Subordinates and residuals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30,277</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39,527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held for resale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624,671</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8,437</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Match funded assets (including advances of $377,105 in 2005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$276,626 in 2004)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377,105</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280,760</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Advances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219,716</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240,430</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Mortgage servicing rights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148,663</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131,409</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68,266</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126,719</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Premises and equipment, net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40,108</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37,440</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74,031</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88,704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1,854,133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1,582,532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339,292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244,327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Servicer liabilities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298,892</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291,265</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626,448</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Debt securities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154,329</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231,249</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liabilities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85,912</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56,850</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Deposits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290,507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Escrow deposits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86,084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1,504,873</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1,250,894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 in subsidiaries ................................</w:t>
            </w:r>
          </w:p>
        </w:tc>
        <w:tc>
          <w:tcPr>
            <w:tcW w:w="34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1,853</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1,530</w:t>
            </w:r>
          </w:p>
        </w:tc>
      </w:tr>
      <w:tr>
        <w:trPr>
          <w:trHeight w:val="33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COMMITMENTS AND CONTINGENCIES (Note 28)</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22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Common stock, $.01 par value; 200,000,000 shares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authorized; 63,133,471 and 62,739,478 shares issued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outstanding at December 31, 2005 and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 2004, respectively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631</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184,262</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181,336</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163,198</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148,133</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 (loss), net of taxes ..</w:t>
            </w:r>
          </w:p>
        </w:tc>
        <w:tc>
          <w:tcPr>
            <w:tcW w:w="34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347,407</w:t>
            </w:r>
          </w:p>
        </w:tc>
        <w:tc>
          <w:tcPr>
            <w:tcW w:w="2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330,108</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1,854,133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1,582,532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50" w:name="page51"/>
    <w:bookmarkEnd w:id="50"/>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220" w:type="dxa"/>
            <w:vAlign w:val="bottom"/>
          </w:tcPr>
          <w:p>
            <w:pPr>
              <w:spacing w:after="0"/>
              <w:rPr>
                <w:sz w:val="14"/>
                <w:szCs w:val="14"/>
                <w:color w:val="auto"/>
              </w:rPr>
            </w:pPr>
          </w:p>
        </w:tc>
        <w:tc>
          <w:tcPr>
            <w:tcW w:w="37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Servicing and subservicing fees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293,569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288,101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277,428</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Process management fees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71,961</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59,024</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34,338</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revenues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9,846</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12,761</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3,367</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375,376</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359,886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315,133</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 and benefits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94,625</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87,283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72,221</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servicing rights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96,692</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96,036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93,558</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Occupancy and equipment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17,676</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15,933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13,159</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Technology and communications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30,375</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26,049</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21,121</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Professional services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25,975</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28,891</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26,708</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Servicing and origination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61,083</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72,914</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61,089</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operating expenses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27,060</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8,333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353,486</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335,439</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295,560</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25,238</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23,676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24,122</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2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(37,261)</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(30,364)</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(38,716)</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on Capital Securities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trading securities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3,344</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debt repurchases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4,258</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6,742</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8,178</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 net ..................................</w:t>
            </w:r>
          </w:p>
        </w:tc>
        <w:tc>
          <w:tcPr>
            <w:tcW w:w="2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(1,010)</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953</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(14,053)</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 ....................................</w:t>
            </w:r>
          </w:p>
        </w:tc>
        <w:tc>
          <w:tcPr>
            <w:tcW w:w="2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20,880</w:t>
            </w:r>
          </w:p>
        </w:tc>
        <w:tc>
          <w:tcPr>
            <w:tcW w:w="220" w:type="dxa"/>
            <w:vAlign w:val="bottom"/>
          </w:tcPr>
          <w:p>
            <w:pPr>
              <w:spacing w:after="0"/>
              <w:rPr>
                <w:sz w:val="24"/>
                <w:szCs w:val="24"/>
                <w:color w:val="auto"/>
              </w:rPr>
            </w:pP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25,400</w:t>
            </w:r>
          </w:p>
        </w:tc>
        <w:tc>
          <w:tcPr>
            <w:tcW w:w="18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5,520</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expense (benefit)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5,815</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(32,324)</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Basic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62,912,768</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65,811,697</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67,166,888</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Diluted ............................................................</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63,885,439</w:t>
            </w:r>
          </w:p>
        </w:tc>
        <w:tc>
          <w:tcPr>
            <w:tcW w:w="2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73,197,255</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68,063,873</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617" w:right="1440" w:bottom="1440" w:gutter="0" w:footer="0" w:header="0"/>
        </w:sectPr>
      </w:pPr>
    </w:p>
    <w:bookmarkStart w:id="51" w:name="page52"/>
    <w:bookmarkEnd w:id="51"/>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500"/>
        <w:spacing w:after="0" w:line="237" w:lineRule="auto"/>
        <w:rPr>
          <w:sz w:val="20"/>
          <w:szCs w:val="20"/>
          <w:color w:val="auto"/>
        </w:rPr>
      </w:pPr>
      <w:r>
        <w:rPr>
          <w:rFonts w:ascii="Courier New" w:cs="Courier New" w:eastAsia="Courier New" w:hAnsi="Courier New"/>
          <w:sz w:val="15"/>
          <w:szCs w:val="15"/>
          <w:color w:val="auto"/>
        </w:rPr>
        <w:t>CONSOLIDATED STATEMENTS OF COMPREHENSIVE INCOME</w:t>
      </w:r>
    </w:p>
    <w:tbl>
      <w:tblPr>
        <w:tblLayout w:type="fixed"/>
        <w:tblInd w:w="0" w:type="dxa"/>
        <w:tblCellMar>
          <w:top w:w="0" w:type="dxa"/>
          <w:left w:w="0" w:type="dxa"/>
          <w:bottom w:w="0" w:type="dxa"/>
          <w:right w:w="0" w:type="dxa"/>
        </w:tblCellMar>
      </w:tblPr>
      <w:tr>
        <w:trPr>
          <w:trHeight w:val="169"/>
        </w:trPr>
        <w:tc>
          <w:tcPr>
            <w:tcW w:w="6220" w:type="dxa"/>
            <w:vAlign w:val="bottom"/>
          </w:tcPr>
          <w:p>
            <w:pPr>
              <w:jc w:val="right"/>
              <w:ind w:right="166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5"/>
          </w:tcPr>
          <w:p>
            <w:pPr>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220" w:type="dxa"/>
            <w:vAlign w:val="bottom"/>
          </w:tcPr>
          <w:p>
            <w:pPr>
              <w:spacing w:after="0"/>
              <w:rPr>
                <w:sz w:val="14"/>
                <w:szCs w:val="14"/>
                <w:color w:val="auto"/>
              </w:rPr>
            </w:pPr>
          </w:p>
        </w:tc>
        <w:tc>
          <w:tcPr>
            <w:tcW w:w="36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15,065</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57,724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4,772</w:t>
            </w:r>
          </w:p>
        </w:tc>
      </w:tr>
      <w:tr>
        <w:trPr>
          <w:trHeight w:val="168"/>
        </w:trPr>
        <w:tc>
          <w:tcPr>
            <w:tcW w:w="62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96"/>
              </w:rPr>
              <w:t>Other comprehensive income (loss), net of taxes: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Change in unrealized foreign currency translation income (loss)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arising during the year (net of tax benefit (expense)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$65, $354 and $(459)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Reclassification adjustment for foreign currency translation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 included in net income (net of tax benefit of $344)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change in unrealized foreign currency translation gain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Comprehensive income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14,369</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57,121</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5,433</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617" w:right="1440" w:bottom="1440" w:gutter="0" w:footer="0" w:header="0"/>
        </w:sectPr>
      </w:pPr>
    </w:p>
    <w:bookmarkStart w:id="52" w:name="page53"/>
    <w:bookmarkEnd w:id="52"/>
    <w:p>
      <w:pPr>
        <w:jc w:val="center"/>
        <w:ind w:right="45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4520"/>
        <w:spacing w:after="0" w:line="238" w:lineRule="auto"/>
        <w:rPr>
          <w:sz w:val="20"/>
          <w:szCs w:val="20"/>
          <w:color w:val="auto"/>
        </w:rPr>
      </w:pPr>
      <w:r>
        <w:rPr>
          <w:rFonts w:ascii="Courier New" w:cs="Courier New" w:eastAsia="Courier New" w:hAnsi="Courier New"/>
          <w:sz w:val="15"/>
          <w:szCs w:val="15"/>
          <w:color w:val="auto"/>
        </w:rPr>
        <w:t>FOR THE YEARS ENDED DECEMBER 31, 2005, 2004 and 2003</w:t>
      </w:r>
    </w:p>
    <w:tbl>
      <w:tblPr>
        <w:tblLayout w:type="fixed"/>
        <w:tblInd w:w="0" w:type="dxa"/>
        <w:tblCellMar>
          <w:top w:w="0" w:type="dxa"/>
          <w:left w:w="0" w:type="dxa"/>
          <w:bottom w:w="0" w:type="dxa"/>
          <w:right w:w="0" w:type="dxa"/>
        </w:tblCellMar>
      </w:tblPr>
      <w:tr>
        <w:trPr>
          <w:trHeight w:val="168"/>
        </w:trPr>
        <w:tc>
          <w:tcPr>
            <w:tcW w:w="5860" w:type="dxa"/>
            <w:vAlign w:val="bottom"/>
            <w:gridSpan w:val="3"/>
          </w:tcPr>
          <w:p>
            <w:pPr>
              <w:ind w:left="1760"/>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73"/>
        </w:trPr>
        <w:tc>
          <w:tcPr>
            <w:tcW w:w="3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Additional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Comprehensive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Retained</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(Loss),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Earnings</w:t>
            </w:r>
          </w:p>
        </w:tc>
        <w:tc>
          <w:tcPr>
            <w:tcW w:w="180" w:type="dxa"/>
            <w:vAlign w:val="bottom"/>
          </w:tcPr>
          <w:p>
            <w:pPr>
              <w:spacing w:after="0"/>
              <w:rPr>
                <w:sz w:val="14"/>
                <w:szCs w:val="14"/>
                <w:color w:val="auto"/>
              </w:rPr>
            </w:pP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Taxes</w:t>
            </w:r>
          </w:p>
        </w:tc>
        <w:tc>
          <w:tcPr>
            <w:tcW w:w="260" w:type="dxa"/>
            <w:vAlign w:val="bottom"/>
          </w:tcPr>
          <w:p>
            <w:pPr>
              <w:spacing w:after="0"/>
              <w:rPr>
                <w:sz w:val="14"/>
                <w:szCs w:val="14"/>
                <w:color w:val="auto"/>
              </w:rPr>
            </w:pPr>
          </w:p>
        </w:tc>
        <w:tc>
          <w:tcPr>
            <w:tcW w:w="9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2002 ............</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67,339,773</w:t>
            </w:r>
          </w:p>
        </w:tc>
        <w:tc>
          <w:tcPr>
            <w:tcW w:w="780" w:type="dxa"/>
            <w:vAlign w:val="bottom"/>
          </w:tcPr>
          <w:p>
            <w:pPr>
              <w:jc w:val="right"/>
              <w:ind w:right="607"/>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224,454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85,637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310,718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awards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employees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236,461</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 ..............</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(500,000)</w:t>
            </w:r>
          </w:p>
        </w:tc>
        <w:tc>
          <w:tcPr>
            <w:tcW w:w="7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(2,257)</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of common stock options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359,419</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Directors' compensation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31,567</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comprehensive income, net of taxes: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translation gain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36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December 31, 2003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67,467,220</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675</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225,559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90,409</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317,258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57,724</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57,724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awards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employees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203,088</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 ..............</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(5,481,100)</w:t>
            </w:r>
          </w:p>
        </w:tc>
        <w:tc>
          <w:tcPr>
            <w:tcW w:w="7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(55)</w:t>
            </w:r>
          </w:p>
        </w:tc>
        <w:tc>
          <w:tcPr>
            <w:tcW w:w="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(49,394)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(49,449)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of common stock options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543,260</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Directors' compensation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7,010</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comprehensive income, net of taxes: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translation gain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(603)</w:t>
            </w:r>
          </w:p>
        </w:tc>
        <w:tc>
          <w:tcPr>
            <w:tcW w:w="26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36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December 31, 2004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62,739,478</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627</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181,336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148,133</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330,108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15,065</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15,065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awards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employees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185,217</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of common stock options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203,410</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Directors' compensation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5,366</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comprehensive income, net of taxes: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translation gain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w:t>
            </w:r>
          </w:p>
        </w:tc>
        <w:tc>
          <w:tcPr>
            <w:tcW w:w="26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w:t>
            </w:r>
          </w:p>
        </w:tc>
      </w:tr>
      <w:tr>
        <w:trPr>
          <w:trHeight w:val="168"/>
        </w:trPr>
        <w:tc>
          <w:tcPr>
            <w:tcW w:w="36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December 31, 2005 ............</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63,133,471</w:t>
            </w:r>
          </w:p>
        </w:tc>
        <w:tc>
          <w:tcPr>
            <w:tcW w:w="7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631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184,262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163,198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347,407</w:t>
            </w:r>
          </w:p>
        </w:tc>
      </w:tr>
      <w:tr>
        <w:trPr>
          <w:trHeight w:val="168"/>
        </w:trPr>
        <w:tc>
          <w:tcPr>
            <w:tcW w:w="36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444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1540"/>
          </w:cols>
          <w:pgMar w:left="220" w:top="617" w:right="139" w:bottom="1440" w:gutter="0" w:footer="0" w:header="0"/>
        </w:sectPr>
      </w:pPr>
    </w:p>
    <w:bookmarkStart w:id="53" w:name="page54"/>
    <w:bookmarkEnd w:id="53"/>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480" w:type="dxa"/>
            <w:vAlign w:val="bottom"/>
          </w:tcPr>
          <w:p>
            <w:pPr>
              <w:jc w:val="right"/>
              <w:ind w:right="192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6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5"/>
          </w:tcPr>
          <w:p>
            <w:pPr>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480" w:type="dxa"/>
            <w:vAlign w:val="bottom"/>
          </w:tcPr>
          <w:p>
            <w:pPr>
              <w:spacing w:after="0"/>
              <w:rPr>
                <w:sz w:val="14"/>
                <w:szCs w:val="14"/>
                <w:color w:val="auto"/>
              </w:rPr>
            </w:pPr>
          </w:p>
        </w:tc>
        <w:tc>
          <w:tcPr>
            <w:tcW w:w="37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4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15,065</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57,724</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 provided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480" w:type="dxa"/>
            <w:vAlign w:val="bottom"/>
          </w:tcPr>
          <w:p>
            <w:pPr>
              <w:jc w:val="right"/>
              <w:ind w:right="3427"/>
              <w:spacing w:after="0" w:line="168" w:lineRule="exact"/>
              <w:rPr>
                <w:sz w:val="20"/>
                <w:szCs w:val="20"/>
                <w:color w:val="auto"/>
              </w:rPr>
            </w:pPr>
            <w:r>
              <w:rPr>
                <w:rFonts w:ascii="Courier New" w:cs="Courier New" w:eastAsia="Courier New" w:hAnsi="Courier New"/>
                <w:sz w:val="15"/>
                <w:szCs w:val="15"/>
                <w:color w:val="auto"/>
              </w:rPr>
              <w:t>(used) by operating activities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cash provided (used) by trading activities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99,842</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(75,067)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20,807</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Purchases of loans held for resale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(489,481)</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(17,744)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Originations of loans held for resale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(408,967)</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sales of loans held for resale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347,411</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9,307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Premium amortization (discount accretion) on securities, net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2,402</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Amortization of servicing rights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96,692</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96,036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93,558</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Depreciation and other amortization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12,812</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13,345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13,530</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Provision for bad debts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5,308</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Impairment of working capital investment in consolidated VIE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7,238</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Provision for loan losses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(2,684)</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Valuation (gains) losses on real estate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5,110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7,430</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Loss (gain) on trading and match funded securities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(3,344)</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Loss (gain) on sale of real estate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(2,552)</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Loss (gain) on sale of deposits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(1,750)</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Loss (gain) on investments in affordable housing properties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1,750</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Loss (gain) on repurchase of debt securities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(4,258)</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Decrease (increase) in advances and match funded advances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(79,765)</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(36,499)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(92,532)</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Decrease (increase) in receivables and other assets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39,071</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(80,220)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7,659</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Increase (decrease) in servicer liabilities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7,627</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192,502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23,995</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Increase (decrease) in other liabilities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23,302</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15,972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2,620</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net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2,215</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(6,412)</w:t>
            </w:r>
          </w:p>
        </w:tc>
      </w:tr>
      <w:tr>
        <w:trPr>
          <w:trHeight w:val="168"/>
        </w:trPr>
        <w:tc>
          <w:tcPr>
            <w:tcW w:w="64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(used) by operating activities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(328,174)</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179,514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72,618</w:t>
            </w:r>
          </w:p>
        </w:tc>
      </w:tr>
      <w:tr>
        <w:trPr>
          <w:trHeight w:val="168"/>
        </w:trPr>
        <w:tc>
          <w:tcPr>
            <w:tcW w:w="64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Principal payments received on match funded loans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1,819</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5,757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13,736</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Acquisition of match funded loans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 of match funded loans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21,592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 of affordable housing properties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6,325</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5,257</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Purchase of mortgage servicing rights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(113,946)</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(60,950)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(88,442)</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 of loans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30,153</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Principal payments received on loans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1,923</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38,750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28,337</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Purchases, originations and funded commitments on loans, net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(16,478)</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(6,201)</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Capital improvements to real estate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(8,837)</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 of real estate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7,761</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70,504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17,573</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Additions to premises and equipment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(11,283)</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(10,353)</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cash paid to consolidated VIE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(6,998)</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cash paid to acquire subsidiaries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Proceeds from sale of subsidiaries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9,643</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(used) by investing activities ........................</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(104,796)</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39,625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(18,777)</w:t>
            </w:r>
          </w:p>
        </w:tc>
      </w:tr>
      <w:tr>
        <w:trPr>
          <w:trHeight w:val="168"/>
        </w:trPr>
        <w:tc>
          <w:tcPr>
            <w:tcW w:w="64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14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40"/>
          </w:cols>
          <w:pgMar w:left="220" w:top="617" w:right="1439" w:bottom="1440" w:gutter="0" w:footer="0" w:header="0"/>
        </w:sectPr>
      </w:pPr>
    </w:p>
    <w:bookmarkStart w:id="54" w:name="page55"/>
    <w:bookmarkEnd w:id="54"/>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169"/>
        </w:trPr>
        <w:tc>
          <w:tcPr>
            <w:tcW w:w="6440" w:type="dxa"/>
            <w:vAlign w:val="bottom"/>
          </w:tcPr>
          <w:p>
            <w:pPr>
              <w:jc w:val="right"/>
              <w:ind w:right="188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6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gridSpan w:val="5"/>
          </w:tcPr>
          <w:p>
            <w:pPr>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440" w:type="dxa"/>
            <w:vAlign w:val="bottom"/>
          </w:tcPr>
          <w:p>
            <w:pPr>
              <w:spacing w:after="0"/>
              <w:rPr>
                <w:sz w:val="14"/>
                <w:szCs w:val="14"/>
                <w:color w:val="auto"/>
              </w:rPr>
            </w:pPr>
          </w:p>
        </w:tc>
        <w:tc>
          <w:tcPr>
            <w:tcW w:w="38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Increase (decrease) in deposits and escrow deposits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(210,850)</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(169,554)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42,944</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Sale of deposits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(165,741)</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Premium received from sale of deposits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(repayments of) lines of credit and other secured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borrowings, net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507,453</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(79,772)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67,638</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Proceeds from issuance (repayments) of match funded liabilities, net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96,846</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128,933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(31,677)</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Issuance (repurchase) of debt securities, net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(70,445)</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175,000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(77,420)</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Exercise of common stock options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927</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2,427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Repurchase of common stock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(49,449)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(2,262)</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cash provided (used) by financing activities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159,690</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7,585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increase (decrease) in cash .........................................</w:t>
            </w:r>
          </w:p>
        </w:tc>
        <w:tc>
          <w:tcPr>
            <w:tcW w:w="4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(273,280)</w:t>
            </w:r>
          </w:p>
        </w:tc>
        <w:tc>
          <w:tcPr>
            <w:tcW w:w="3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226,724</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54,398</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at beginning of year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542,891</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316,167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261,769</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at end of year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269,611</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542,891</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316,167</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Interest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36,862</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28,980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41,362</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Income tax refunds (payments)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64,634</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(16,610)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Assumption of line of credit by purchaser of real estate ..............</w:t>
            </w: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Exchange of loans for real estate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4,771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Accounts receivable from sale of affordable housing properties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2,767</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Real estate acquired through foreclosure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Equipment acquired through capital leases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4,104</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SUPPLEMENTAL SCHEDULE OF BUSINESS ACQUISITIONS AND CONSOLIDATION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VIE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Fair value of assets acquired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(73,539)</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Fair value of liabilities assumed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73,539</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11,170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Impairment of working capital investment in consolidated VIE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(7,238)</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Cash paid .............................................................</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(7,238)</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Less cash acquired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8,198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cash paid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(6,998)</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14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40"/>
          </w:cols>
          <w:pgMar w:left="220" w:top="617" w:right="1439" w:bottom="1440" w:gutter="0" w:footer="0" w:header="0"/>
        </w:sectPr>
      </w:pPr>
    </w:p>
    <w:bookmarkStart w:id="55" w:name="page56"/>
    <w:bookmarkEnd w:id="5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Ocwen Financial Corporation ("OCN") is a holding company, which, through its subsidiaries, is engaged in business activities related to residential and commercial mortgage servicing, consumer unsecured debt collections, loan origination services and business process outsourcing. At December 31, 2005, OCN owned all of the outstanding stock of its primary subsidiaries, Ocwen Loan Servicing, LLC ("OLS"), Investors Mortgage Insurance Holding Company ("IMI") and Ocwen Financial Solutions Pvt. Limited ("India"). OCN also owns 70% of Global Servicing Solutions, LLC ("GSS") with the remaining 30% minority interest held by ML IBK Positions, Inc. ("Merrill Lynch"). Effective June 30, 2005, Ocwen Federal Bank FSB (the "Bank"), a wholly owned subsidiary, voluntarily terminated its status as a federal savings bank and dissolved, a process we referred to as "debanking".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We evaluate special purpose entities first for classification as a "qualifying special purpose entity" ("QSPE") as specified by Statement of Financial Accounting Standards No. 140, "Accounting for Transfers and Servicing of Financial Assets and Extinguishments of Liabilities" ("SFAS 140"). Where we determine that a special purpose entity is classified as a QSPE, it is excluded from our consolidated financial statements. Where we determine that a special purpose entity is not classified as a QSPE, it is further evaluated for classification as a variable interest entity ("VIE") as specified by FASB Interpretation No. 46, "Consolidation of Variable Interest Entities", as revised. When a special purpose entity meets the definition of a VIE where OCN is identified as the primary beneficiary of the entity, it is included in our consolidated financial statements.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consolidated balance sheet at December 31, 2005 includes the assets and liabilities of Funding America, LLC ("FA"), a VIE under FIN 46 and FIN 46 (R). We have determined that we hold a variable interest in FA and have also determined that we are the primary beneficiary effective as of December 28, 2005. FA is engaged in the origination, acquisition and subsequent securitization or sale of subprime single family residential loans. As a result of consolidation, the net change in our total assets and liabilities was an increase of $72,301. Total assets include $72,856 of loans held for sale that are pledged to secure collateralized borrowings of $71,169. OCN is a party to an agreement whereby it has guaranteed repayment of FA's obligations up to a maximum of 5%. Other than with respect to this guarantee, the creditors of FA have no recourse against the credit of OCN.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material intercompany accounts and transactions have been eliminated. We report minority interests in our majority-owned subsidiaries as a separate item on our consolidated balance sheets and minority interest in our earnings is included in other income (expense), net, on our consolidated statements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debanking, our consolidated financial statements followed the presentation requirements of Securities and Exchange Commission ("SEC") Regulation S-X, Article 9, Bank Holding Companies. As a result of debanking, effective December 31, 2005, we have revised the presentation of our consolidated financial statements to better align our presentation with the growth and significance of loan servicing and loan origination and outsourcing services, our principal businesses. The principal change in our consolidated financial statements for the periods presented as compared to the presentation in prior periods is in the format of our consolidated statement of operations. In adopting the new format for our consolidated statement of operations, we have made a number of reclassifications of expenses. The most significant of these reclassifications has been to report as operating expenses amounts that were netted against the revenues that were previously reported as "Servicing and other fees." These expenses are directly related to the generation of revenues and are reported in our consolidated statement of operations as "Amortization of servicing rights" and as components of "Servicing and origination." Servicing and origination includes expenses of approximately $34,900, $45,800 and $47,500, for the years ended December 31, 2005, 2004 and 2003, respectively, that had previously been netted against revenues reported in servicing and other fees. Similarly, expenses previously included in "Loan expenses" on the consolidated statement of operations are also principally reported as components of servicing and origination expense.</w:t>
      </w:r>
    </w:p>
    <w:p>
      <w:pPr>
        <w:spacing w:after="0" w:line="34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Revenues that are associated with our Residential Origination Services and Business Processing Outsourcing business segments are reported in a separate revenue category, "Process management fees." These revenues were previously reported as a component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17" w:right="1440" w:bottom="1021" w:gutter="0" w:footer="0" w:header="0"/>
        </w:sectPr>
      </w:pPr>
    </w:p>
    <w:bookmarkStart w:id="56" w:name="page57"/>
    <w:bookmarkEnd w:id="5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servicing and other fees. Other categories of income, including interest income and interest expense, which were previously reported as revenues but which were not related to the operations of our principal business segments, are reported in "Other income (expense)."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we created a new liability caption, "Servicer liabilities", in our consolidated balance sheet. This caption represents amounts that we have collected from borrowers that will be remitted to off-balance sheet custodial accounts, paid directly to investment trusts or refunded to borrowers. Previously, the amounts included in servicer liabilities had been reported either as escrow deposits or as reductions of our cash balances.</w:t>
      </w:r>
    </w:p>
    <w:p>
      <w:pPr>
        <w:spacing w:after="0" w:line="17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Amounts included in our 2004 and 2003 consolidated financial statements have been reclassified to conform to these changes in presentation in our consolidated statement of operations as well as to conform to certain other, less significant, reclassifications that have been made in our consolidated financial statements in 2005. In addition, effective January 1, 2005, we reorganized our business segment reporting. All segment information presented has been restated to conform to the new structure.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Cash includes both interest-bearing and non-interest-bearing deposits with financial institutions. Other highly liquid investments when purchased with a maturity of three months or less are considered to be cash equivalents.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currently account for our investment grade, residual and subordinate securities as trading securities at fair value. We report changes in fair value in income in the period of change. We determine fair value based on either third party dealer quotations, where available, or internal values. Our internal valuations are determined using internally developed models. Expected future cash flows are estimated using assumptions such as discount rates, prepayment speeds and expected losses. Discount rates for the subordinate and residual securities range from 11% to 30% and are determined based upon an assessment of general market conditions. The prepayment and loss assumptions are projected based on a comparison to actual historical performance curves.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income on subordinate and residual securities is recognized through an "effective yield" method with changes in expected future cash flows reflected in the yield on a prospective basis. The prospective yield is adjusted each time the expected future cash flows change or the actual cash flows differ from projections. The newly calculated yield is used in the accrual of interest income for subsequent reporting periods.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HELD FOR RESALE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Loans that we do not intend to hold to maturity are classified as loans held for resale and are reported at the lower of cost or market value. The excess of cost over market value is accounted for as a market valuation reserve with changes in the reserve included in other operating expenses of the period in which the change occurs. Loans for which we have entered into an agreement to sell to an investor at a set price are valued at the commitment price. For uncommitted performing loans, we estimate fair value based on quotes for similar loans. The fair value of uncommitted non-performing loans is based on estimated expected future cash flows discounted using a rate commensurate with the risks involved. Loan origination fees and direct loan origination costs are deferred until the loans are sold. These fees and costs are considered in the carrying value of the loans when determining a market valuation reserve.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record purchased mortgage servicing rights at cost and amortize in proportion to and over the period of estimated net servicing income.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evaluate the mortgage servicing assets for impairment based on the fair value of the servicing assets by strata. We stratify the servicing assets based on loan type. To the extent the carrying value of the servicing assets exceeds their fair value by strata, we establish a valuation allowance, which we may adjust in the future as the value of the servicing assets increases or decreases. We estimate the fair value of our mortgage servicing rights based on the results of our internal valuation and an external valuation obtained from an independent third-party valuation specialist. Our internal valuation calculates the present value of estimated future cash flows utilizing market-based assumptions. The more significant assumptions used in our internal valuation include: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021" w:gutter="0" w:footer="0" w:header="0"/>
        </w:sectPr>
      </w:pPr>
    </w:p>
    <w:bookmarkStart w:id="57" w:name="page58"/>
    <w:bookmarkEnd w:id="57"/>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440" w:hanging="430"/>
        <w:spacing w:after="0"/>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speeds</w:t>
      </w:r>
    </w:p>
    <w:p>
      <w:pPr>
        <w:ind w:left="440" w:hanging="430"/>
        <w:spacing w:after="0" w:line="237"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Compensating interest expense</w:t>
      </w:r>
    </w:p>
    <w:p>
      <w:pPr>
        <w:ind w:left="440" w:hanging="430"/>
        <w:spacing w:after="0" w:line="237"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Delinquency experience</w:t>
      </w:r>
    </w:p>
    <w:p>
      <w:pPr>
        <w:ind w:left="440" w:hanging="430"/>
        <w:spacing w:after="0" w:line="237"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w:t>
      </w:r>
    </w:p>
    <w:p>
      <w:pPr>
        <w:ind w:left="440" w:hanging="430"/>
        <w:spacing w:after="0" w:line="237"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the cost of servicing advances</w:t>
      </w:r>
    </w:p>
    <w:p>
      <w:pPr>
        <w:ind w:left="440" w:hanging="430"/>
        <w:spacing w:after="0" w:line="237"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used for computing float income</w:t>
      </w:r>
    </w:p>
    <w:p>
      <w:pPr>
        <w:ind w:left="440" w:hanging="430"/>
        <w:spacing w:after="0" w:line="237"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servicing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significant cash inflows considered in estimating future cash flows include servicing fees, late fees, prepayment penalties, float income and other ancillary fees. Significant cash outflows include the cost of servicing, compensating interest payments and the cost of making service advances. Prepayment speeds and delinquency experiences are derived from historical experience. The discount rate, interest rate for the cost of financing advances, interest rate for float income and the cost of servicing are based on market assumptions provided by our third-party valuation specialist. An impairment analysis is performed after grouping our loans into seven strata based on loan type which represents the predominant risk characteristics of the underlying loans. The risk factors used to assign loans to strata include the credit score (FICO) of the borrower, the loan to value ratio, the type of asset (mortgage or non-mortgage) and the default risk. Our strata include:</w:t>
      </w:r>
    </w:p>
    <w:p>
      <w:pPr>
        <w:spacing w:after="0" w:line="158" w:lineRule="exact"/>
        <w:rPr>
          <w:sz w:val="20"/>
          <w:szCs w:val="20"/>
          <w:color w:val="auto"/>
        </w:rPr>
      </w:pPr>
    </w:p>
    <w:p>
      <w:pPr>
        <w:ind w:left="440" w:hanging="430"/>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w:t>
      </w:r>
    </w:p>
    <w:p>
      <w:pPr>
        <w:ind w:left="440" w:hanging="430"/>
        <w:spacing w:after="0" w:line="23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 A</w:t>
      </w:r>
    </w:p>
    <w:p>
      <w:pPr>
        <w:ind w:left="440" w:hanging="430"/>
        <w:spacing w:after="0" w:line="23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High-loan-to-value</w:t>
      </w:r>
    </w:p>
    <w:p>
      <w:pPr>
        <w:ind w:left="440" w:hanging="430"/>
        <w:spacing w:after="0" w:line="23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Re-performing</w:t>
      </w:r>
    </w:p>
    <w:p>
      <w:pPr>
        <w:ind w:left="440" w:hanging="430"/>
        <w:spacing w:after="0" w:line="23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servicing</w:t>
      </w:r>
    </w:p>
    <w:p>
      <w:pPr>
        <w:ind w:left="440" w:hanging="430"/>
        <w:spacing w:after="0" w:line="23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Non-residential mortgage</w:t>
      </w:r>
    </w:p>
    <w:p>
      <w:pPr>
        <w:ind w:left="440" w:hanging="430"/>
        <w:spacing w:after="0" w:line="23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FEES AND ADVANCES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earn fees for servicing mortgage loans. We collect servicing fees, generally expressed as a percent of the unpaid principal balance, from the borrowers' payments. We also include late fees, prepayment penalties, float income and other ancillary fees in servicing income. During any period in which the borrower is not making payments, certain servicing agreements require that we advance our own funds to meet contractual principal and interest remittance requirements for certain investors, pay property taxes and insurance premiums and process foreclosures. We are entitled to recover advances from borrowers for reinstated and performing loans and from investors for foreclosed loans. We record a charge to earnings to the extent that advances are uncollectible under provisions of the servicing contracts, taking into consideration historical loss and delinquency experience, length of delinquency and the amount of the advance.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 report the excess of purchase price over net assets of acquired businesses ("goodwill") at cost. We review the carrying value of goodwill at least annually for impairment.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performing our impairment analyses for goodwill and other intangibles, we use an approach based on fair value of the assets and liabilities. We perform this analysis using projections of future income discounted at a market rate. The determination of market discount rates is subjective and may vary by product based on the nature of the underlying business, stage of development and sales to date.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58" w:name="page59"/>
    <w:bookmarkEnd w:id="5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 report premises and equipment at cost</w:t>
            </w:r>
          </w:p>
        </w:tc>
        <w:tc>
          <w:tcPr>
            <w:tcW w:w="2860" w:type="dxa"/>
            <w:vAlign w:val="bottom"/>
          </w:tcPr>
          <w:p>
            <w:pPr>
              <w:ind w:left="60"/>
              <w:spacing w:after="0"/>
              <w:rPr>
                <w:sz w:val="20"/>
                <w:szCs w:val="20"/>
                <w:color w:val="auto"/>
              </w:rPr>
            </w:pPr>
            <w:r>
              <w:rPr>
                <w:rFonts w:ascii="Courier New" w:cs="Courier New" w:eastAsia="Courier New" w:hAnsi="Courier New"/>
                <w:sz w:val="15"/>
                <w:szCs w:val="15"/>
                <w:color w:val="auto"/>
                <w:w w:val="96"/>
              </w:rPr>
              <w:t>and, except for land, depreciate</w:t>
            </w:r>
          </w:p>
        </w:tc>
      </w:tr>
      <w:tr>
        <w:trPr>
          <w:trHeight w:val="168"/>
        </w:trPr>
        <w:tc>
          <w:tcPr>
            <w:tcW w:w="3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them over their estimated useful lives on the</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6"/>
              </w:rPr>
              <w:t>straight-line method as follows:</w:t>
            </w:r>
          </w:p>
        </w:tc>
      </w:tr>
      <w:tr>
        <w:trPr>
          <w:trHeight w:val="336"/>
        </w:trPr>
        <w:tc>
          <w:tcPr>
            <w:tcW w:w="3500" w:type="dxa"/>
            <w:vAlign w:val="bottom"/>
          </w:tcPr>
          <w:p>
            <w:pPr>
              <w:ind w:left="620"/>
              <w:spacing w:after="0"/>
              <w:rPr>
                <w:sz w:val="20"/>
                <w:szCs w:val="20"/>
                <w:color w:val="auto"/>
              </w:rPr>
            </w:pPr>
            <w:r>
              <w:rPr>
                <w:rFonts w:ascii="Courier New" w:cs="Courier New" w:eastAsia="Courier New" w:hAnsi="Courier New"/>
                <w:sz w:val="15"/>
                <w:szCs w:val="15"/>
                <w:color w:val="auto"/>
              </w:rPr>
              <w:t>Buildings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286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Land improvements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Office equipment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Computer hardware and software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 maximum of 10 years but not to</w:t>
            </w:r>
          </w:p>
        </w:tc>
      </w:tr>
      <w:tr>
        <w:trPr>
          <w:trHeight w:val="168"/>
        </w:trPr>
        <w:tc>
          <w:tcPr>
            <w:tcW w:w="3500" w:type="dxa"/>
            <w:vAlign w:val="bottom"/>
          </w:tcPr>
          <w:p>
            <w:pPr>
              <w:spacing w:after="0"/>
              <w:rPr>
                <w:sz w:val="14"/>
                <w:szCs w:val="14"/>
                <w:color w:val="auto"/>
              </w:rPr>
            </w:pPr>
          </w:p>
        </w:tc>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exceed the term of the lease.</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SOLD UNDER AGREEMENTS TO REPURCHASE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periodically enter into sales of assets, such as securities and loans, under agreements to repurchase the same assets. We report repurchase agreements as collateralized financings and report the obligations to repurchase assets sold as a liability in our consolidated balance sheet. We report all assets underlying repurchase agreements as assets in our consolidated balance sheet. Custodians hold the securities in safekeeping.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record all of our derivative instruments in the balance sheet at fair value. We record changes in the fair value of derivatives each period in income or other comprehensive income, depending on whether a derivative is designated as part of a hedge transaction and, if it is, depending on the type of hedge transaction and the effectiveness of the hedge. For hedge transactions of net investments in foreign operations, we record the effective portions of the changes in fair value as a component of accumulated other comprehensive income in stockholders' equity. For cash-flow hedge transactions in which we hedge the variability of cash flows related to a variable-rate asset, liability or a forecasted transaction, we report the effective portions of the changes in the fair value in other comprehensive income. The gains and losses reported in other comprehensive income are reclassified to income in the periods in which earnings are impacted by the variability of the cash flows of the hedged item.</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account for all other derivative instruments used for risk management purposes that do not meet the hedge accounting criteria at fair value with changes in fair value generally recorded in other income (expense), net. We recognize the ineffective portions of all hedges in our current period earnings and report them as a component of other income (expense), net.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 the functional currency is not the U.S. dollar, we translate assets and liabilities of foreign entities into U.S. dollars at the current rate of exchange existing at the balance sheet date and revenues and expenses at average monthly rates. We include the resulting translation adjustments as a component of accumulated other comprehensive income in stockholders' equity. Where the functional currency of a foreign entity is the U.S. dollar, re-measurement adjustments are included in the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file consolidated Federal income tax returns with our subsidiaries. Consolidated income tax is allocated among the subsidiaries participating in the consolidated return as if each subsidiary that has one or more subsidiaries filed its own consolidated return and those with no subsidiaries filed separate returns.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 that, more likely than not, will not be realized.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59" w:name="page60"/>
    <w:bookmarkEnd w:id="5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EARNINGS PER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using the treasury stock method which assumes that the proceeds from such issuance are used to repurchase common shares at fair value. If we incur a net loss for the period, we exclude common stock equivalents from the diluted calculation since the common stock equivalents would be antidilutive. Beginning in 2004, the computation of diluted earnings per share also includes the potential shares of converted common stock associated with the 3.25% Convertible Notes that we issued in July 2004 using the if-converted method. Under the if-converted method, the convertible notes are assumed to have been converted, regardless of whether any of the contingent features have been met, and the resulting shares are included in the denominator (if dilutive). Interest expense applicable to the Convertible Notes, net of tax, is added back to the numerator (i.e. net income), for purposes of computing diluted earnings per share.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advances, servicing rights, intangibles and the deferred tax asset.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currently account for stock-based compensation under the intrinsic value method set forth in Accounting Principles Board ("APB") Opinion No. 25, "Accounting for Stock Issued to Employees" and related interpretations. As discussed in the "Current Accounting Pronouncements" section below, the FASB issued a revision of SFAS No. 123, "Accounting for Stock-Based Compensation", in December 2004, which supersedes APB Opinion No. 25 and is effective January 1, 2006.</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maintain stock-based compensation plans that provide for the granting of stock and stock options to our employees and directors. As indicated above, we account for our stock option plans based on the intrinsic value method set forth in APB Opinion No. 25 and related Interpretations, under which no compensation cost has been recognized, except with respect to stock options that are granted with an exercise price that is less than the fair value of our stock at the date of the grant. We generally grant stock options to employees at an exercise price that is less than the price of our stock at the date of the grant. The following table presents net income, basic and diluted earnings per share as reported and pro forma net income and pro forma earnings per share. We have determined pro forma amounts by assuming that compensation costs for our stock option plans had been determined based on the fair value at the grant dates for awards under those plans granted after December 31, 1994, consistent with the method described by SFAS No. 123.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440" w:gutter="0" w:footer="0" w:header="0"/>
        </w:sectPr>
      </w:pPr>
    </w:p>
    <w:bookmarkStart w:id="60" w:name="page61"/>
    <w:bookmarkEnd w:id="60"/>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2005, 2004 AND 2003</w:t>
      </w:r>
    </w:p>
    <w:tbl>
      <w:tblPr>
        <w:tblLayout w:type="fixed"/>
        <w:tblInd w:w="0" w:type="dxa"/>
        <w:tblCellMar>
          <w:top w:w="0" w:type="dxa"/>
          <w:left w:w="0" w:type="dxa"/>
          <w:bottom w:w="0" w:type="dxa"/>
          <w:right w:w="0" w:type="dxa"/>
        </w:tblCellMar>
      </w:tblPr>
      <w:tr>
        <w:trPr>
          <w:trHeight w:val="168"/>
        </w:trPr>
        <w:tc>
          <w:tcPr>
            <w:tcW w:w="6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16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Ended December 31,</w:t>
            </w:r>
          </w:p>
        </w:tc>
        <w:tc>
          <w:tcPr>
            <w:tcW w:w="780" w:type="dxa"/>
            <w:vAlign w:val="bottom"/>
          </w:tcPr>
          <w:p>
            <w:pPr>
              <w:spacing w:after="0"/>
              <w:rPr>
                <w:sz w:val="24"/>
                <w:szCs w:val="24"/>
                <w:color w:val="auto"/>
              </w:rPr>
            </w:pPr>
          </w:p>
        </w:tc>
      </w:tr>
      <w:tr>
        <w:trPr>
          <w:trHeight w:val="168"/>
        </w:trPr>
        <w:tc>
          <w:tcPr>
            <w:tcW w:w="6220" w:type="dxa"/>
            <w:vAlign w:val="bottom"/>
          </w:tcPr>
          <w:p>
            <w:pPr>
              <w:spacing w:after="0"/>
              <w:rPr>
                <w:sz w:val="14"/>
                <w:szCs w:val="14"/>
                <w:color w:val="auto"/>
              </w:rPr>
            </w:pPr>
          </w:p>
        </w:tc>
        <w:tc>
          <w:tcPr>
            <w:tcW w:w="37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2005</w:t>
            </w:r>
          </w:p>
        </w:tc>
        <w:tc>
          <w:tcPr>
            <w:tcW w:w="2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2003</w:t>
            </w:r>
          </w:p>
        </w:tc>
      </w:tr>
      <w:tr>
        <w:trPr>
          <w:trHeight w:val="168"/>
        </w:trPr>
        <w:tc>
          <w:tcPr>
            <w:tcW w:w="622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income (loss) as reported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15,065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57,724</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 stock-based compensation expense included in reported net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net of tax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823</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6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Deduct total stock-based employee compensation expense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determined under fair value based method for all awards, net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tax .........................................................</w:t>
            </w:r>
          </w:p>
        </w:tc>
        <w:tc>
          <w:tcPr>
            <w:tcW w:w="4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(1,193)</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(1,559)</w:t>
            </w:r>
          </w:p>
        </w:tc>
      </w:tr>
      <w:tr>
        <w:trPr>
          <w:trHeight w:val="168"/>
        </w:trPr>
        <w:tc>
          <w:tcPr>
            <w:tcW w:w="622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 forma net income (loss)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14,434</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55,879</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4,010</w:t>
            </w:r>
          </w:p>
        </w:tc>
      </w:tr>
      <w:tr>
        <w:trPr>
          <w:trHeight w:val="168"/>
        </w:trPr>
        <w:tc>
          <w:tcPr>
            <w:tcW w:w="622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As reported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0.24</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0.88</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 forma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0.85</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As reported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0.24</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0.82</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6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 forma ..........................................................</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0.80</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bl>
    <w:p>
      <w:pPr>
        <w:spacing w:after="0" w:line="34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estimate the fair value of our option grants using the Black-Scholes option-pricing model with the following assumptions: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2005</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62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 ..............................................</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stock price volatility ......................................</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 ..............................................</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 .............................................</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 years</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 years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 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ACCOUNTING PRONOUNCEMENTS</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SFAS No. 123(R), "Share-Based Payment" and Staff Accounting Bulletin No. 107 (SAB 107),"Share-Based Payment". SFAS 123(R) was issued by the Financial Accounting Standards Board ("FASB") in December 2004 and is a revision of SFAS</w:t>
      </w:r>
    </w:p>
    <w:p>
      <w:pPr>
        <w:spacing w:after="0" w:line="1" w:lineRule="exact"/>
        <w:rPr>
          <w:sz w:val="20"/>
          <w:szCs w:val="20"/>
          <w:color w:val="auto"/>
        </w:rPr>
      </w:pPr>
    </w:p>
    <w:p>
      <w:pPr>
        <w:ind w:right="3399" w:firstLine="10"/>
        <w:spacing w:after="0" w:line="235" w:lineRule="auto"/>
        <w:tabs>
          <w:tab w:leader="none" w:pos="4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this Statement also supersedes APB Opinion No. 25 and amends FASB Statement No. 95, "Statement of Cash Flows". SFAS 123R is effective beginning on January 1, 2006.</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permitted by SFAS No. 123, we currently follow the guidance of APB Opinion No. 25, which provides for accounting for share-based compensation to employees and directors using the intrinsic value method and recognizing compensation costs for such stock options to the extent that the exercise price is less than the price of the stock at the grant date. SFAS No. 123 (R) requires a public entity to measure the cost of employee services received in exchange for an award of equity instruments based on the grant-date fair value of the award (with limited exceptions) measured using either the Black-Scholes or lattice (binomial) option pricing model. That cost will be recognized over the period during which an employee is required to provide service in exchange for the award - the requisite service period (usually the vesting period).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elected to apply the modified prospective transition method upon adoption of SFAS 123(R). As a result, we will be required to recognize additional compensation expense for the years 2006 through 2009 related to the unvested portion of stock options granted for the years 2002 through 2005 net of estimated future forfeitures. We have also determined that awards we have granted to date will be classified as equity awards. Therefore, the fair value of these awards will not be re-measured after our initial estimation on the grant date. Our adoption of SFAS No. 123(R) did not have a significant impact on our consolidated financial statements.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Earnings Per Share - An Amendment of SFAS No. 128. The FASB has decided to defer the issuance of a final standard on EPS until the first quarter of 2006. When issued, the provisions of the final standard are expected to be effective for interim and annual periods ending after June 15, 2006 and require retrospective application for all prior periods presented. When computing diluted EPS for year-to-date periods, it is expected that companies will be required to use the year-to-date average stock price to compute the number of treasury shares that could theoretically be purchased with the proceeds from exercise of share contracts such as options or warrants. The year-to-date computation would be performed independently from the quarterly computations. The old method required companies to calculate an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517" w:gutter="0" w:footer="0" w:header="0"/>
        </w:sectPr>
      </w:pPr>
    </w:p>
    <w:bookmarkStart w:id="61" w:name="page62"/>
    <w:bookmarkEnd w:id="6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average of the potential incremental common shares computed for each quarter when computing year-to-date incremental shares. This amendment is expected to impact OCN as we use the treasury stock method to determine the number of incremental shares from the assumed exercise of stock options to be included in the denominator of diluted EPS computations. Under the treasury stock method, the proceeds from the assumed exercise of options are assumed to be used to purchase common stock at the average market price during the period. The incremental shares (the difference between the number of shares assumed issued and the number of shares assumed purchased) are included in the denominator of the diluted EPS computation.</w:t>
      </w:r>
    </w:p>
    <w:p>
      <w:pPr>
        <w:spacing w:after="0" w:line="179"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Statement of Position 03-3, "Accounting for Certain Loans for Debt Securities Acquired in a Transfer" ("SOP 03-3"). This statement was issued by the Accounting Standards Executive Committee of the American Institute of Certified Public Accountants in December 2003 and requires that acquired impaired loans for which it is probable that the investor will be unable to collect all contractually required payments receivable to be recorded at the present value of expected cash flows. Under SOP 03-3, it is not appropriate to create or carry over a valuation allowance at the time of acquisition. SOP 03-3 was issued in December 2003 and is effective for loans acquired on or after January 1, 2005. SOP 03-3 does not apply to mortgage loans classified as held for sale. The application of SOP 03-3 did not have a significant impact on our consolidated financial statements.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SFAS No. 155, "Accounting for Certain Hybrid Financial Instruments." In February 2006, FASB issued SFAS No. 155 as an amendment to SFAS No. 133 and SFAS No. 140. SFAS No. 155 allows financial instruments that have embedded derivatives to be accounted for as a whole (eliminating the need to bifurcate the derivative from its host) if the holder elects to account for the whole instrument on a fair value basis. The standard also: a) Clarifies which interest-only strips and principal-only strips are not subject to the requirements of Statement 133; b) Establishes a requirement to evaluate interests in securitized financial assets to identify interests that are freestanding derivatives or that are hybrid financial instruments that contain an embedded derivative requiring bifurcation; c) Clarifies that concentrations of credit risk in the form of subordination are not embedded derivatives; and d) Amends Statement 140 to eliminate the prohibition on a qualifying special-purpose entity from holding a derivative financial instrument that pertains to a beneficial interest other than another derivative financial instrument.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SFAS No. 155 is effective for all financial instruments acquired or issued after the beginning of an entity's first fiscal year that begins after September 15, 2006. Earlier adoption is permitted as of the beginning of an entity's fiscal year, provided the entity has not yet issued financial statements, including financial statements for any interim period for that fiscal year. We have not yet determined the financial impact of the adoption of SFAS No. 155 or whether we will adopt SFAS No. 155 in 2006.</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SFAS No. 156, "Accounting for Servicing of Financial Assets-an amendment of FASB Statement No. 140". FASB issued SFAS No. 156 in March 2006 as an amendment to SFAS No. 140, "Accounting for Transfers and Servicing of Financial Assets and Extinguishments of Liabilities", with respect to the accounting for separately recognized servicing assets and liabilities. Recognition of a servicing asset or liability would be required each time an entity commits to service a financial asset through a servicing contract that: a) represents a transfer of the servicer's financial assets that meets the requirements for sale accounting, b) represents a transfer of the servicer's financial assets to a qualifying special-purpose entity in a guaranteed mortgage securitization in which the transferor retains all of the resulting securities and classifies them as either available-for-sale securities or trading securities in accordance with SFAS 115. "Accounting for Certain Investments in Debt and Equity Securities", or c) represents an acquisition or assumption of an obligation to service a financial asset that does not relate to financial assets of the servicer or its consolidated affiliates.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SFAS 156 also requires all separately recognized servicing assets and liabilities to be initially measured at fair value, if practicable, and allows an entity to chose from two subsequent measurement methods for each class of separately recognized servicing assets and liabilities. The two methods are: a) the amortization method which amortizes servicing assets or liabilities in proportion to and over the period of estimated net servicing income or net servicing loss and assesses servicing assets or liabilities for impairment or increased obligation based on fair value at each reporting date, and b) the fair value measurement method which measures servicing assets or liabilities at fair value each reporting date and reports changes in fair value in earnings in the period in which the changes occur.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prospective application of SFAS 156 is required as of the beginning of an entity's first fiscal year that begins after September 15, 2006. Earlier adoption is allowed as of the beginning of an entity's fiscal year, provided the entity has not yet issued financial statements, including interim financial statements, for any period of that fiscal year. We have not yet determined which subsequent measurement method we will adopt or whether that adoption will occur effective January 1, 2006 or January 1, 2007. As of December 31, 2005, the fair value of our mortgage servicing rights was $183,755 as compared to a carrying value of $148,663.</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0" w:gutter="0" w:footer="0" w:header="0"/>
        </w:sectPr>
      </w:pPr>
    </w:p>
    <w:bookmarkStart w:id="62" w:name="page63"/>
    <w:bookmarkEnd w:id="6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FAIR VALUE OF FINANCIAL INSTRUMENTS</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fair values reflect the interest rate environments as of December 31, 2005 and 2004. In different interest rate environments, fair value results can differ, especially for certain fixed-rate financial instruments and non-accrual assets. The methodologies used and key assumptions made to estimate fair value, the estimated fair values determined and recorded carrying values follow:</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SECURITIES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adjust our securities portfolio to fair value based on third party dealer quotations, where available, and internal values, subject to an internal review process. For those securities that do not have an available market quotation we request market values and underlying assumptions from various securities dealers.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HELD FOR RESALE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value advances we make on loans we service for others at their carrying amounts because they have no stated maturity, generally are realized within a relatively short period of time and do not bear interest.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carrying value of receivables approximates fair value because of the relatively short period of time between their origination and realization. Certain long-term receivables are carried at a discounted value that we believe approximates fair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base the fair value of our debt securities on quoted market prices. The fair value of our other borrowings, including match funded liabilities and obligations outstanding under lines of credit, approximates carrying value because these borrowings are either short-term or bear interest at a rate that is adjusted regularly based on a market index.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We base the fair values of our derivative financial instruments on quoted market prices.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17" w:right="1440" w:bottom="1440" w:gutter="0" w:footer="0" w:header="0"/>
        </w:sectPr>
      </w:pPr>
    </w:p>
    <w:bookmarkStart w:id="63" w:name="page64"/>
    <w:bookmarkEnd w:id="63"/>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carrying amounts and the estimated fair values of our financial instruments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December 31, 2005</w:t>
            </w:r>
          </w:p>
        </w:tc>
        <w:tc>
          <w:tcPr>
            <w:tcW w:w="260" w:type="dxa"/>
            <w:vAlign w:val="bottom"/>
          </w:tcPr>
          <w:p>
            <w:pPr>
              <w:spacing w:after="0"/>
              <w:rPr>
                <w:sz w:val="14"/>
                <w:szCs w:val="14"/>
                <w:color w:val="auto"/>
              </w:rPr>
            </w:pPr>
          </w:p>
        </w:tc>
        <w:tc>
          <w:tcPr>
            <w:tcW w:w="22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 2004</w:t>
            </w:r>
          </w:p>
        </w:tc>
      </w:tr>
      <w:tr>
        <w:trPr>
          <w:trHeight w:val="168"/>
        </w:trPr>
        <w:tc>
          <w:tcPr>
            <w:tcW w:w="48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0"/>
                <w:szCs w:val="10"/>
                <w:color w:val="auto"/>
                <w:w w:val="71"/>
              </w:rPr>
              <w: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Carrying</w:t>
            </w:r>
          </w:p>
        </w:tc>
        <w:tc>
          <w:tcPr>
            <w:tcW w:w="260" w:type="dxa"/>
            <w:vAlign w:val="bottom"/>
          </w:tcPr>
          <w:p>
            <w:pPr>
              <w:spacing w:after="0"/>
              <w:rPr>
                <w:sz w:val="14"/>
                <w:szCs w:val="14"/>
                <w:color w:val="auto"/>
              </w:rPr>
            </w:pP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w:t>
            </w:r>
          </w:p>
        </w:tc>
        <w:tc>
          <w:tcPr>
            <w:tcW w:w="2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Carrying</w:t>
            </w:r>
          </w:p>
        </w:tc>
        <w:tc>
          <w:tcPr>
            <w:tcW w:w="36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Value</w:t>
            </w:r>
          </w:p>
        </w:tc>
        <w:tc>
          <w:tcPr>
            <w:tcW w:w="260" w:type="dxa"/>
            <w:vAlign w:val="bottom"/>
          </w:tcPr>
          <w:p>
            <w:pPr>
              <w:spacing w:after="0"/>
              <w:rPr>
                <w:sz w:val="14"/>
                <w:szCs w:val="14"/>
                <w:color w:val="auto"/>
              </w:rPr>
            </w:pP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Value</w:t>
            </w:r>
          </w:p>
        </w:tc>
        <w:tc>
          <w:tcPr>
            <w:tcW w:w="36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31,962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31,962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125,742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125,742</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Loans held for resale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624,671</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624,671</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8,437</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8,437</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Match funded assets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377,105</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377,105</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280,760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280,760</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Advances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219,716</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219,716</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240,430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240,430</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68,266</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68,266</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126,719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126,719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liabilities: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Match funded liabilities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339,292</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339,292</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244,327</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244,327</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626,448</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626,448</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50,612</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Debt securities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154,329</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151,028</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231,249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228,003</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Deposits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290,507</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292,896</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Escrow deposits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86,084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86,084</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financial instruments, net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1,268</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1,268</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505"/>
        </w:trPr>
        <w:tc>
          <w:tcPr>
            <w:tcW w:w="4820" w:type="dxa"/>
            <w:vAlign w:val="bottom"/>
          </w:tcPr>
          <w:p>
            <w:pPr>
              <w:spacing w:after="0"/>
              <w:rPr>
                <w:sz w:val="20"/>
                <w:szCs w:val="20"/>
                <w:color w:val="auto"/>
              </w:rPr>
            </w:pPr>
            <w:r>
              <w:rPr>
                <w:rFonts w:ascii="Courier New" w:cs="Courier New" w:eastAsia="Courier New" w:hAnsi="Courier New"/>
                <w:sz w:val="15"/>
                <w:szCs w:val="15"/>
                <w:color w:val="auto"/>
              </w:rPr>
              <w:t>NOTE 3 TRADING SECURITIES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w w:val="98"/>
              </w:rPr>
              <w:t>Trading securities are as follows at December 31:</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24"/>
                <w:szCs w:val="2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grade:</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U.S. Treasury note ................................</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1,594</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Collateralized mortgage obligations (AAA-rated)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81,466</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Bonds and debentures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1,685</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3,155</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86,215</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Subordinates and residuals: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BB-rated subordinates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256</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B-rated subordinates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435</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Unrated subordinates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Unrated subprime residuals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27,024</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35,276</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27,748</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36,184</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Commercial unrated subordinates ...................</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2,529</w:t>
            </w:r>
          </w:p>
        </w:tc>
        <w:tc>
          <w:tcPr>
            <w:tcW w:w="26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3,343</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30,277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39,527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 profile of the maturities of our trading securities at December 31, 2005 follows. Mortgage-backed securities are included based on their weighted-average maturities reflecting anticipated future prepayments.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Investment Grade Securities</w:t>
            </w:r>
          </w:p>
        </w:tc>
        <w:tc>
          <w:tcPr>
            <w:tcW w:w="24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Subordinates and Residuals</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Weighted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Yield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Fair Value</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Yield</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Fair Value</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Due within one year ................................</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1.95%  $</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653</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9,828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0"/>
              </w:rPr>
              <w:t>Due after 1 through 5 years ........................</w:t>
            </w:r>
          </w:p>
        </w:tc>
        <w:tc>
          <w:tcPr>
            <w:tcW w:w="2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22.18</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14,518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0"/>
              </w:rPr>
              <w:t>Due after 5 through 10 years .......................</w:t>
            </w:r>
          </w:p>
        </w:tc>
        <w:tc>
          <w:tcPr>
            <w:tcW w:w="2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0"/>
              </w:rPr>
              <w:t>Due after 10 years .................................</w:t>
            </w:r>
          </w:p>
        </w:tc>
        <w:tc>
          <w:tcPr>
            <w:tcW w:w="2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28.96</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1,685</w:t>
            </w:r>
          </w:p>
        </w:tc>
        <w:tc>
          <w:tcPr>
            <w:tcW w:w="1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30,277</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880" w:type="dxa"/>
            <w:vAlign w:val="bottom"/>
          </w:tcPr>
          <w:p>
            <w:pPr>
              <w:jc w:val="right"/>
              <w:ind w:right="2467"/>
              <w:spacing w:after="0"/>
              <w:rPr>
                <w:sz w:val="20"/>
                <w:szCs w:val="20"/>
                <w:color w:val="auto"/>
              </w:rPr>
            </w:pPr>
            <w:r>
              <w:rPr>
                <w:rFonts w:ascii="Courier New" w:cs="Courier New" w:eastAsia="Courier New" w:hAnsi="Courier New"/>
                <w:sz w:val="15"/>
                <w:szCs w:val="15"/>
                <w:color w:val="auto"/>
                <w:w w:val="88"/>
              </w:rPr>
              <w:t>F-18</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4" w:name="page65"/>
    <w:bookmarkEnd w:id="64"/>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Realized and unrealized gains on trading and match funded securities for the years ended December 31 were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2005</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gains (losses):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3,226</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Match funded securities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2,978</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gains: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Trading securities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3,344</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subordinate and residual securities at December 31, 2005, and 2004 include retained interests with a fair value of $1,429 and $907, respectively, from securitizations of loans.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LOANS HELD FOR RESALE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Loans held for resale primarily represent subprime single family residential loans originated or acquired through our Residential Origination Services segment that we intend to sell or securitize. The carrying value of these loans amounted to $624,671 and $8,437 at December 31, 2005 and 2004, respectively. At December 31, 2005, we had entered into commitments to sell $18,587 of these loans. The balance at December 31, 2005 is net of a market valuation reserve of $7,659. Loans with a carrying value of $469,937 at December 31, 2005 were acquired in the fourth quarter of 2005 and securitized in February 2006. Loans held for resale at December 31, 2005 include non-performing loans with a carrying value of $10,857.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MATCH FUNDED ASSETS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match funded assets are comprised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496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Advances on residential loans serviced for others: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 and interest ............................</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$ 174,252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$ 107,102</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Taxes and insurance ...............................</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129,700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107,710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73,153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61,814</w:t>
            </w:r>
          </w:p>
        </w:tc>
      </w:tr>
      <w:tr>
        <w:trPr>
          <w:trHeight w:val="168"/>
        </w:trPr>
        <w:tc>
          <w:tcPr>
            <w:tcW w:w="496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377,105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276,626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Commercial loans ......................................</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4,134</w:t>
            </w:r>
          </w:p>
        </w:tc>
      </w:tr>
      <w:tr>
        <w:trPr>
          <w:trHeight w:val="168"/>
        </w:trPr>
        <w:tc>
          <w:tcPr>
            <w:tcW w:w="496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$ 377,105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$ 280,760</w:t>
            </w:r>
          </w:p>
        </w:tc>
      </w:tr>
      <w:tr>
        <w:trPr>
          <w:trHeight w:val="168"/>
        </w:trPr>
        <w:tc>
          <w:tcPr>
            <w:tcW w:w="496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Match funded advances are owned by special purpose entities and are, therefore, not available to satisfy claims of general creditors. We retain control of the advances and therefore the transfers do not qualify as a sale for accounting purposes. As a result, the proceeds we received from the transfer are reported as a secured borrowing with pledge of collateral (match funded liabilities) in our consolidated balance sheet.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ADVANCES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During any period in which the borrower is not making payments, we are required under certain servicing agreements to advance our own funds to meet contractual principal and interest remittance requirements for investors, pay property taxes and insurance premiums and process foreclosures. Advances on loans serviced for others and loans we own consisted of the following at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3340" w:type="dxa"/>
            <w:vAlign w:val="bottom"/>
          </w:tcPr>
          <w:p>
            <w:pPr>
              <w:spacing w:after="0"/>
              <w:rPr>
                <w:sz w:val="14"/>
                <w:szCs w:val="14"/>
                <w:color w:val="auto"/>
              </w:rPr>
            </w:pPr>
          </w:p>
        </w:tc>
        <w:tc>
          <w:tcPr>
            <w:tcW w:w="2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Residential loans serviced for others:</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Principal and interest ............................</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40,506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51,782</w:t>
            </w:r>
          </w:p>
        </w:tc>
      </w:tr>
      <w:tr>
        <w:trPr>
          <w:trHeight w:val="168"/>
        </w:trPr>
        <w:tc>
          <w:tcPr>
            <w:tcW w:w="52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Taxes and insurance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98,622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94,926</w:t>
            </w:r>
          </w:p>
        </w:tc>
      </w:tr>
      <w:tr>
        <w:trPr>
          <w:trHeight w:val="168"/>
        </w:trPr>
        <w:tc>
          <w:tcPr>
            <w:tcW w:w="52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77,228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93,375</w:t>
            </w:r>
          </w:p>
        </w:tc>
      </w:tr>
      <w:tr>
        <w:trPr>
          <w:trHeight w:val="168"/>
        </w:trPr>
        <w:tc>
          <w:tcPr>
            <w:tcW w:w="3340" w:type="dxa"/>
            <w:vAlign w:val="bottom"/>
          </w:tcPr>
          <w:p>
            <w:pPr>
              <w:spacing w:after="0"/>
              <w:rPr>
                <w:sz w:val="14"/>
                <w:szCs w:val="14"/>
                <w:color w:val="auto"/>
              </w:rPr>
            </w:pPr>
          </w:p>
        </w:tc>
        <w:tc>
          <w:tcPr>
            <w:tcW w:w="2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216,356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240,083</w:t>
            </w:r>
          </w:p>
        </w:tc>
      </w:tr>
      <w:tr>
        <w:trPr>
          <w:trHeight w:val="168"/>
        </w:trPr>
        <w:tc>
          <w:tcPr>
            <w:tcW w:w="52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Loans and loans held for resale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3340" w:type="dxa"/>
            <w:vAlign w:val="bottom"/>
          </w:tcPr>
          <w:p>
            <w:pPr>
              <w:spacing w:after="0"/>
              <w:rPr>
                <w:sz w:val="14"/>
                <w:szCs w:val="14"/>
                <w:color w:val="auto"/>
              </w:rPr>
            </w:pPr>
          </w:p>
        </w:tc>
        <w:tc>
          <w:tcPr>
            <w:tcW w:w="2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219,716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$ 240,430</w:t>
            </w:r>
          </w:p>
        </w:tc>
      </w:tr>
      <w:tr>
        <w:trPr>
          <w:trHeight w:val="168"/>
        </w:trPr>
        <w:tc>
          <w:tcPr>
            <w:tcW w:w="3340" w:type="dxa"/>
            <w:vAlign w:val="bottom"/>
          </w:tcPr>
          <w:p>
            <w:pPr>
              <w:spacing w:after="0"/>
              <w:rPr>
                <w:sz w:val="14"/>
                <w:szCs w:val="14"/>
                <w:color w:val="auto"/>
              </w:rPr>
            </w:pPr>
          </w:p>
        </w:tc>
        <w:tc>
          <w:tcPr>
            <w:tcW w:w="2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192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88"/>
              </w:rPr>
              <w:t>F-19</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5" w:name="page66"/>
    <w:bookmarkEnd w:id="6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Advances on loans serviced for others are net of reserves of $570 and</w:t>
      </w:r>
    </w:p>
    <w:p>
      <w:pPr>
        <w:spacing w:after="0" w:line="237" w:lineRule="auto"/>
        <w:rPr>
          <w:sz w:val="20"/>
          <w:szCs w:val="20"/>
          <w:color w:val="auto"/>
        </w:rPr>
      </w:pPr>
      <w:r>
        <w:rPr>
          <w:rFonts w:ascii="Courier New" w:cs="Courier New" w:eastAsia="Courier New" w:hAnsi="Courier New"/>
          <w:sz w:val="15"/>
          <w:szCs w:val="15"/>
          <w:color w:val="auto"/>
        </w:rPr>
        <w:t>$5,212 at December 31, 2005 and 2004, respectively. The $5,212 of reserves at</w:t>
      </w:r>
    </w:p>
    <w:p>
      <w:pPr>
        <w:spacing w:after="0" w:line="238" w:lineRule="auto"/>
        <w:rPr>
          <w:sz w:val="20"/>
          <w:szCs w:val="20"/>
          <w:color w:val="auto"/>
        </w:rPr>
      </w:pPr>
      <w:r>
        <w:rPr>
          <w:rFonts w:ascii="Courier New" w:cs="Courier New" w:eastAsia="Courier New" w:hAnsi="Courier New"/>
          <w:sz w:val="15"/>
          <w:szCs w:val="15"/>
          <w:color w:val="auto"/>
        </w:rPr>
        <w:t>December 31, 2004 included $4,115 related to the remaining balance of</w:t>
      </w:r>
    </w:p>
    <w:p>
      <w:pPr>
        <w:spacing w:after="0" w:line="237" w:lineRule="auto"/>
        <w:rPr>
          <w:sz w:val="20"/>
          <w:szCs w:val="20"/>
          <w:color w:val="auto"/>
        </w:rPr>
      </w:pPr>
      <w:r>
        <w:rPr>
          <w:rFonts w:ascii="Courier New" w:cs="Courier New" w:eastAsia="Courier New" w:hAnsi="Courier New"/>
          <w:sz w:val="15"/>
          <w:szCs w:val="15"/>
          <w:color w:val="auto"/>
        </w:rPr>
        <w:t>forbearance plan fees and multiple breach fees that we were not collecting</w:t>
      </w:r>
    </w:p>
    <w:p>
      <w:pPr>
        <w:spacing w:after="0" w:line="238" w:lineRule="auto"/>
        <w:rPr>
          <w:sz w:val="20"/>
          <w:szCs w:val="20"/>
          <w:color w:val="auto"/>
        </w:rPr>
      </w:pPr>
      <w:r>
        <w:rPr>
          <w:rFonts w:ascii="Courier New" w:cs="Courier New" w:eastAsia="Courier New" w:hAnsi="Courier New"/>
          <w:sz w:val="15"/>
          <w:szCs w:val="15"/>
          <w:color w:val="auto"/>
        </w:rPr>
        <w:t>directly from borrowers at that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MORTGAGE SERVICING RIGHTS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service residential mortgage loans that we do not own under contractual servicing agreements. We purchase servicing rights from the owners of the mortgages or enter into subservicing agreements with entities that own the servicing rights. The total unpaid principal balance of such loans we serviced for others was $42,779,048 and $34,524,491 at December 31, 2005 and 2004, respectively, and is excluded from our balance sheet. We similarly exclude from our balance sheet funds representing collections of principal and interest we have received from borrowers that are on deposit with an unaffiliated bank. Those funds amounted to $716,904 and $867,884 at December 31, 2005 and 2004, respectively. The rights and obligations of servicing rights are typically specified in an agreement between the various parties to a mortgage securitization transaction. In general, these servicing agreements include guidelines and procedures for servicing the loans, including servicing, remittance and reporting requirements, among other provisions.</w:t>
      </w:r>
    </w:p>
    <w:p>
      <w:pPr>
        <w:spacing w:after="0" w:line="16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following table summarizes the activity in our mortgage servicing rights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2005</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131,409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166,495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171,611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113,946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60,950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88,829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(96,692)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(96,036)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(93,558)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148,663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131,409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166,495</w:t>
            </w:r>
          </w:p>
        </w:tc>
      </w:tr>
      <w:tr>
        <w:trPr>
          <w:trHeight w:val="168"/>
        </w:trPr>
        <w:tc>
          <w:tcPr>
            <w:tcW w:w="3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2005 and 2004, we estimated the fair value of our servicing rights to be $183,755 and $152,148, respectively, by discounting future underlying loan cash flows. As more fully described in Note 1, the more significant assumptions used in the December 31, 2005 valuation include a discount rate of 18%, prepayment speeds ranging from 28% to 51% (depending on loan type), delinquency rates ranging from 0% to 24% (depending on loan type), an interest rate of one-month LIBOR plus 200 basis points for computing the cost of servicing advances and an interest rate equal to the Federal Funds Rate for computing float income.</w:t>
      </w:r>
    </w:p>
    <w:p>
      <w:pPr>
        <w:spacing w:after="0" w:line="178"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At December 31, 2005, the geographic distribution based on the unpaid principal balance of the loans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Amount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 of loans</w:t>
            </w:r>
          </w:p>
        </w:tc>
      </w:tr>
      <w:tr>
        <w:trPr>
          <w:trHeight w:val="168"/>
        </w:trPr>
        <w:tc>
          <w:tcPr>
            <w:tcW w:w="23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9,212,741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43,939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 .................</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3,837,526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33,175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3,512,391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2,097,182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28,279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 ................</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1,971,775</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16,794</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(1) ...............</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22,147,433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226,452</w:t>
            </w:r>
          </w:p>
        </w:tc>
      </w:tr>
      <w:tr>
        <w:trPr>
          <w:trHeight w:val="168"/>
        </w:trPr>
        <w:tc>
          <w:tcPr>
            <w:tcW w:w="23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42,779,048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368,802</w:t>
            </w:r>
          </w:p>
        </w:tc>
      </w:tr>
      <w:tr>
        <w:trPr>
          <w:trHeight w:val="168"/>
        </w:trPr>
        <w:tc>
          <w:tcPr>
            <w:tcW w:w="23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hanging="430"/>
        <w:spacing w:after="0" w:line="235"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Consisted of loans in 45 other states, the District of Columbia, three U.S. territories and one foreign country, none of which aggregated over $1,459,184 in any one.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17" w:right="1440" w:bottom="1440" w:gutter="0" w:footer="0" w:header="0"/>
        </w:sectPr>
      </w:pPr>
    </w:p>
    <w:bookmarkStart w:id="66" w:name="page67"/>
    <w:bookmarkEnd w:id="6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RECEIVABLES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Receivables consisted of the following at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08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2005</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Residential Servicing (1)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23,323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24,012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Servicing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Recovery Group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Residential Origination Services (2)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18,497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 Process Outsourcing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Items and Other (3)(4)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21,891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94,643</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68,266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126,719</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hanging="430"/>
        <w:spacing w:after="0" w:line="236" w:lineRule="auto"/>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balances at December 31, 2005 and 2004 include $15,674 and $12,801, respectively, of fees earned from the servicing of loans and real estate. The remaining balance consists largely of reimbursable expenses due from loan servicing investors. The total balance of receivables for this segment is net of reserves of $6,509 and $3,395 at December 31, 2005 and 2004, respectively.</w:t>
      </w:r>
    </w:p>
    <w:p>
      <w:pPr>
        <w:spacing w:after="0" w:line="6" w:lineRule="exact"/>
        <w:rPr>
          <w:rFonts w:ascii="Courier New" w:cs="Courier New" w:eastAsia="Courier New" w:hAnsi="Courier New"/>
          <w:sz w:val="15"/>
          <w:szCs w:val="15"/>
          <w:color w:val="auto"/>
        </w:rPr>
      </w:pPr>
    </w:p>
    <w:p>
      <w:pPr>
        <w:ind w:left="440" w:right="3579" w:hanging="430"/>
        <w:spacing w:after="0" w:line="254" w:lineRule="auto"/>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at December 31, 2005, which is net of reserves of $2,379, consists principally of $4,020 of trade receivables related to our operations of REALTrans and the activities of Ocwen Realty Advisors and $10,751 of uncollected principal and interest related to loans held for resale. The balance at December 31, 2004 consists principally of trade receivables of REALTrans and Ocwen Realty Advisors.</w:t>
      </w:r>
    </w:p>
    <w:p>
      <w:pPr>
        <w:ind w:left="440" w:hanging="430"/>
        <w:spacing w:after="0" w:line="237" w:lineRule="auto"/>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balances at December 31, 2005 and 2004 include receivables totaling</w:t>
      </w:r>
    </w:p>
    <w:p>
      <w:pPr>
        <w:spacing w:after="0" w:line="5" w:lineRule="exact"/>
        <w:rPr>
          <w:rFonts w:ascii="Courier New" w:cs="Courier New" w:eastAsia="Courier New" w:hAnsi="Courier New"/>
          <w:sz w:val="15"/>
          <w:szCs w:val="15"/>
          <w:color w:val="auto"/>
        </w:rPr>
      </w:pPr>
    </w:p>
    <w:p>
      <w:pPr>
        <w:ind w:left="4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$13,160 and $18,308, respectively, that primarily represent payments to be received in future years (through June 2014) of proceeds from the sales of investments in affordable housing properties. These balances are net of unaccreted discounts of $1,530 and $2,346 and reserves for doubtful accounts of $6,150 and $5,596 at December 31, 2005 and 2004, respectively.</w:t>
      </w:r>
    </w:p>
    <w:p>
      <w:pPr>
        <w:spacing w:after="0" w:line="1"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at December 31, 2004 also included $68,463 of income taxes receivable. Income taxes receivable at December 31, 2004 included $63,398 of federal tax refund claims, including $6,872 of accrued interest on the claims. In September 2005, we collected the federal income tax claims which totaled $65,317 including $8,772 of interest.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PREMISES AND EQUIPMENT</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Our premises and equipment are summarized as follows at the dates indicated:</w:t>
      </w:r>
    </w:p>
    <w:tbl>
      <w:tblPr>
        <w:tblLayout w:type="fixed"/>
        <w:tblInd w:w="0" w:type="dxa"/>
        <w:tblCellMar>
          <w:top w:w="0" w:type="dxa"/>
          <w:left w:w="0" w:type="dxa"/>
          <w:bottom w:w="0" w:type="dxa"/>
          <w:right w:w="0" w:type="dxa"/>
        </w:tblCellMar>
      </w:tblP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080" w:type="dxa"/>
            <w:vAlign w:val="bottom"/>
          </w:tcPr>
          <w:p>
            <w:pPr>
              <w:spacing w:after="0"/>
              <w:rPr>
                <w:sz w:val="14"/>
                <w:szCs w:val="14"/>
                <w:color w:val="auto"/>
              </w:rPr>
            </w:pPr>
          </w:p>
        </w:tc>
        <w:tc>
          <w:tcPr>
            <w:tcW w:w="22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2005</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hardware and software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77,675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67,483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19,641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19,641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6,586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 land improvements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8,677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equipment and other ..................</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amortization ...............................</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(82,293)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(76,805)</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40,108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37,440</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Depreciation and other amortization expense amounted to $12,770, $12,312 and $12,406 for 2005, 2004 and 2003, respectively (of which $3,660, $2,925 and $2,455 related to computer software). Building represents our customer service and collection facility in Orlando, Florida, which we have used as collateral for a mortgage note.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67" w:name="page68"/>
    <w:bookmarkEnd w:id="67"/>
    <w:p>
      <w:pPr>
        <w:jc w:val="center"/>
        <w:ind w:right="32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OTHER ASSETS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assets consisted of the following at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08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2005</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6"/>
              </w:rPr>
              <w:t>Deferred tax assets (net of valuation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allowances of $163,802 and $165,927)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20,270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earning collateral deposits (1)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15,164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8,905</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earning debt service accounts (2)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14,798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debt related costs, net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7,505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11,216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and intangibles, net (3)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Real estate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18,732</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Prepaid expenses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Loans (net of allowance of $40 and $4,546)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3,792</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Affordable housing properties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5,641</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5,060</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74,031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88,704</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40" w:hanging="430"/>
        <w:spacing w:after="0" w:line="236" w:lineRule="auto"/>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balances at December 31, 2005 and 2004 include $8,912 and $8,905, respectively, of deposits that were required in order to obtain surety bonds for affordable housing properties that we sold before the end of the fifteen-year tax credit amortization period and on which we have previously claimed tax credits on our income tax returns. The surety bond is required in order to avoid the recapture of those tax credits previously claimed. The balance at December 31, 2005 also includes a $5,000 cash collateral account required under an agreement we entered into in connection with debanking.</w:t>
      </w:r>
    </w:p>
    <w:p>
      <w:pPr>
        <w:spacing w:after="0" w:line="10" w:lineRule="exact"/>
        <w:rPr>
          <w:rFonts w:ascii="Courier New" w:cs="Courier New" w:eastAsia="Courier New" w:hAnsi="Courier New"/>
          <w:sz w:val="15"/>
          <w:szCs w:val="15"/>
          <w:color w:val="auto"/>
        </w:rPr>
      </w:pPr>
    </w:p>
    <w:p>
      <w:pPr>
        <w:ind w:left="440" w:right="3400" w:hanging="430"/>
        <w:spacing w:after="0" w:line="254" w:lineRule="auto"/>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balances at December 31, 2005 and 2004 include amounts set aside from the proceeds of one of our match funded advance facilities to provide for possible shortfalls in the funds available to pay certain expenses and interest. The balance at December 31, 2005 also includes collections on match funded advances related to our other advance facility that were forwarded to the trustee prior to the scheduled payment application date.</w:t>
      </w:r>
    </w:p>
    <w:p>
      <w:pPr>
        <w:spacing w:after="0" w:line="2" w:lineRule="exact"/>
        <w:rPr>
          <w:rFonts w:ascii="Courier New" w:cs="Courier New" w:eastAsia="Courier New" w:hAnsi="Courier New"/>
          <w:sz w:val="14"/>
          <w:szCs w:val="14"/>
          <w:color w:val="auto"/>
        </w:rPr>
      </w:pPr>
    </w:p>
    <w:p>
      <w:pPr>
        <w:jc w:val="both"/>
        <w:ind w:left="440" w:right="3400" w:hanging="430"/>
        <w:spacing w:after="0" w:line="235" w:lineRule="auto"/>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at December 31, 2005 and 2004 included $5,435 of goodwill and intangibles related to the acquisition of our German subsidiary, Bankhaus Oswald Kruber GmbH &amp; Co. KG ("BOK") on September 30, 2004.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MATCH FUNDED LIABILITIES</w:t>
      </w:r>
    </w:p>
    <w:p>
      <w:pPr>
        <w:spacing w:after="0" w:line="173" w:lineRule="exact"/>
        <w:rPr>
          <w:sz w:val="20"/>
          <w:szCs w:val="20"/>
          <w:color w:val="auto"/>
        </w:rPr>
      </w:pPr>
    </w:p>
    <w:p>
      <w:pPr>
        <w:ind w:right="3400" w:firstLine="437"/>
        <w:spacing w:after="0" w:line="236" w:lineRule="auto"/>
        <w:rPr>
          <w:sz w:val="20"/>
          <w:szCs w:val="20"/>
          <w:color w:val="auto"/>
        </w:rPr>
      </w:pPr>
      <w:r>
        <w:rPr>
          <w:rFonts w:ascii="Courier New" w:cs="Courier New" w:eastAsia="Courier New" w:hAnsi="Courier New"/>
          <w:sz w:val="15"/>
          <w:szCs w:val="15"/>
          <w:color w:val="auto"/>
        </w:rPr>
        <w:t>Match funded liabilities are obligations secured by the collateral underlying the related match funded assets, and are repaid through the cash proceeds arising from those assets. Our match funded liabilities are accounted for as secured borrowings with pledges of collateral and are comprised of the following at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Unused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Borrowing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 rate</w:t>
            </w:r>
          </w:p>
        </w:tc>
        <w:tc>
          <w:tcPr>
            <w:tcW w:w="12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Capacity</w:t>
            </w:r>
          </w:p>
        </w:tc>
        <w:tc>
          <w:tcPr>
            <w:tcW w:w="18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Advances on loans serviced for others (1)</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See (1)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238,943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149,341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on loans serviced for others (2)</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plus 175 basis points</w:t>
            </w:r>
          </w:p>
        </w:tc>
        <w:tc>
          <w:tcPr>
            <w:tcW w:w="1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24,651</w:t>
            </w:r>
          </w:p>
        </w:tc>
        <w:tc>
          <w:tcPr>
            <w:tcW w:w="1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100,349</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90,852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loans</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4,134</w:t>
            </w:r>
          </w:p>
        </w:tc>
      </w:tr>
      <w:tr>
        <w:trPr>
          <w:trHeight w:val="168"/>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339,292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244,327</w:t>
            </w:r>
          </w:p>
        </w:tc>
      </w:tr>
      <w:tr>
        <w:trPr>
          <w:trHeight w:val="168"/>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440" w:right="3240" w:hanging="430"/>
        <w:spacing w:after="0" w:line="237"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2004, we executed a servicing advance securitization. This transaction involved the issuance of a term note for $100,000 and a one-year variable funding note for a maximum of $75,000. On March 31, 2005, we executed an indenture supplement to the November 2004 securitization with a closing date of April 6, 2005. This supplement included the issuance of a second term note for $75,000. In addition, the maximum amount of the variable funding note was increased to $100,000. The original term note bears interest at LIBOR plus 50 basis points, and the second term note bears interest at LIBOR plus 40 basis points. The variable funding note bears interest at a commercial paper rate plus a margin that approximates LIBOR plus 50 basis points. The original term note under this facility has a stated maturity of October 2013, and the second term note has a stated maturity of March 2014. The variable funding note has a stated maturity of November 2011.</w:t>
      </w:r>
    </w:p>
    <w:p>
      <w:pPr>
        <w:spacing w:after="0" w:line="5" w:lineRule="exact"/>
        <w:rPr>
          <w:rFonts w:ascii="Courier New" w:cs="Courier New" w:eastAsia="Courier New" w:hAnsi="Courier New"/>
          <w:sz w:val="15"/>
          <w:szCs w:val="15"/>
          <w:color w:val="auto"/>
        </w:rPr>
      </w:pPr>
    </w:p>
    <w:p>
      <w:pPr>
        <w:ind w:left="440" w:right="3320" w:hanging="430"/>
        <w:spacing w:after="0" w:line="235"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agreement, we are eligible to finance additional advances on loans serviced for others up to a maximum balance of $125,000. This facility will mature in January 2007.</w:t>
      </w:r>
    </w:p>
    <w:p>
      <w:pPr>
        <w:spacing w:after="0" w:line="174" w:lineRule="exact"/>
        <w:rPr>
          <w:sz w:val="20"/>
          <w:szCs w:val="20"/>
          <w:color w:val="auto"/>
        </w:rPr>
      </w:pPr>
    </w:p>
    <w:p>
      <w:pPr>
        <w:ind w:right="3680" w:firstLine="437"/>
        <w:spacing w:after="0" w:line="234" w:lineRule="auto"/>
        <w:rPr>
          <w:sz w:val="20"/>
          <w:szCs w:val="20"/>
          <w:color w:val="auto"/>
        </w:rPr>
      </w:pPr>
      <w:r>
        <w:rPr>
          <w:rFonts w:ascii="Courier New" w:cs="Courier New" w:eastAsia="Courier New" w:hAnsi="Courier New"/>
          <w:sz w:val="15"/>
          <w:szCs w:val="15"/>
          <w:color w:val="auto"/>
        </w:rPr>
        <w:t>At December 31, 2005 and 2004, match funded liabilities had a weighted average interest rate of 4.96% and 3.32%,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40"/>
          </w:cols>
          <w:pgMar w:left="220" w:top="617" w:right="1439" w:bottom="180" w:gutter="0" w:footer="0" w:header="0"/>
        </w:sectPr>
      </w:pPr>
    </w:p>
    <w:bookmarkStart w:id="68" w:name="page69"/>
    <w:bookmarkEnd w:id="68"/>
    <w:p>
      <w:pPr>
        <w:jc w:val="center"/>
        <w:ind w:right="34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580" w:firstLine="437"/>
        <w:spacing w:after="0" w:line="236" w:lineRule="auto"/>
        <w:rPr>
          <w:sz w:val="20"/>
          <w:szCs w:val="20"/>
          <w:color w:val="auto"/>
        </w:rPr>
      </w:pPr>
      <w:r>
        <w:rPr>
          <w:rFonts w:ascii="Courier New" w:cs="Courier New" w:eastAsia="Courier New" w:hAnsi="Courier New"/>
          <w:sz w:val="15"/>
          <w:szCs w:val="15"/>
          <w:color w:val="auto"/>
        </w:rPr>
        <w:t>Match funded liabilities contain various qualitative and quantitative covenants that, among other things, establish requirements for the monitoring and reporting of specified financial transactions and reporting on defined events affecting the collateral underlying the agreements. We are currently in compliance with these covenants.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SERVICER LIABILITIES</w:t>
      </w:r>
    </w:p>
    <w:p>
      <w:pPr>
        <w:spacing w:after="0" w:line="173" w:lineRule="exact"/>
        <w:rPr>
          <w:sz w:val="20"/>
          <w:szCs w:val="20"/>
          <w:color w:val="auto"/>
        </w:rPr>
      </w:pPr>
    </w:p>
    <w:p>
      <w:pPr>
        <w:ind w:right="3500" w:firstLine="437"/>
        <w:spacing w:after="0" w:line="256" w:lineRule="auto"/>
        <w:rPr>
          <w:sz w:val="20"/>
          <w:szCs w:val="20"/>
          <w:color w:val="auto"/>
        </w:rPr>
      </w:pPr>
      <w:r>
        <w:rPr>
          <w:rFonts w:ascii="Courier New" w:cs="Courier New" w:eastAsia="Courier New" w:hAnsi="Courier New"/>
          <w:sz w:val="14"/>
          <w:szCs w:val="14"/>
          <w:color w:val="auto"/>
        </w:rPr>
        <w:t>Servicer liabilities represent amounts we have collected, primarily from residential servicing borrowers, that will either be deposited in collection accounts held at an unaffiliated bank and excluded from our balance sheet, paid directly to an investment trust, or refunded to borrowers. The following table sets forth the principal components of servicer liabilities at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2005</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43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Borrower payments due to custodial accounts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225,862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255,040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Escrow payments due to custodial accounts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22,573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Partial payments and other unapplied balances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50,457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32,439</w:t>
            </w:r>
          </w:p>
        </w:tc>
      </w:tr>
      <w:tr>
        <w:trPr>
          <w:trHeight w:val="168"/>
        </w:trPr>
        <w:tc>
          <w:tcPr>
            <w:tcW w:w="43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298,892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291,265</w:t>
            </w:r>
          </w:p>
        </w:tc>
      </w:tr>
      <w:tr>
        <w:trPr>
          <w:trHeight w:val="168"/>
        </w:trPr>
        <w:tc>
          <w:tcPr>
            <w:tcW w:w="43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LINES OF CREDIT AND OTHER SECURED BORROWINGS</w:t>
      </w:r>
    </w:p>
    <w:p>
      <w:pPr>
        <w:spacing w:after="0" w:line="173" w:lineRule="exact"/>
        <w:rPr>
          <w:sz w:val="20"/>
          <w:szCs w:val="20"/>
          <w:color w:val="auto"/>
        </w:rPr>
      </w:pPr>
    </w:p>
    <w:p>
      <w:pPr>
        <w:ind w:right="3680" w:firstLine="437"/>
        <w:spacing w:after="0" w:line="234" w:lineRule="auto"/>
        <w:rPr>
          <w:sz w:val="20"/>
          <w:szCs w:val="20"/>
          <w:color w:val="auto"/>
        </w:rPr>
      </w:pPr>
      <w:r>
        <w:rPr>
          <w:rFonts w:ascii="Courier New" w:cs="Courier New" w:eastAsia="Courier New" w:hAnsi="Courier New"/>
          <w:sz w:val="15"/>
          <w:szCs w:val="15"/>
          <w:color w:val="auto"/>
        </w:rPr>
        <w:t>Secured lines of credit from various unaffiliated financial institutions are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Unused</w:t>
            </w:r>
          </w:p>
        </w:tc>
        <w:tc>
          <w:tcPr>
            <w:tcW w:w="220" w:type="dxa"/>
            <w:vAlign w:val="bottom"/>
          </w:tcPr>
          <w:p>
            <w:pPr>
              <w:spacing w:after="0"/>
              <w:rPr>
                <w:sz w:val="14"/>
                <w:szCs w:val="14"/>
                <w:color w:val="auto"/>
              </w:rPr>
            </w:pPr>
          </w:p>
        </w:tc>
        <w:tc>
          <w:tcPr>
            <w:tcW w:w="25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Balance Outstanding</w:t>
            </w:r>
          </w:p>
        </w:tc>
      </w:tr>
      <w:tr>
        <w:trPr>
          <w:trHeight w:val="168"/>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w:t>
            </w:r>
          </w:p>
        </w:tc>
        <w:tc>
          <w:tcPr>
            <w:tcW w:w="148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4"/>
              </w:rPr>
              <w: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w:t>
            </w:r>
          </w:p>
        </w:tc>
        <w:tc>
          <w:tcPr>
            <w:tcW w:w="2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Interest Rate (1)</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Maturity</w:t>
            </w:r>
          </w:p>
        </w:tc>
        <w:tc>
          <w:tcPr>
            <w:tcW w:w="22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Capacity</w:t>
            </w:r>
          </w:p>
        </w:tc>
        <w:tc>
          <w:tcPr>
            <w:tcW w:w="220" w:type="dxa"/>
            <w:vAlign w:val="bottom"/>
          </w:tcPr>
          <w:p>
            <w:pPr>
              <w:spacing w:after="0"/>
              <w:rPr>
                <w:sz w:val="14"/>
                <w:szCs w:val="14"/>
                <w:color w:val="auto"/>
              </w:rPr>
            </w:pP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Senior secured credit</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1-Month LIBOR +162.5</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 (2)</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or 225 basis points</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June 2006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58,782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81,218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24,218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credit</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1-Month LIBOR + 250</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 (3)</w:t>
            </w:r>
          </w:p>
        </w:tc>
        <w:tc>
          <w:tcPr>
            <w:tcW w:w="21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basis points</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11,458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 (4)</w:t>
            </w:r>
          </w:p>
        </w:tc>
        <w:tc>
          <w:tcPr>
            <w:tcW w:w="21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5.62%</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October 2014</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14,661</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14,936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sold under agreement</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1-Month LIBOR + 75</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repurchase (5)</w:t>
            </w:r>
          </w:p>
        </w:tc>
        <w:tc>
          <w:tcPr>
            <w:tcW w:w="21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basis points</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March 2006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459,400</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Master loan and security</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1-Month LIBOR + 55</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 (6)</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or 355 basis points</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October 2006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2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158,782</w:t>
            </w:r>
          </w:p>
        </w:tc>
        <w:tc>
          <w:tcPr>
            <w:tcW w:w="2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555,279</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Master loan and security</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1-Month LIBOR + 55</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 - consolidated</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or 355 basis points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VIE (7)</w:t>
            </w:r>
          </w:p>
        </w:tc>
        <w:tc>
          <w:tcPr>
            <w:tcW w:w="210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October 2006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178,831</w:t>
            </w:r>
          </w:p>
        </w:tc>
        <w:tc>
          <w:tcPr>
            <w:tcW w:w="2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71,169</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337,613</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626,448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50,612</w:t>
            </w:r>
          </w:p>
        </w:tc>
      </w:tr>
      <w:tr>
        <w:trPr>
          <w:trHeight w:val="168"/>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left="440" w:right="4380" w:hanging="430"/>
        <w:spacing w:after="0" w:line="234"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1-Month LIBOR was 4.39% and 2.40% at December 31, 2005 and 2004, respectively.</w:t>
      </w:r>
    </w:p>
    <w:p>
      <w:pPr>
        <w:spacing w:after="0" w:line="5" w:lineRule="exact"/>
        <w:rPr>
          <w:rFonts w:ascii="Courier New" w:cs="Courier New" w:eastAsia="Courier New" w:hAnsi="Courier New"/>
          <w:sz w:val="15"/>
          <w:szCs w:val="15"/>
          <w:color w:val="auto"/>
        </w:rPr>
      </w:pPr>
    </w:p>
    <w:p>
      <w:pPr>
        <w:ind w:left="440" w:right="3420" w:hanging="430"/>
        <w:spacing w:after="0" w:line="254" w:lineRule="auto"/>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Secured by mortgage servicing rights and advances on loans serviced by others. Borrowing secured by mortgage servicing rights is at LIBOR plus 225 basis points. Borrowing secured by other acceptable collateral is at LIBOR plus 162.5 basis points. The interest rate may be reduced to 1.625% or</w:t>
      </w:r>
    </w:p>
    <w:p>
      <w:pPr>
        <w:spacing w:after="0" w:line="1" w:lineRule="exact"/>
        <w:rPr>
          <w:rFonts w:ascii="Courier New" w:cs="Courier New" w:eastAsia="Courier New" w:hAnsi="Courier New"/>
          <w:sz w:val="14"/>
          <w:szCs w:val="14"/>
          <w:color w:val="auto"/>
        </w:rPr>
      </w:pPr>
    </w:p>
    <w:p>
      <w:pPr>
        <w:ind w:left="440" w:right="376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2.25% to the extent that we have available balances on deposit with the lender.</w:t>
      </w:r>
    </w:p>
    <w:p>
      <w:pPr>
        <w:spacing w:after="0" w:line="5" w:lineRule="exact"/>
        <w:rPr>
          <w:rFonts w:ascii="Courier New" w:cs="Courier New" w:eastAsia="Courier New" w:hAnsi="Courier New"/>
          <w:sz w:val="14"/>
          <w:szCs w:val="14"/>
          <w:color w:val="auto"/>
        </w:rPr>
      </w:pPr>
    </w:p>
    <w:p>
      <w:pPr>
        <w:ind w:left="440" w:right="3940" w:hanging="430"/>
        <w:spacing w:after="0" w:line="254" w:lineRule="auto"/>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repaid in full the balance outstanding under this credit agreement during the second quarter of 2005 and terminated the agreement.</w:t>
      </w:r>
    </w:p>
    <w:p>
      <w:pPr>
        <w:ind w:left="440" w:right="3680" w:hanging="430"/>
        <w:spacing w:after="0" w:line="234"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represents our loan servicing call center located in Orlando, Florida.</w:t>
      </w:r>
    </w:p>
    <w:p>
      <w:pPr>
        <w:spacing w:after="0" w:line="5" w:lineRule="exact"/>
        <w:rPr>
          <w:rFonts w:ascii="Courier New" w:cs="Courier New" w:eastAsia="Courier New" w:hAnsi="Courier New"/>
          <w:sz w:val="15"/>
          <w:szCs w:val="15"/>
          <w:color w:val="auto"/>
        </w:rPr>
      </w:pPr>
    </w:p>
    <w:p>
      <w:pPr>
        <w:ind w:left="440" w:right="3420" w:hanging="430"/>
        <w:spacing w:after="0" w:line="235"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repurchase agreement entered into to finance the purchase of mortgage loans held for resale. The loans were securitized in February 2006 and the outstanding balance was repaid. This agreement matured on March 17, 2006.</w:t>
      </w:r>
    </w:p>
    <w:p>
      <w:pPr>
        <w:spacing w:after="0" w:line="7" w:lineRule="exact"/>
        <w:rPr>
          <w:rFonts w:ascii="Courier New" w:cs="Courier New" w:eastAsia="Courier New" w:hAnsi="Courier New"/>
          <w:sz w:val="15"/>
          <w:szCs w:val="15"/>
          <w:color w:val="auto"/>
        </w:rPr>
      </w:pPr>
    </w:p>
    <w:p>
      <w:pPr>
        <w:ind w:left="440" w:right="3420" w:hanging="430"/>
        <w:spacing w:after="0" w:line="236"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entered into this agreement on October 11, 2005. Any borrowings under this agreement will be secured by mortgage loans. We can borrow up to 90% of the principal balance of the mortgage loans or 88.2% of the market value of the loans, whichever is lower, at LIBOR plus 55 basis points. Borrowing above this level is at LIBOR plus 355 basis points.</w:t>
      </w:r>
    </w:p>
    <w:p>
      <w:pPr>
        <w:spacing w:after="0" w:line="5" w:lineRule="exact"/>
        <w:rPr>
          <w:rFonts w:ascii="Courier New" w:cs="Courier New" w:eastAsia="Courier New" w:hAnsi="Courier New"/>
          <w:sz w:val="15"/>
          <w:szCs w:val="15"/>
          <w:color w:val="auto"/>
        </w:rPr>
      </w:pPr>
    </w:p>
    <w:p>
      <w:pPr>
        <w:ind w:left="440" w:right="3860" w:hanging="430"/>
        <w:spacing w:after="0" w:line="236"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VIE entered into this agreement on October 11, 2005. Borrowings under this agreement are secured by mortgage loans. The consolidated VIE can borrow up to 90% of the principal balance of the mortgage loans or 88.2% of the market value of the loans, whichever is lower, at LIBOR plus 55 basis points. Borrowing above this level is at LIBOR plus 355 basis points.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420"/>
          </w:cols>
          <w:pgMar w:left="220" w:top="617" w:right="1259" w:bottom="853" w:gutter="0" w:footer="0" w:header="0"/>
        </w:sectPr>
      </w:pPr>
    </w:p>
    <w:bookmarkStart w:id="69" w:name="page70"/>
    <w:bookmarkEnd w:id="6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our lines of credit contains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maximum month end amount outstanding under lines of credit and other secured borrowings was $626,448 and $113,790 for the years ended December 31, 2005 and 2004, respectively. The average balance of obligations outstanding under lines of credit and other secured borrowings was $116,999 and $66,271 during the years ended December 31, 2005 and 2004, respectively, and the weighted average interest rates were 4.16% and 4.10%, respectively. The weighted average interest rates on our obligations outstanding under lines of credit and other secured borrowings were 5.29% and 4.84% at December 31, 2005 and 2004,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DEBT SECURITIES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debt securities consist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2005</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43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3.25% Convertible Notes due August 1, 2024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100,900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10.875% Capital Securities due August 1, 2027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53,429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43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154,329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231,249</w:t>
            </w:r>
          </w:p>
        </w:tc>
      </w:tr>
      <w:tr>
        <w:trPr>
          <w:trHeight w:val="168"/>
        </w:trPr>
        <w:tc>
          <w:tcPr>
            <w:tcW w:w="43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Convertible Notes. In July 2004, OCN issued $175,000 aggregate principal amount of 3.25% Contingent Convertible Senior Unsecured Notes due 2024 ("Convertible Notes"). The Convertible Notes are senior unsecured obligations and bear interest at the rate of 3.25% per year. Interest is payable on February 1 and August 1 of each year beginning on February 1, 2005. The Convertible Notes will mature on August 1, 2024. During 2005, we repurchased $74,100 of our Convertible Notes in the open market resulting in a gain of $4,497, net of the write-off of unamortized issuance costs.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connection with our issuance of the Convertible Notes, we incurred certain costs that we capitalized and are amortizing over the period from the date of issuance to August 1, 2009, the first date at which holders may require us to repurchase their notes. The unamortized balance of these issuance costs amounted to $2,814 and $6,107 at December 31, 2005 and 2004, respectively, and is included in other assets. We filed with the SEC a registration statement, which was declared effective March 15, 2005, covering resales by holders of the Convertible Notes and the common stock issuable upon conversion.</w:t>
      </w:r>
    </w:p>
    <w:p>
      <w:pPr>
        <w:spacing w:after="0" w:line="166"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Holders may convert all or a portion of their notes into shares of our common stock under the following circumstances: (1) at any time during any calendar quarter commencing after December 31, 2004, if the closing sale price of our common stock for at least 20 trading days in a period of 30 consecutive trading days ending on the last trading day of the calendar quarter prior to such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 principal amount of the notes; (3) if the notes have been called for redemption; or (4) upon the occurrence of specified corporate transactions.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conversion rate is 82.1693 shares of our common stock per $1 principal amount of the notes, subject to adjustment. Events that may cause the conversion rate to be adjusted, as more fully described in the related indenture agreement, primarily relate to cash dividends or other distributions to holders of our common stock. Upon conversion, we may at our option choose to deliver, in lieu of our common stock, cash or a combination of cash and common stock as described herein.</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Beginning August 1, 2009, we may redeem all or a portion of the notes for cash for a price equal to 100% of the principal amount of the notes to be redeemed plus accrued and unpaid interest, if any.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Holders may require us to repurchase all or a portion of their notes for cash on August 1, 2009, August 1, 2014, and August 1, 2019 or upon the occurrence of a "fundamental change" at a repurchase price equal to 100% of the principal amount of the notes to be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17" w:right="1440" w:bottom="517" w:gutter="0" w:footer="0" w:header="0"/>
        </w:sectPr>
      </w:pPr>
    </w:p>
    <w:bookmarkStart w:id="70" w:name="page71"/>
    <w:bookmarkEnd w:id="70"/>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repurchased plus accrued and unpaid interest, if any. A "fundamental change" is a change of control or a termination of trading in our common stock.</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privately negotiated transactions concurrent with the private placement of the Convertible Notes, we used 25% of the gross proceeds from the sale of the Convertible Notes to repurchase 4,850,000 shares of our common stock at a price of $9.02 per share. We used the remaining proceeds, net of underwriting discount and other expenses, primarily to repay maturing deposits and other liabilities, to increase our cash and to invest in short-term investment grade securities.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Securities. In August 1997, Ocwen Capital Trust ("OCT") issued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$125,000 of 10.875% Capital Securities (the "Capital Securities"). OCT invested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proceeds from issuance of the Capital Securities in 10.875% Junior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Debentures issued by OCN. The Junior Subordinated Debentures,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 the sole assets of OCT, will mature on August 1, 2027. Prior to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adoption of SFAS No. 150 on July 1, 2003, we presented the Capital Securities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separate caption between liabilities and stockholders' equity in our balance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 as "Company-obligated, mandatorily redeemable securities of subsidiary</w:t>
      </w:r>
    </w:p>
    <w:p>
      <w:pPr>
        <w:spacing w:after="0" w:line="237" w:lineRule="auto"/>
        <w:rPr>
          <w:sz w:val="20"/>
          <w:szCs w:val="20"/>
          <w:color w:val="auto"/>
        </w:rPr>
      </w:pPr>
      <w:r>
        <w:rPr>
          <w:rFonts w:ascii="Courier New" w:cs="Courier New" w:eastAsia="Courier New" w:hAnsi="Courier New"/>
          <w:sz w:val="15"/>
          <w:szCs w:val="15"/>
          <w:color w:val="auto"/>
        </w:rPr>
        <w:t>trust holding solely Junior Subordinated Debentures of the Company", and</w:t>
      </w:r>
    </w:p>
    <w:p>
      <w:pPr>
        <w:spacing w:after="0" w:line="238" w:lineRule="auto"/>
        <w:rPr>
          <w:sz w:val="20"/>
          <w:szCs w:val="20"/>
          <w:color w:val="auto"/>
        </w:rPr>
      </w:pPr>
      <w:r>
        <w:rPr>
          <w:rFonts w:ascii="Courier New" w:cs="Courier New" w:eastAsia="Courier New" w:hAnsi="Courier New"/>
          <w:sz w:val="15"/>
          <w:szCs w:val="15"/>
          <w:color w:val="auto"/>
        </w:rPr>
        <w:t>distributions were reported on the Capital Securities in a separate caption</w:t>
      </w:r>
    </w:p>
    <w:p>
      <w:pPr>
        <w:spacing w:after="0" w:line="237" w:lineRule="auto"/>
        <w:rPr>
          <w:sz w:val="20"/>
          <w:szCs w:val="20"/>
          <w:color w:val="auto"/>
        </w:rPr>
      </w:pPr>
      <w:r>
        <w:rPr>
          <w:rFonts w:ascii="Courier New" w:cs="Courier New" w:eastAsia="Courier New" w:hAnsi="Courier New"/>
          <w:sz w:val="15"/>
          <w:szCs w:val="15"/>
          <w:color w:val="auto"/>
        </w:rPr>
        <w:t>immediately following non-interest expense in our consolidated statement of</w:t>
      </w:r>
    </w:p>
    <w:p>
      <w:pPr>
        <w:spacing w:after="0" w:line="238" w:lineRule="auto"/>
        <w:rPr>
          <w:sz w:val="20"/>
          <w:szCs w:val="20"/>
          <w:color w:val="auto"/>
        </w:rPr>
      </w:pPr>
      <w:r>
        <w:rPr>
          <w:rFonts w:ascii="Courier New" w:cs="Courier New" w:eastAsia="Courier New" w:hAnsi="Courier New"/>
          <w:sz w:val="15"/>
          <w:szCs w:val="15"/>
          <w:color w:val="auto"/>
        </w:rPr>
        <w:t>operations. Effective with our adoption of SFAS No. 150 on July 1, 2003, the</w:t>
      </w:r>
    </w:p>
    <w:p>
      <w:pPr>
        <w:spacing w:after="0" w:line="237" w:lineRule="auto"/>
        <w:rPr>
          <w:sz w:val="20"/>
          <w:szCs w:val="20"/>
          <w:color w:val="auto"/>
        </w:rPr>
      </w:pPr>
      <w:r>
        <w:rPr>
          <w:rFonts w:ascii="Courier New" w:cs="Courier New" w:eastAsia="Courier New" w:hAnsi="Courier New"/>
          <w:sz w:val="15"/>
          <w:szCs w:val="15"/>
          <w:color w:val="auto"/>
        </w:rPr>
        <w:t>Capital Securities are presented as a liability in the balance sheet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 of Debt Securities. At the same time, we began reporting distributions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Capital Securities as a component of interest expense in the consolidated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 During 2005, we repurchased $2,820 of our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 the open market resulting in a loss of $239, net of the write-off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unamortized issuance costs.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10.875% of the liquidation amount of $1,000 per Capital Security. OCN guarantees payment of distributions out of moneys held by OCT, and payments on liquidation of OCT or the redemption of Capital Securities, to the extent OCT has funds available. If Ocwen Financial Corporation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Accumulated distributions payable on the Capital Securities amounted to $2,425 and $2,549 at December 31, 2005 and 2004, respectively, and are included in other liabilities.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may redeem the Junior Subordinated Debentures before maturity at our option subject to the receipt of any necessary prior regulatory approval, (i) in whole or in part on or after August 1, 2007, at a redemption price equal to</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617" w:right="1440" w:bottom="517" w:gutter="0" w:footer="0" w:header="0"/>
        </w:sectPr>
      </w:pPr>
    </w:p>
    <w:bookmarkStart w:id="71" w:name="page72"/>
    <w:bookmarkEnd w:id="7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financial reporting purposes, we treat OCT as a subsidiary and, accordingly, the accounts of OCT are included in our consolidated financial statements. We consolidated OCT because we own all of the Common Securities that were issued by OCT and 57% of the Capital Securities. We eliminate intercompany balances and transactions with OCT, including the balance of Junior Subordinated Debentures outstanding, in our consolidated financial statements.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our issuance of the Capital Securities, we incurred certain costs that we capitalized and are amortizing over the term of the Capital Securities. The unamortized balance of these issuance costs amounted to $1,535 and $1,691 at December 31, 2005 and 2004, respectively, and is included in other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DEPOSITS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debanking, on June 30, 2005, Marathon National Bank assumed the customer deposits associated with the Bank's branch facility. As a result of our termination of the Bank's status as a federal savings bank, we are no longer able to accept deposits in the U.S. Our deposits consisted of the following at December 31, 2004: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Non-interest-bearing deposits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4,513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 checking accounts ...</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 accounts (1) .....................</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1,804</w:t>
            </w:r>
          </w:p>
        </w:tc>
      </w:tr>
      <w:tr>
        <w:trPr>
          <w:trHeight w:val="168"/>
        </w:trPr>
        <w:tc>
          <w:tcPr>
            <w:tcW w:w="38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18,858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 (1) ..............</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271,649</w:t>
            </w:r>
          </w:p>
        </w:tc>
      </w:tr>
      <w:tr>
        <w:trPr>
          <w:trHeight w:val="168"/>
        </w:trPr>
        <w:tc>
          <w:tcPr>
            <w:tcW w:w="38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290,507</w:t>
            </w:r>
          </w:p>
        </w:tc>
      </w:tr>
      <w:tr>
        <w:trPr>
          <w:trHeight w:val="168"/>
        </w:trPr>
        <w:tc>
          <w:tcPr>
            <w:tcW w:w="38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239" w:hanging="430"/>
        <w:spacing w:after="0" w:line="234" w:lineRule="auto"/>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BOK deposits amounted to $12,550 and $10,792 at December 31, 2005 and 2004, respectively, and are included in other liabilities.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Interest expense we incurred by type of deposit account was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2005</w:t>
            </w: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32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NOW, money market and savings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3,020</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13,048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17,018</w:t>
            </w:r>
          </w:p>
        </w:tc>
      </w:tr>
      <w:tr>
        <w:trPr>
          <w:trHeight w:val="168"/>
        </w:trPr>
        <w:tc>
          <w:tcPr>
            <w:tcW w:w="32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3780" w:hanging="447"/>
        <w:spacing w:after="0" w:line="237" w:lineRule="auto"/>
        <w:tabs>
          <w:tab w:leader="none" w:pos="37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3,710   $   13,634   $   17,546</w:t>
      </w:r>
    </w:p>
    <w:p>
      <w:pPr>
        <w:ind w:left="33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ESCROW DEPOSITS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Escrow deposits amounted to $86,084 at December 31, 2004 and consist of custodial deposit balances representing funds collected from borrowers for the payment of taxes and insurance premiums on mortgage properties underlying loans that we serviced for others. In connection with debanking, these custodial deposits were transferred from the Bank to an unaffiliated bank and are now excluded from our balance sheet.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BASIC AND DILUTED EARNINGS PER SHARE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required to present both basic and diluted EPS on the face of our statement of operations. Basic EPS excludes common stock equivalents and is calculated by dividing net income by the weighted average number of common shares outstanding during the year. We calculate diluted EPS by dividing net income, as adjusted to add back interest expense on the Convertible Notes, by the weighted average number of common shares outstanding including the potential dilutive common shares related to outstanding stock options, restricted stock awards and the Convertible Notes.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17" w:right="1440" w:bottom="1440" w:gutter="0" w:footer="0" w:header="0"/>
        </w:sectPr>
      </w:pPr>
    </w:p>
    <w:bookmarkStart w:id="72" w:name="page73"/>
    <w:bookmarkEnd w:id="72"/>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following is a reconciliation of the calculation of basic EPS to diluted EPS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2005</w:t>
            </w:r>
          </w:p>
        </w:tc>
        <w:tc>
          <w:tcPr>
            <w:tcW w:w="280" w:type="dxa"/>
            <w:vAlign w:val="bottom"/>
          </w:tcPr>
          <w:p>
            <w:pPr>
              <w:spacing w:after="0"/>
              <w:rPr>
                <w:sz w:val="14"/>
                <w:szCs w:val="14"/>
                <w:color w:val="auto"/>
              </w:rPr>
            </w:pP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15,065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57,724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of common stock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62,912,768</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65,811,697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67,166,888</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EPS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15,065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57,724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on Convertible Notes, net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of income tax (1)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2,378</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income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15,065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of common stock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62,912,768</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65,811,697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67,166,888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elements: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Convertible Notes (1)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6,129,022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 options (2)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807,649</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992,337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493,889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stock awards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165,022</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264,199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403,096</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weighted average of common stock ...</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63,885,439</w:t>
            </w:r>
          </w:p>
        </w:tc>
        <w:tc>
          <w:tcPr>
            <w:tcW w:w="28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73,197,255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68,063,873</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hanging="430"/>
        <w:spacing w:after="0" w:line="236"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our Convertible Notes on diluted EPS is computed using the if-converted method in accordance with the provisions of EITF 04-8, as described in Note 1. The Convertible Notes are assumed to have been converted to common shares at the time the Convertible Notes were issued on July 28, 2004. Interest expense and related amortization costs applicable to the Convertible Notes, net of income tax, is added back to net income. Conversion of the Convertible Notes into shares of common stock has not been assumed for purposes of computing diluted EPS for 2005 because the effect would be anti-dilutive. The effect is anti-dilutive whenever interest expense on the Convertible Notes, net of income tax, per common share obtainable on conversion exceeds basic EPS.</w:t>
      </w:r>
    </w:p>
    <w:p>
      <w:pPr>
        <w:spacing w:after="0" w:line="180"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an average of 1,582,640, 1,274,364 and 2,818,332 options that were anti-dilutive for 2005, 2004 and 2003, respectively, because their exercise price was greater than the average market price of our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DERIVATIVE FINANCIAL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 RISK MANAGEMENT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entered into foreign currency derivatives to hedge our net investments in foreign subsidiaries that own residual securities backed by subprime residential loans originated in the UK and that owned a shopping center located in Halifax, Nova Scotia. During the first quarter of 2005, we sold our foreign subsidiary that owned the shopping center. However, in connection with the sale, OCN extended a short-term Canadian Dollar loan in the amount of C$6,000 to the buyer. During the third quarter of 2005, the Canadian Dollar loan was repaid in full and the related currency futures contract was terminated. We have managed our exposure to foreign currency exchange rate risk related to this foreign currency-denominated transaction through the use of currency futures. Our remaining principal exposure to foreign currency exchange rates exists primarily with the British Pound versus the U.S. Dollar. Our policy is to periodically adjust the amount of foreign currency derivative contracts we have entered into in response to changes in our recorded investment as well as to changes in our assets denominated in a foreign currency. Our net exposures are subject to gain or loss if foreign currency exchange rates fluctuate. Currency futures are commitments to either purchase or sell foreign currency at a future date for a specified price. We have determined that the local currency of our investment in UK residuals is the functional currency. The foreign currency derivative financial instrument related to our foreign subsidiary that owns the residual securities was designated as a hedge. Accordingly, for this instrument we include the gains or losses in the net unrealized foreign currency translation in accumulated other comprehensive income in stockholders' equity. The foreign currency derivative financial instrument related to our Canadian Dollar-denominated loan was not designated as a hedge. Gains and losses from this instrument are included in earnings as an offset to the related foreign currency transaction gain or loss arising from remeasurement of the loan prior to its repayment in the third quarter.</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17" w:right="1440" w:bottom="685" w:gutter="0" w:footer="0" w:header="0"/>
        </w:sectPr>
      </w:pPr>
    </w:p>
    <w:bookmarkStart w:id="73" w:name="page74"/>
    <w:bookmarkEnd w:id="73"/>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terms and values of these foreign currency financial instruments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Position</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Maturity</w:t>
            </w:r>
          </w:p>
        </w:tc>
        <w:tc>
          <w:tcPr>
            <w:tcW w:w="1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Notional Amount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Strike Rate</w:t>
            </w:r>
          </w:p>
        </w:tc>
        <w:tc>
          <w:tcPr>
            <w:tcW w:w="220" w:type="dxa"/>
            <w:vAlign w:val="bottom"/>
          </w:tcPr>
          <w:p>
            <w:pPr>
              <w:spacing w:after="0"/>
              <w:rPr>
                <w:sz w:val="14"/>
                <w:szCs w:val="1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Fair Value</w:t>
            </w:r>
          </w:p>
        </w:tc>
      </w:tr>
      <w:tr>
        <w:trPr>
          <w:trHeight w:val="168"/>
        </w:trPr>
        <w:tc>
          <w:tcPr>
            <w:tcW w:w="382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December 31, 2005:</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British Pound currency futures (1) .......</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Short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March 2006</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(pound)</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13,438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2004:</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 currency futures (1) .....</w:t>
            </w: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Short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March 2005</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0.8416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British Pound currency futures (1) .......</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Short</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March 2005</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(pound)</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17,000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1.9248</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168"/>
        </w:trPr>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hanging="430"/>
        <w:spacing w:after="0" w:line="235"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 Dollar equivalent notional amount of the British Pound currency futures at December 31, 2005 was $23,148. At December 31, 2004, the U.S. Dollar equivalent notional amounts of the Canadian Dollar and British Pound currency futures were $9,570 and $32,609, respectively.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foreign currency futures contracts are exchange traded, holders of these instruments look to the exchange for performance under these contracts and not the entity holding the offsetting futures contract, thereby minimizing the risk of nonperformance under these contracts. The notional principal amount does not represent our exposure to credit loss.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Beginning in the second quarter of 2005, BOK entered into Euro foreign exchange forward contracts ("FX Forward") in order to hedge its investment in U.S. dollar-denominated servicing advances that it acquired from OLS. The following table sets forth the terms and value of the foreign exchange forward contracts as of December 31, 2005:</w:t>
      </w:r>
    </w:p>
    <w:p>
      <w:pPr>
        <w:sectPr>
          <w:pgSz w:w="11900" w:h="16838" w:orient="portrait"/>
          <w:cols w:equalWidth="0" w:num="1">
            <w:col w:w="10239"/>
          </w:cols>
          <w:pgMar w:left="220" w:top="617"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Notional Amount</w:t>
      </w:r>
    </w:p>
    <w:p>
      <w:pPr>
        <w:spacing w:after="0" w:line="237" w:lineRule="auto"/>
        <w:rPr>
          <w:sz w:val="20"/>
          <w:szCs w:val="20"/>
          <w:color w:val="auto"/>
        </w:rPr>
      </w:pPr>
      <w:r>
        <w:rPr>
          <w:rFonts w:ascii="Courier New" w:cs="Courier New" w:eastAsia="Courier New" w:hAnsi="Courier New"/>
          <w:sz w:val="15"/>
          <w:szCs w:val="15"/>
          <w:color w:val="auto"/>
        </w:rPr>
        <w:t>-----------------------------</w:t>
      </w:r>
    </w:p>
    <w:p>
      <w:pPr>
        <w:ind w:left="340"/>
        <w:spacing w:after="0" w:line="238" w:lineRule="auto"/>
        <w:tabs>
          <w:tab w:leader="none" w:pos="1720" w:val="left"/>
        </w:tabs>
        <w:rPr>
          <w:sz w:val="20"/>
          <w:szCs w:val="20"/>
          <w:color w:val="auto"/>
        </w:rPr>
      </w:pPr>
      <w:r>
        <w:rPr>
          <w:rFonts w:ascii="Courier New" w:cs="Courier New" w:eastAsia="Courier New" w:hAnsi="Courier New"/>
          <w:sz w:val="15"/>
          <w:szCs w:val="15"/>
          <w:color w:val="auto"/>
        </w:rPr>
        <w:t>Sell</w:t>
      </w:r>
      <w:r>
        <w:rPr>
          <w:sz w:val="20"/>
          <w:szCs w:val="20"/>
          <w:color w:val="auto"/>
        </w:rPr>
        <w:tab/>
      </w:r>
      <w:r>
        <w:rPr>
          <w:rFonts w:ascii="Courier New" w:cs="Courier New" w:eastAsia="Courier New" w:hAnsi="Courier New"/>
          <w:sz w:val="15"/>
          <w:szCs w:val="15"/>
          <w:color w:val="auto"/>
        </w:rPr>
        <w:t>Buy</w:t>
      </w:r>
    </w:p>
    <w:p>
      <w:pPr>
        <w:spacing w:after="0" w:line="5"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Contract</w:t>
      </w:r>
    </w:p>
    <w:p>
      <w:pPr>
        <w:ind w:left="360"/>
        <w:spacing w:after="0" w:line="237" w:lineRule="auto"/>
        <w:rPr>
          <w:sz w:val="20"/>
          <w:szCs w:val="20"/>
          <w:color w:val="auto"/>
        </w:rPr>
      </w:pPr>
      <w:r>
        <w:rPr>
          <w:rFonts w:ascii="Courier New" w:cs="Courier New" w:eastAsia="Courier New" w:hAnsi="Courier New"/>
          <w:sz w:val="15"/>
          <w:szCs w:val="15"/>
          <w:color w:val="auto"/>
        </w:rPr>
        <w:t>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2800" w:space="100"/>
            <w:col w:w="2700" w:space="260"/>
            <w:col w:w="1400" w:space="100"/>
            <w:col w:w="2879"/>
          </w:cols>
          <w:pgMar w:left="220" w:top="617" w:right="1440" w:bottom="517"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to August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7,464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(euro)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6,111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1.1854 to 1.2590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(189)</w:t>
      </w:r>
    </w:p>
    <w:p>
      <w:pPr>
        <w:spacing w:after="0" w:line="204" w:lineRule="exact"/>
        <w:rPr>
          <w:sz w:val="20"/>
          <w:szCs w:val="20"/>
          <w:color w:val="auto"/>
        </w:rPr>
      </w:pPr>
    </w:p>
    <w:p>
      <w:pPr>
        <w:sectPr>
          <w:pgSz w:w="11900" w:h="16838" w:orient="portrait"/>
          <w:cols w:equalWidth="0" w:num="8">
            <w:col w:w="2180" w:space="720"/>
            <w:col w:w="80" w:space="520"/>
            <w:col w:w="440" w:space="260"/>
            <w:col w:w="540" w:space="260"/>
            <w:col w:w="440" w:space="260"/>
            <w:col w:w="1400" w:space="260"/>
            <w:col w:w="80" w:space="440"/>
            <w:col w:w="2359"/>
          </w:cols>
          <w:pgMar w:left="220" w:top="617" w:right="1440" w:bottom="517"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From time to time, we enter into interest rate swaps. Under interest rate swaps, we agree with other parties to exchange, at specified intervals, the difference between fixed-rate and floating-rate interest amounts calculated by reference to an agreed upon notional amount. We are exposed to loss when we enter into interest rate swaps if: (i) the counterparty to the interest rate swap does not perform and (ii) the interest rate that we receive exceeds the interest rate that we pay.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had no interest rate swaps outstanding at December 31, 2005 or 2004. During 2003, we realized gains of $1,076 on swaps that we terminated. While these two swaps were entered into for purposes of mitigating the impact of declining interest rates on float earnings, they did not meet the criteria to be accounted for under hedge accounting. Accordingly, they were accounted for at fair value with changes in fair value included in servicing and subservicing fees. We entered into no swap agreements during 2005 or 2004.</w:t>
      </w:r>
    </w:p>
    <w:p>
      <w:pPr>
        <w:spacing w:after="0" w:line="17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amortizing interest rate caps and floors we had purchased in 1999 to hedge our interest rate exposure relating to our match funded loans and securities matured in October 2003. Net realized and unrealized gains and (losses) included in earnings to record these caps and floors at fair value during 2003 amounted to $(592).</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2005, in connection with our Residential Origination Services business, we acquired certain mortgage loan portfolios, which we held at December 31, 2005 in anticipation of a securitization. Since the value of the mortgages loans held are subject to interest rate risk, we sold short a series of three-month Eurodollar interest rate futures contracts to hedge the exposure to interest rate risk represented by our loans held for resale. Our policy is to adjust the amount of Eurodollar futures contracts that we sell short to accommodate changes in the amount of our mortgage loans held for resale. Since the Eurodollar interest rate futures contracts were not designated as hedges, changes in the fair value of the contracts and gains and losses from these instruments are included in earnings in the period in which they occur, and we report them as a component of other income (expense), net.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617" w:right="1440" w:bottom="517" w:gutter="0" w:footer="0" w:header="0"/>
          <w:type w:val="continuous"/>
        </w:sectPr>
      </w:pPr>
    </w:p>
    <w:bookmarkStart w:id="74" w:name="page75"/>
    <w:bookmarkEnd w:id="74"/>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terms and values of our Eurodollar interest rate futures contracts as of December 31, 2005:</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Maturity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hanging="174"/>
        <w:spacing w:after="0" w:line="261" w:lineRule="auto"/>
        <w:rPr>
          <w:sz w:val="20"/>
          <w:szCs w:val="20"/>
          <w:color w:val="auto"/>
        </w:rPr>
      </w:pPr>
      <w:r>
        <w:rPr>
          <w:rFonts w:ascii="Courier New" w:cs="Courier New" w:eastAsia="Courier New" w:hAnsi="Courier New"/>
          <w:sz w:val="14"/>
          <w:szCs w:val="14"/>
          <w:color w:val="auto"/>
        </w:rPr>
        <w:t>Notional Amount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Price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Fair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880" w:space="260"/>
            <w:col w:w="2460" w:space="260"/>
            <w:col w:w="1320" w:space="80"/>
            <w:col w:w="1400" w:space="260"/>
            <w:col w:w="3319"/>
          </w:cols>
          <w:pgMar w:left="220" w:top="6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2006 to September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3,261,000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94.92 to 95.46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731</w:t>
      </w:r>
    </w:p>
    <w:p>
      <w:pPr>
        <w:spacing w:after="0" w:line="204" w:lineRule="exact"/>
        <w:rPr>
          <w:sz w:val="20"/>
          <w:szCs w:val="20"/>
          <w:color w:val="auto"/>
        </w:rPr>
      </w:pPr>
    </w:p>
    <w:p>
      <w:pPr>
        <w:sectPr>
          <w:pgSz w:w="11900" w:h="16838" w:orient="portrait"/>
          <w:cols w:equalWidth="0" w:num="7">
            <w:col w:w="440" w:space="540"/>
            <w:col w:w="2440" w:space="260"/>
            <w:col w:w="100" w:space="420"/>
            <w:col w:w="800" w:space="260"/>
            <w:col w:w="1220" w:space="260"/>
            <w:col w:w="340" w:space="720"/>
            <w:col w:w="2439"/>
          </w:cols>
          <w:pgMar w:left="220" w:top="617" w:right="1440" w:bottom="1440" w:gutter="0" w:footer="0" w:header="0"/>
          <w:type w:val="continuous"/>
        </w:sectPr>
      </w:pPr>
    </w:p>
    <w:p>
      <w:pPr>
        <w:spacing w:after="0" w:line="1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Eurodollar interest rate futures contracts are exchange-traded; therefore, holders of these instruments look to the exchange for performance under these contracts and not to the holders of the offsetting futures contracts. Using exchange-traded instruments minimizes our exposure to risk from nonperformance under these contracts. The notional amount of our contracts does not represent our exposure to credit loss.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Market quotes are available for these agreements. The fair value of our Eurodollar interest rate futures contracts represents the estimated amount that we would receive or pay to terminate these agreements taking into account current interest rates. The net realized and unrealized gains (losses) included in earnings to record these contracts at fair value were $872 during 2005. The following table summarizes our use of interest rate risk management instruments:</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Balance at December 31, 2004 ...</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Sales ........................</w:t>
      </w:r>
    </w:p>
    <w:p>
      <w:pPr>
        <w:jc w:val="right"/>
        <w:spacing w:after="0" w:line="237" w:lineRule="auto"/>
        <w:rPr>
          <w:sz w:val="20"/>
          <w:szCs w:val="20"/>
          <w:color w:val="auto"/>
        </w:rPr>
      </w:pPr>
      <w:r>
        <w:rPr>
          <w:rFonts w:ascii="Courier New" w:cs="Courier New" w:eastAsia="Courier New" w:hAnsi="Courier New"/>
          <w:sz w:val="15"/>
          <w:szCs w:val="15"/>
          <w:color w:val="auto"/>
        </w:rPr>
        <w:t>Maturities ...................</w:t>
      </w:r>
    </w:p>
    <w:p>
      <w:pPr>
        <w:jc w:val="right"/>
        <w:spacing w:after="0" w:line="238" w:lineRule="auto"/>
        <w:rPr>
          <w:sz w:val="20"/>
          <w:szCs w:val="20"/>
          <w:color w:val="auto"/>
        </w:rPr>
      </w:pPr>
      <w:r>
        <w:rPr>
          <w:rFonts w:ascii="Courier New" w:cs="Courier New" w:eastAsia="Courier New" w:hAnsi="Courier New"/>
          <w:sz w:val="15"/>
          <w:szCs w:val="15"/>
          <w:color w:val="auto"/>
        </w:rPr>
        <w:t>Terminations .................</w:t>
      </w:r>
    </w:p>
    <w:p>
      <w:pPr>
        <w:spacing w:after="0" w:line="17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Balance at December 31,2005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Notional Amount</w:t>
      </w:r>
    </w:p>
    <w:p>
      <w:pPr>
        <w:ind w:left="80"/>
        <w:spacing w:after="0" w:line="237" w:lineRule="auto"/>
        <w:rPr>
          <w:sz w:val="20"/>
          <w:szCs w:val="20"/>
          <w:color w:val="auto"/>
        </w:rPr>
      </w:pPr>
      <w:r>
        <w:rPr>
          <w:rFonts w:ascii="Courier New" w:cs="Courier New" w:eastAsia="Courier New" w:hAnsi="Courier New"/>
          <w:sz w:val="15"/>
          <w:szCs w:val="15"/>
          <w:color w:val="auto"/>
        </w:rPr>
        <w:t>Short Euro Dollar</w:t>
      </w:r>
    </w:p>
    <w:p>
      <w:pPr>
        <w:ind w:left="260"/>
        <w:spacing w:after="0" w:line="238" w:lineRule="auto"/>
        <w:rPr>
          <w:sz w:val="20"/>
          <w:szCs w:val="20"/>
          <w:color w:val="auto"/>
        </w:rPr>
      </w:pPr>
      <w:r>
        <w:rPr>
          <w:rFonts w:ascii="Courier New" w:cs="Courier New" w:eastAsia="Courier New" w:hAnsi="Courier New"/>
          <w:sz w:val="15"/>
          <w:szCs w:val="15"/>
          <w:color w:val="auto"/>
        </w:rPr>
        <w:t>Interest Rate</w:t>
      </w:r>
    </w:p>
    <w:p>
      <w:pPr>
        <w:ind w:left="520"/>
        <w:spacing w:after="0" w:line="237" w:lineRule="auto"/>
        <w:rPr>
          <w:sz w:val="20"/>
          <w:szCs w:val="20"/>
          <w:color w:val="auto"/>
        </w:rPr>
      </w:pPr>
      <w:r>
        <w:rPr>
          <w:rFonts w:ascii="Courier New" w:cs="Courier New" w:eastAsia="Courier New" w:hAnsi="Courier New"/>
          <w:sz w:val="15"/>
          <w:szCs w:val="15"/>
          <w:color w:val="auto"/>
        </w:rPr>
        <w:t>Futures</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780"/>
        <w:spacing w:after="0" w:line="238" w:lineRule="auto"/>
        <w:rPr>
          <w:sz w:val="20"/>
          <w:szCs w:val="20"/>
          <w:color w:val="auto"/>
        </w:rPr>
      </w:pPr>
      <w:r>
        <w:rPr>
          <w:rFonts w:ascii="Courier New" w:cs="Courier New" w:eastAsia="Courier New" w:hAnsi="Courier New"/>
          <w:sz w:val="15"/>
          <w:szCs w:val="15"/>
          <w:color w:val="auto"/>
        </w:rPr>
        <w:t>4,089,000</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(828,000)</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3,261,000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ectPr>
          <w:pgSz w:w="11900" w:h="16838" w:orient="portrait"/>
          <w:cols w:equalWidth="0" w:num="2">
            <w:col w:w="2800" w:space="280"/>
            <w:col w:w="71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NOTE 19 INCOME TAXES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components of income tax expense (benefit) were as follows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2005</w:t>
            </w:r>
          </w:p>
        </w:tc>
        <w:tc>
          <w:tcPr>
            <w:tcW w:w="3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Federal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5,503</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(23,019)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448</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Foreign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7,417</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(22,554)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Federal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25,742</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Foreign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Provision for (reversal of) valuation allowance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on deferred tax asset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(2,125)</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(35,518)</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(1,602)</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(9,770)</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(32,324)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F-29</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type w:val="continuous"/>
        </w:sectPr>
      </w:pPr>
    </w:p>
    <w:bookmarkStart w:id="75" w:name="page76"/>
    <w:bookmarkEnd w:id="75"/>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Income tax expense (benefit) differs from the amounts computed by applying the U.S. Federal corporate income tax rate of 35% as follows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2005</w:t>
            </w:r>
          </w:p>
        </w:tc>
        <w:tc>
          <w:tcPr>
            <w:tcW w:w="3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Expected income tax expense (benefit) at statutory</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rate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7,308</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8,890</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1,760</w:t>
            </w:r>
          </w:p>
        </w:tc>
      </w:tr>
      <w:tr>
        <w:trPr>
          <w:trHeight w:val="168"/>
        </w:trPr>
        <w:tc>
          <w:tcPr>
            <w:tcW w:w="4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Differences between expected and actual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3567"/>
              <w:spacing w:after="0" w:line="168" w:lineRule="exact"/>
              <w:rPr>
                <w:sz w:val="20"/>
                <w:szCs w:val="20"/>
                <w:color w:val="auto"/>
              </w:rPr>
            </w:pPr>
            <w:r>
              <w:rPr>
                <w:rFonts w:ascii="Courier New" w:cs="Courier New" w:eastAsia="Courier New" w:hAnsi="Courier New"/>
                <w:sz w:val="15"/>
                <w:szCs w:val="15"/>
                <w:color w:val="auto"/>
              </w:rPr>
              <w:t>(benefit)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Excess of cost over net assets acquired, net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Indefinite deferral on earnings of non-U.S.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(2,023)</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(993)</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 tax (after Federal tax benefit)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Low-income housing tax credits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(998)</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(4,848)</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(2,393)</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 asset valuation allowance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(benefit) .....................................</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(2,125)</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(35,518)</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Recapture of base year bad debt reserve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1,967</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Foreign tax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w:t>
            </w:r>
          </w:p>
        </w:tc>
        <w:tc>
          <w:tcPr>
            <w:tcW w:w="3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Actual income tax expense (benefit)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(32,324)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452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deferred tax asset was comprised of the following as of</w:t>
      </w:r>
    </w:p>
    <w:p>
      <w:pPr>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2005</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 residuals and deferred income on tax residuals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4,058</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 taxes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8,465</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incentive compensation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2,368</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other liabilities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1,423</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Valuation allowance on real estate owned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Bad debt and allowance for loan losses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4,022</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3,067</w:t>
            </w:r>
          </w:p>
        </w:tc>
      </w:tr>
      <w:tr>
        <w:trPr>
          <w:trHeight w:val="168"/>
        </w:trPr>
        <w:tc>
          <w:tcPr>
            <w:tcW w:w="58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Net unrealized gains and losses on securities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securities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7,226</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Mortgage servicing rights amortization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66,187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61,216</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Goodwill amortization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Foreign currency exchange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 loss carryforward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9,910</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8,601</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operating loss carryforward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27,900</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27,086</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Partnership losses and low-income housing tax credits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54,915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62,904</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1,871</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187,787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185,994</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interest income on loans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1,255</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unrealized gains and losses on securities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3,640</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Research and development costs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2,384</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184,072</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183,610</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Valuation allowances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(163,802)</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(165,927)</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deferred tax asset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20,270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17,683</w:t>
            </w:r>
          </w:p>
        </w:tc>
      </w:tr>
      <w:tr>
        <w:trPr>
          <w:trHeight w:val="168"/>
        </w:trPr>
        <w:tc>
          <w:tcPr>
            <w:tcW w:w="58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the future reversal of temporary differences, tax character and the impact of tax planning strategies that can be implemented if warranted. As a result of this evaluation, we included in the tax provision decreases of $2,125 and $35,518 to the valuation allowance for 2005 and 2004, respectively, and an increase of $2,175 to the valuation allowance for 2003. The $35,518 reduction in the valuation allowance on the deferred tax asset in 2004 is principally a result of refund claims of $56,526 filed with the IRS that reduced our gross deferred tax asset and increased our income tax receivable balance by the same amount. These refund claims, which were affirmed in writing by the IRS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617" w:right="1440" w:bottom="349" w:gutter="0" w:footer="0" w:header="0"/>
        </w:sectPr>
      </w:pPr>
    </w:p>
    <w:bookmarkStart w:id="76" w:name="page77"/>
    <w:bookmarkEnd w:id="7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agent during 2004, arose because of changes in the tax law that allowed us to carry back net operating losses from 2001 and 2002 to taxes paid in earlier years.</w:t>
      </w:r>
    </w:p>
    <w:p>
      <w:pPr>
        <w:spacing w:after="0" w:line="174"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As of December 31, 2005, we had a deferred tax asset valuation allowance totaling $163,802. This allowance is comprised of $38,873 relating to built-in loss limitations arising from our acquisition of OAC and $124,929 relating to our evaluation of the future realization of prior years deferred tax asset.</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Before our acquisition of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Ocwen Financial Corporation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OAC's stock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 At December 31, 2005, we had realized built-in losses of $103,787 which consists of net operating loss carryforwards of $79,715 and capital loss carryforwards of $24,072.</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 The current Federal income tax expense in 2003 is the result of excess inclusion income generated by REMIC residuals.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2003, we had net operating loss carryforwards of $123,699 and capital loss carryforwards of $35,767. During 2004, we filed claims with the Internal Revenue Service to carryback these net operating losses and capital losses to prior years in which taxes were paid. At December 31, 2005, we had capital loss carryforwards of $4,242, which expire in 2009, and we had tax credit carryforwards of $51,233 related to our low-income housing tax credits which expire in the years 2018 through 2025.</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December 31, 1996, The Bank was permitted to deduct from taxable income an allowance for bad debts which was in excess of the provision for such losses charged to income. Accordingly, at December 31, 2004, retained earnings included $5,700, for which no provision for income tax has been provided. The base reserves were subject to recapture, if: (1) the Bank fails to qualify as a "bank" for federal income tax purposes, (2) certain distributions are made with respect to the stock of the Bank, (3) the bad debt reserves are used for any purpose other than to absorb bad debt losses or (4) there is a change in federal tax law.</w:t>
      </w:r>
    </w:p>
    <w:p>
      <w:pPr>
        <w:spacing w:after="0" w:line="178"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As a result of debanking, the Bank terminated its status as a federal savings bank. We, therefore, recorded a one-time provision of $1,967, to recognize a deferred tax liability arising from the recapture of bad debt reserves.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EMPLOYEE BENEFIT AND COMPENSATION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maintain a defined contribution plan to provide post retirement benefits to our eligible employees. We also adopted a number of compensation plans for certain of our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maintain a defined contribution 401(k) plan. We match 50% of each employee's contributions, limited to 2% of the employee's compensation. Our contributions to the 401(k) plan were $590, $490 and $417 for the years ended December 31, 2005, 2004 and 2003, respectively.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617" w:right="1440" w:bottom="685" w:gutter="0" w:footer="0" w:header="0"/>
        </w:sectPr>
      </w:pPr>
    </w:p>
    <w:bookmarkStart w:id="77" w:name="page78"/>
    <w:bookmarkEnd w:id="77"/>
    <w:p>
      <w:pPr>
        <w:jc w:val="center"/>
        <w:ind w:right="44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460" w:firstLine="437"/>
        <w:spacing w:after="0" w:line="236" w:lineRule="auto"/>
        <w:rPr>
          <w:sz w:val="20"/>
          <w:szCs w:val="20"/>
          <w:color w:val="auto"/>
        </w:rPr>
      </w:pPr>
      <w:r>
        <w:rPr>
          <w:rFonts w:ascii="Courier New" w:cs="Courier New" w:eastAsia="Courier New" w:hAnsi="Courier New"/>
          <w:sz w:val="15"/>
          <w:szCs w:val="15"/>
          <w:color w:val="auto"/>
        </w:rPr>
        <w:t>In connection with our acquisition of Berkeley Federal Savings Bank in June 1993, the Bank assumed the obligations under a noncontributory defined benefit pension plan (the "Plan") covering substantially all employees upon their eligibility under the terms of the Plan. We froze and fully funded the Plan after the plan year ended December 31,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PLAN</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The awards are based on objective performance criteria established by the Committee, which includes corporate profitability, growth in our core businesses, meeting budget objectives and achieving cost savings through Six Sigma initiatives. Non-qualified stock options to purchase our common stock are issued as part of the AIP and are granted pursuant to the Ocwen Financial Corporation 1991 Non-Qualified Stock Option Plan.</w:t>
      </w:r>
    </w:p>
    <w:p>
      <w:pPr>
        <w:spacing w:after="0" w:line="179" w:lineRule="exact"/>
        <w:rPr>
          <w:sz w:val="20"/>
          <w:szCs w:val="20"/>
          <w:color w:val="auto"/>
        </w:rPr>
      </w:pPr>
    </w:p>
    <w:p>
      <w:pPr>
        <w:ind w:right="4460" w:firstLine="437"/>
        <w:spacing w:after="0" w:line="235" w:lineRule="auto"/>
        <w:rPr>
          <w:sz w:val="20"/>
          <w:szCs w:val="20"/>
          <w:color w:val="auto"/>
        </w:rPr>
      </w:pPr>
      <w:r>
        <w:rPr>
          <w:rFonts w:ascii="Courier New" w:cs="Courier New" w:eastAsia="Courier New" w:hAnsi="Courier New"/>
          <w:sz w:val="15"/>
          <w:szCs w:val="15"/>
          <w:color w:val="auto"/>
        </w:rPr>
        <w:t>The following table provides a summary of our stock option activity for the years ended December 31, 2005, 2004 and 2003, and stock options exercisable at the end of each of those years: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2005</w:t>
            </w:r>
          </w:p>
        </w:tc>
        <w:tc>
          <w:tcPr>
            <w:tcW w:w="11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8"/>
              </w:rPr>
              <w:t>-----------------------------</w:t>
            </w:r>
          </w:p>
        </w:tc>
        <w:tc>
          <w:tcPr>
            <w:tcW w:w="1140" w:type="dxa"/>
            <w:vAlign w:val="bottom"/>
          </w:tcPr>
          <w:p>
            <w:pPr>
              <w:spacing w:after="0"/>
              <w:rPr>
                <w:sz w:val="14"/>
                <w:szCs w:val="14"/>
                <w:color w:val="auto"/>
              </w:rPr>
            </w:pPr>
          </w:p>
        </w:tc>
        <w:tc>
          <w:tcPr>
            <w:tcW w:w="28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Weighted</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Weighted</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Weighted</w:t>
            </w:r>
          </w:p>
        </w:tc>
      </w:tr>
      <w:tr>
        <w:trPr>
          <w:trHeight w:val="168"/>
        </w:trPr>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Average</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Average</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Number of</w:t>
            </w:r>
          </w:p>
        </w:tc>
        <w:tc>
          <w:tcPr>
            <w:tcW w:w="1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Exercise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 of</w:t>
            </w:r>
          </w:p>
        </w:tc>
        <w:tc>
          <w:tcPr>
            <w:tcW w:w="2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Exercise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 of</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Exercise</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Options</w:t>
            </w:r>
          </w:p>
        </w:tc>
        <w:tc>
          <w:tcPr>
            <w:tcW w:w="12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Price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Price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 ..</w:t>
            </w:r>
          </w:p>
        </w:tc>
        <w:tc>
          <w:tcPr>
            <w:tcW w:w="15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4,279,269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8.34</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4,581,370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8.08</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4,723,166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7.97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(1) .......................</w:t>
            </w: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411,703</w:t>
            </w:r>
          </w:p>
        </w:tc>
        <w:tc>
          <w:tcPr>
            <w:tcW w:w="1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633,169</w:t>
            </w:r>
          </w:p>
        </w:tc>
        <w:tc>
          <w:tcPr>
            <w:tcW w:w="2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431,982</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(203,410)</w:t>
            </w:r>
          </w:p>
        </w:tc>
        <w:tc>
          <w:tcPr>
            <w:tcW w:w="1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(543,260)</w:t>
            </w:r>
          </w:p>
        </w:tc>
        <w:tc>
          <w:tcPr>
            <w:tcW w:w="2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(359,419)</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 .........................</w:t>
            </w:r>
          </w:p>
        </w:tc>
        <w:tc>
          <w:tcPr>
            <w:tcW w:w="15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(259,667)</w:t>
            </w:r>
          </w:p>
        </w:tc>
        <w:tc>
          <w:tcPr>
            <w:tcW w:w="1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(392,010)</w:t>
            </w:r>
          </w:p>
        </w:tc>
        <w:tc>
          <w:tcPr>
            <w:tcW w:w="2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(214,359)</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 ........</w:t>
            </w: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4,227,895</w:t>
            </w:r>
          </w:p>
        </w:tc>
        <w:tc>
          <w:tcPr>
            <w:tcW w:w="1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4,279,269</w:t>
            </w:r>
          </w:p>
        </w:tc>
        <w:tc>
          <w:tcPr>
            <w:tcW w:w="2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4,581,370</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 ........</w:t>
            </w: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3,034,098</w:t>
            </w:r>
          </w:p>
        </w:tc>
        <w:tc>
          <w:tcPr>
            <w:tcW w:w="1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8.97</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2,805,555</w:t>
            </w:r>
          </w:p>
        </w:tc>
        <w:tc>
          <w:tcPr>
            <w:tcW w:w="2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2,541,593</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3200" w:type="dxa"/>
            <w:vAlign w:val="bottom"/>
          </w:tcPr>
          <w:p>
            <w:pPr>
              <w:spacing w:after="0"/>
              <w:rPr>
                <w:sz w:val="14"/>
                <w:szCs w:val="14"/>
                <w:color w:val="auto"/>
              </w:rPr>
            </w:pPr>
          </w:p>
        </w:tc>
        <w:tc>
          <w:tcPr>
            <w:tcW w:w="15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41" w:lineRule="exact"/>
        <w:rPr>
          <w:sz w:val="20"/>
          <w:szCs w:val="20"/>
          <w:color w:val="auto"/>
        </w:rPr>
      </w:pPr>
    </w:p>
    <w:p>
      <w:pPr>
        <w:ind w:left="440" w:right="4460" w:hanging="430"/>
        <w:spacing w:after="0" w:line="234"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was $8.71 in 2005, $9.48 in 2004 and $8.74 in 2003.</w:t>
      </w:r>
    </w:p>
    <w:p>
      <w:pPr>
        <w:spacing w:after="0" w:line="173" w:lineRule="exact"/>
        <w:rPr>
          <w:sz w:val="20"/>
          <w:szCs w:val="20"/>
          <w:color w:val="auto"/>
        </w:rPr>
      </w:pPr>
    </w:p>
    <w:p>
      <w:pPr>
        <w:ind w:right="5240" w:firstLine="437"/>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our stock options outstanding at December 31,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6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Options Outstanding</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Exercisable</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1240" w:type="dxa"/>
            <w:vAlign w:val="bottom"/>
          </w:tcPr>
          <w:p>
            <w:pPr>
              <w:spacing w:after="0"/>
              <w:rPr>
                <w:sz w:val="14"/>
                <w:szCs w:val="14"/>
                <w:color w:val="auto"/>
              </w:rPr>
            </w:pPr>
          </w:p>
        </w:tc>
        <w:tc>
          <w:tcPr>
            <w:tcW w:w="41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Weighted</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Weighted</w:t>
            </w:r>
          </w:p>
        </w:tc>
        <w:tc>
          <w:tcPr>
            <w:tcW w:w="14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Average</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Average</w:t>
            </w:r>
          </w:p>
        </w:tc>
        <w:tc>
          <w:tcPr>
            <w:tcW w:w="14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Remaining</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Exercise</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Exercise</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Contractual</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Award Year</w:t>
            </w:r>
          </w:p>
        </w:tc>
        <w:tc>
          <w:tcPr>
            <w:tcW w:w="15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Price Range</w:t>
            </w:r>
          </w:p>
        </w:tc>
        <w:tc>
          <w:tcPr>
            <w:tcW w:w="140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Number</w:t>
            </w:r>
          </w:p>
        </w:tc>
        <w:tc>
          <w:tcPr>
            <w:tcW w:w="120" w:type="dxa"/>
            <w:vAlign w:val="bottom"/>
          </w:tcPr>
          <w:p>
            <w:pPr>
              <w:spacing w:after="0"/>
              <w:rPr>
                <w:sz w:val="14"/>
                <w:szCs w:val="14"/>
                <w:color w:val="auto"/>
              </w:rPr>
            </w:pPr>
          </w:p>
        </w:tc>
        <w:tc>
          <w:tcPr>
            <w:tcW w:w="1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Price (1)</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Life (Years)</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Number</w:t>
            </w:r>
          </w:p>
        </w:tc>
        <w:tc>
          <w:tcPr>
            <w:tcW w:w="12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0"/>
              </w:rPr>
              <w:t>- ---------------</w:t>
            </w:r>
          </w:p>
        </w:tc>
        <w:tc>
          <w:tcPr>
            <w:tcW w:w="15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$ 6.10</w:t>
            </w:r>
          </w:p>
        </w:tc>
        <w:tc>
          <w:tcPr>
            <w:tcW w:w="840" w:type="dxa"/>
            <w:vAlign w:val="bottom"/>
          </w:tcPr>
          <w:p>
            <w:pPr>
              <w:spacing w:after="0"/>
              <w:rPr>
                <w:sz w:val="24"/>
                <w:szCs w:val="2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411,703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82,341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6.10</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- 10.60</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558,436</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107,631</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8.07</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322,739</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149,360</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348,955</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212,498</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- 12.55</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835,333</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731,539</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9.12</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625,525</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625,525</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108,721</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108,721</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58,771</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58,771</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12.31</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20.35</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437,132</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437,132</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431,580</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431,580</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89,000</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89,000</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4,227,895</w:t>
            </w:r>
          </w:p>
        </w:tc>
        <w:tc>
          <w:tcPr>
            <w:tcW w:w="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8.24</w:t>
            </w:r>
          </w:p>
        </w:tc>
        <w:tc>
          <w:tcPr>
            <w:tcW w:w="140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3,034,098</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8.97</w:t>
            </w:r>
          </w:p>
        </w:tc>
      </w:tr>
      <w:tr>
        <w:trPr>
          <w:trHeight w:val="168"/>
        </w:trPr>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341" w:lineRule="exact"/>
        <w:rPr>
          <w:sz w:val="20"/>
          <w:szCs w:val="20"/>
          <w:color w:val="auto"/>
        </w:rPr>
      </w:pPr>
    </w:p>
    <w:p>
      <w:pPr>
        <w:ind w:left="440" w:right="4540" w:hanging="430"/>
        <w:spacing w:after="0" w:line="235" w:lineRule="auto"/>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outstanding for award year 2004 include 328,436 at an exercise price of $6.57, 30,000 at $8.56 and 200,000 at $10.60. Options outstanding for award year 2001 include 475,333 at an exercise price of $5.79 and 360,000 at $12.55.</w:t>
      </w:r>
    </w:p>
    <w:p>
      <w:pPr>
        <w:spacing w:after="0" w:line="175" w:lineRule="exact"/>
        <w:rPr>
          <w:rFonts w:ascii="Courier New" w:cs="Courier New" w:eastAsia="Courier New" w:hAnsi="Courier New"/>
          <w:sz w:val="15"/>
          <w:szCs w:val="15"/>
          <w:color w:val="auto"/>
        </w:rPr>
      </w:pPr>
    </w:p>
    <w:p>
      <w:pPr>
        <w:ind w:left="440" w:right="4620" w:hanging="430"/>
        <w:spacing w:after="0" w:line="234" w:lineRule="auto"/>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exercised in January 2006 prior to the expiration date of January 31, 2006.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1460"/>
          </w:cols>
          <w:pgMar w:left="220" w:top="617" w:right="219" w:bottom="349" w:gutter="0" w:footer="0" w:header="0"/>
        </w:sectPr>
      </w:pPr>
    </w:p>
    <w:bookmarkStart w:id="78" w:name="page79"/>
    <w:bookmarkEnd w:id="7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After the awards of 411,703 options for 2005, the number of authorized shares remaining and available for future awards of stock options is 5,248,682.</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Stock options awarded under the AIP prior to 1998 had a one-year vesting period. Stock options awarded for 1998 and 1999 vested ratably over a three-year period. Stock options awarded for 2000 and thereafter generally vest ratably over a five-year period, including the award year. The term of all options granted is ten years from the grant date, except in the case of where employment terminates by reason of retirement, in which case the option will terminate no later than three years after such retirement or the end of the option term, whichever is earlier. We treat the difference, if any, between the fair market value of our stock at the date of grant and the exercise price as compensation expense. We recognize this compensation expense ratably over the vesting period of the grant. Included in compensation expense for the years ended December 31, 2005, 2004 and 2003 was $864, $1,266 and $1,226, respectively, related to options granted below fair market value. Effective with our adoption of SFAS No. 123 (R) on January 1, 2006, compensation expense related to options is measured based on the grant-date fair value of the options using the Black-Scholes option-pricing model.</w:t>
      </w:r>
    </w:p>
    <w:p>
      <w:pPr>
        <w:spacing w:after="0" w:line="175"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In 2003, the AIP was amended to provide the Compensation Committee the option to award common stock in lieu of cash. These awards are granted at no cost to the employee and vest ratably over a three-year period including the award year. The shares are issued to the employee upon vesting. Because the shares have not been registered with the Securities and Exchange Commission, their transferability and sale by the employee are subject to restriction periods and other conditions. Shares granted for the years ended December 31, 2005, 2004 and 2003 were 123,368, 115,074 and 126,643, respectively. The fair value of the grant is recognized as compensation expense ratably over the vesting period. Included in compensation expense for the years ended December 31, 2005, 2004 and 2003 was $920, $1,476 and $1,402, respectively relating to these stock awards.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STOCKHOLDERS' EQUITY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May 9, 2000, we announced that our Board of Directors authorized the repurchase of up to 6,000,000 of our issued and outstanding shares of common stock. To date, 431,100 shares have been repurchased under this plan (all in 2004). A total of 5,568,900 shares may still be purchased under this plan. On May 16, 2003 we announced our initiation of a stock repurchase program to purchase 700,000 shares of our issued and outstanding common stock with the intent to utilize these repurchased shares as a portion of our annual incentive awards to employees for service in 2002. During 2004 and 2003, we repurchased 200,000 and 500,000 shares, respectively, and issued 203,088 and 236,461 shares, respectively, to employees. No shares remain to be purchased under this plan. We also repurchased 4,850,000 shares in 2004 with a portion of the proceeds from our issuance of the Convertible Notes in July. No shares remain to be purchased under this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REGULATORY REQUIREMENTS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June 30, 2005, the Bank terminated its status as a federal savings bank. Prior to returning its original thrift charter to the Office of Thrift Supervision ("OTS"), the Bank operated as a federal savings bank and OCN was a registered savings and loan holding company. Our primary regulatory authority was the OTS.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our debanking process, on February 4, 2005, OCN and the Bank entered into a Branch Purchase and Deposit Assumption Agreement (the "Branch Purchase Agreement") with Marathon National Bank of New York ("Marathon"). Pursuant to the Branch Purchase Agreement, Marathon agreed to assume the deposit liabilities of the accounts associated with the Bank's branch facility in Fort Lee, New Jersey. In addition, Marathon agreed to take over the lease and other contracts and acquire the assets related to the branch. We agreed to make a cash payment to Marathon, which was calculated based upon, among other things, the amount of those deposit account liabilities as of the closing. On June 13, 2005, the OTS approved our plan of voluntary dissolution for the Bank subject to certain conditions, including, among other things, our entering into an agreement to guaranty the obligations of the Bank (other than the deposit and other liabilities that were assumed by Marathon in connection with the Branch Purchase Agreement), a cash collateral agreement and a collateral trust agreement, all on terms acceptable to the OTS.</w:t>
      </w:r>
    </w:p>
    <w:p>
      <w:pPr>
        <w:spacing w:after="0" w:line="332"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Following receipt of OTS approval, OCN entered into an Assignment and Assumption Agreement, dated June 28, 2005, whereby the Bank assigned to OLS, directly or indirectly, all of its assets, liabilities and business remaining after the consummation of the transactions with Marathon.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617" w:right="1440" w:bottom="1440" w:gutter="0" w:footer="0" w:header="0"/>
        </w:sectPr>
      </w:pPr>
    </w:p>
    <w:bookmarkStart w:id="79" w:name="page80"/>
    <w:bookmarkEnd w:id="7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conditions set forth in the OTS Approval, OCN entered into an agreement (the "Guaranty") in favor of the OTS and any holders of claims with respect to liabilities assumed by OLS from the Bank in connection with the Assignment (the "Assumed Liabilities"). Assumed Liabilities include all legal actions against the Bank. The Guaranty contains affirmative covenants relating to the maintenance of a cash collateral account, reporting requirements, transactions with affiliates, preservation of the existence of our subsidiaries and maintenance of not less than $35,000 of unencumbered financial assets. Pursuant to the Guaranty, we also agreed that OCN and its subsidiaries would not, among other things:</w:t>
      </w:r>
    </w:p>
    <w:p>
      <w:pPr>
        <w:spacing w:after="0" w:line="179" w:lineRule="exact"/>
        <w:rPr>
          <w:sz w:val="20"/>
          <w:szCs w:val="20"/>
          <w:color w:val="auto"/>
        </w:rPr>
      </w:pPr>
    </w:p>
    <w:p>
      <w:pPr>
        <w:ind w:left="440" w:right="3399" w:hanging="430"/>
        <w:spacing w:after="0" w:line="235"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debt (as defined) if, following the incurrence of such debt, the ratio of our consolidated debt to our tangible net worth (as defined) for the most recent fiscal quarter exceeds 7.25:1.00;</w:t>
      </w:r>
    </w:p>
    <w:p>
      <w:pPr>
        <w:spacing w:after="0" w:line="5"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merger transaction or sale of all or substantially all of our assets, except for certain mergers among us and our subsidiaries or with an entity with a specified minimum credit rating that agrees to assume our obligations under the Guaranty, and provided that we maintain a specified minimum net worth;</w:t>
      </w:r>
    </w:p>
    <w:p>
      <w:pPr>
        <w:spacing w:after="0" w:line="5"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transfer or otherwise dispose of any assets, except in exchange for consideration of at least 85% cash for fair value and provided that, after giving effect to any such sale, lease, transfer or disposition, the ratio of our consolidated debt to our tangible net worth for the most recent fiscal quarter does not exceed 7.25:1.00; or</w:t>
      </w:r>
    </w:p>
    <w:p>
      <w:pPr>
        <w:spacing w:after="0" w:line="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any dividends or acquire any of our capital stock, ownership interests or make any distributions or return of capital to our stockholders, partners or members, except for (i) such dividends or distributions that are payable only in OCN's common stock, (ii) such declarations, dividends, acquisitions, distributions or returns of capital in cash if we maintain a minimum net worth of $333,000 and rating of B2 from Moody's and B- from S&amp;P on our unsecured, non credit-enhanced debt and any such capital distributions do not exceed our consolidated net income for the year plus our retained earnings for the two preceding years or</w:t>
      </w:r>
    </w:p>
    <w:p>
      <w:pPr>
        <w:spacing w:after="0" w:line="3" w:lineRule="exact"/>
        <w:rPr>
          <w:rFonts w:ascii="Courier New" w:cs="Courier New" w:eastAsia="Courier New" w:hAnsi="Courier New"/>
          <w:sz w:val="14"/>
          <w:szCs w:val="14"/>
          <w:color w:val="auto"/>
        </w:rPr>
      </w:pPr>
    </w:p>
    <w:p>
      <w:pPr>
        <w:ind w:left="440" w:right="3319" w:firstLine="7"/>
        <w:spacing w:after="0" w:line="234" w:lineRule="auto"/>
        <w:tabs>
          <w:tab w:leader="none" w:pos="96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paid by a subsidiary of OCN to OCN or to any of OCN's wholly owned subsidiaries of which such entity is a subsidiary.</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As of December 31, 2005, we were in compliance with all of the covenants specified in the Guaranty.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Guaranty will remain in effect until the later of (a) the sixth anniversary of the date on which the Bank's federal bank charter was cancelled or (b) the date on which we have paid in full (i) any obligations that arise out of the Assumed Liabilities with respect to which a claim has been asserted on or prior to the sixth anniversary of the date on which the Bank's federal bank charter was cancelled and (ii) all other amounts payable by us under the Guaranty.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OCN also entered into a Cash Collateral Agreement and a Collateral Trust Agreement, each dated June 28, 2005, with the Bank of New York pursuant to which we established a collateral trust account to secure payment of our obligations under the Guaranty. We have agreed to maintain in the cash collateral account a minimum of $5,000. The Cash Collateral Agreement and the Collateral Trust Agreement will terminate upon termination of the Guaranty and receipt of proper notice of such termination. This cash collateral deposit is included with other assets in the consolidated balance sheet.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30, 2005, we completed our divestiture to Marathon of the deposit liabilities of the accounts associated with the branch and our assignment of the remaining assets, liabilities and business of the Bank to OLS. We recognized a gain of $1,750 from the sale of our branch deposit liabilities to Marathon. In addition, we recorded a one-time provision of $1,124, which is net of a related adjustment to the deferred tax asset valuation allowance, arising from the recapture of bad debt reserves in connection with our termination of the Bank's status as a federal savings bank.</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Effective June 30, 2005, the Supervisory Agreement that the Bank and OTS had entered into on April 19, 2004 terminated because we were no longer an FDIC</w:t>
      </w:r>
    </w:p>
    <w:p>
      <w:pPr>
        <w:spacing w:after="0" w:line="1" w:lineRule="exact"/>
        <w:rPr>
          <w:sz w:val="20"/>
          <w:szCs w:val="20"/>
          <w:color w:val="auto"/>
        </w:rPr>
      </w:pPr>
    </w:p>
    <w:p>
      <w:pPr>
        <w:ind w:right="3239" w:firstLine="10"/>
        <w:spacing w:after="0" w:line="236" w:lineRule="auto"/>
        <w:tabs>
          <w:tab w:leader="none" w:pos="17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insured institution. The OTS retains, for a period of six years after termination of the Supervisory Agreement, the right to bring enforcement actions in respect of any breach or noncompliance by the Bank with the Supervisory Agreement, or other applicable regulations, that may have occurred prior to debanking.</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are continuing the Bank's residential mortgage servicing business under OLS, which is a licensed servicer in all fifty states, the District of Columbia and Puerto Rico. As a result of debanking, we are no longer able to accept deposits in the U.S or benefit from federal preemption with regard to post-debanking activities.</w:t>
      </w:r>
    </w:p>
    <w:p>
      <w:pPr>
        <w:spacing w:after="0" w:line="174"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OLS is subject to the rules and regulations of various Federal agencies, Fannie Mae, Freddie Mac, Ginnie Mae and state regulatory authorities. In order to remain a servicer of loans in good standing under these regulations, OLS is required to maintain specified levels of stockholders' equity.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617" w:right="1440" w:bottom="517" w:gutter="0" w:footer="0" w:header="0"/>
        </w:sectPr>
      </w:pPr>
    </w:p>
    <w:bookmarkStart w:id="80" w:name="page81"/>
    <w:bookmarkEnd w:id="80"/>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BOK, our German subsidiary that we acquired on September 30, 2004, is licensed as a credit institution (Kreditinstitut) under the laws of the Federal Republic of Germany and is supervised and regulated in Germany by the German Federal Financial Supervisory Authority (Bundesanstalt fur Finanzdienstleistungsaufsicht, or BaFin), the German Central Bank (Deutsche Bundesbank) and, in respect of minimum reserves on deposits, the European Central Bank. BOK, under its license, may engage not only in a number of traditional banking activities such as deposit and lending business, but also in investment banking, underwriting and securities trading transactions, both for its own account and for customers. BOK is currently not significant to our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23 OTHER OPERATING EXPENSES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presents the principal components of other operating expenses we incurred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2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96"/>
              </w:rPr>
              <w:t>Impairment of working capital investment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in consolidated VIE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bad debts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5,308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2,655</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Valuation losses on loans held for resale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loan losses ........................</w:t>
            </w:r>
          </w:p>
        </w:tc>
        <w:tc>
          <w:tcPr>
            <w:tcW w:w="4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(1,881)</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Travel, lodging, meals and entertainment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4,242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3,361</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5,929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4,198</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27,060</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8,333</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24 INTEREST INCOME</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following table presents the components of interest income for each category of our interest-earning assets for the years ended December 31: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2005</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Interest earning cash and short-term cash</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investments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2,641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3,380</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securities, at fair value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grade securities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3,638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1,271</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Subordinates and residuals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13,839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16,314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17,418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Match funded loans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1,035</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Loans held for resale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4,642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Loans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1,676</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1,614</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25,238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23,676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24,122</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25 INTEREST EXPENSE</w:t>
      </w:r>
    </w:p>
    <w:p>
      <w:pPr>
        <w:spacing w:after="0" w:line="173" w:lineRule="exact"/>
        <w:rPr>
          <w:sz w:val="20"/>
          <w:szCs w:val="20"/>
          <w:color w:val="auto"/>
        </w:rPr>
      </w:pPr>
    </w:p>
    <w:p>
      <w:pPr>
        <w:jc w:val="both"/>
        <w:ind w:right="3499" w:firstLine="437"/>
        <w:spacing w:after="0" w:line="261" w:lineRule="auto"/>
        <w:rPr>
          <w:sz w:val="20"/>
          <w:szCs w:val="20"/>
          <w:color w:val="auto"/>
        </w:rPr>
      </w:pPr>
      <w:r>
        <w:rPr>
          <w:rFonts w:ascii="Courier New" w:cs="Courier New" w:eastAsia="Courier New" w:hAnsi="Courier New"/>
          <w:sz w:val="14"/>
          <w:szCs w:val="14"/>
          <w:color w:val="auto"/>
        </w:rPr>
        <w:t>The following table presents the components of interest expense for each category of our interest-bearing liabilities for the years ended December 31: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2005</w:t>
            </w:r>
          </w:p>
        </w:tc>
        <w:tc>
          <w:tcPr>
            <w:tcW w:w="36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Match funded liabilities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16,104</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4,923</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Lines of credit and other secured borrowings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4,865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Debt securities (1)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12,582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9,089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9,929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Deposits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13,634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17,546</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37,261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30,364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38,716</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hanging="430"/>
        <w:spacing w:after="0" w:line="236"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on Capital Securities as a result of our adoption of SFAS No. 150 effective July 1, 2003 was $6,027, $6,117 and $3,059 for the years 2005, 2004 and 2003, respectively. Interest expense on our 3.25% Contingent Convertible Senior Unsecured Notes issued in July 2004 was $6,555 and $2,972 for the years 2005 and 2004,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617" w:right="1440" w:bottom="853" w:gutter="0" w:footer="0" w:header="0"/>
        </w:sectPr>
      </w:pPr>
    </w:p>
    <w:bookmarkStart w:id="81" w:name="page82"/>
    <w:bookmarkEnd w:id="81"/>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26 OTHER, NET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presents the principal components of other income we earned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2005</w:t>
            </w:r>
          </w:p>
        </w:tc>
        <w:tc>
          <w:tcPr>
            <w:tcW w:w="32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Interest on federal tax refund claims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1,900</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6,874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(loss) on real estate .......................</w:t>
            </w:r>
          </w:p>
        </w:tc>
        <w:tc>
          <w:tcPr>
            <w:tcW w:w="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1,815</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on investments in affordable housing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properties ......................................</w:t>
            </w:r>
          </w:p>
        </w:tc>
        <w:tc>
          <w:tcPr>
            <w:tcW w:w="4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(loss) on sales of interest-earning assets ..</w:t>
            </w:r>
          </w:p>
        </w:tc>
        <w:tc>
          <w:tcPr>
            <w:tcW w:w="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872</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3,905</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2,794</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2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6,742</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8,178</w:t>
            </w:r>
          </w:p>
        </w:tc>
        <w:tc>
          <w:tcPr>
            <w:tcW w:w="120" w:type="dxa"/>
            <w:vAlign w:val="bottom"/>
          </w:tcPr>
          <w:p>
            <w:pPr>
              <w:spacing w:after="0"/>
              <w:rPr>
                <w:sz w:val="14"/>
                <w:szCs w:val="14"/>
                <w:color w:val="auto"/>
              </w:rPr>
            </w:pP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452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27 BUSINESS SEGMENT REPORTING</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 brief description of our business segments, aligned within our two areas of focus, is as 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Servicing</w:t>
      </w:r>
    </w:p>
    <w:p>
      <w:pPr>
        <w:spacing w:after="0" w:line="5" w:lineRule="exact"/>
        <w:rPr>
          <w:sz w:val="20"/>
          <w:szCs w:val="20"/>
          <w:color w:val="auto"/>
        </w:rPr>
      </w:pPr>
    </w:p>
    <w:p>
      <w:pPr>
        <w:ind w:left="880" w:right="3239" w:hanging="258"/>
        <w:spacing w:after="0" w:line="254" w:lineRule="auto"/>
        <w:tabs>
          <w:tab w:leader="none" w:pos="8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Servicing. Through this business we provide loan servicing including asset management and resolution services to third party owners of subprime residential mortgage and high loan-to-value loans for a fee. We acquire the rights to service loans by purchasing them or by entering into subservicing contracts. This segment also includes our residential loan servicing system product (REALServicing).</w:t>
      </w:r>
    </w:p>
    <w:p>
      <w:pPr>
        <w:spacing w:after="0" w:line="2" w:lineRule="exact"/>
        <w:rPr>
          <w:rFonts w:ascii="Courier New" w:cs="Courier New" w:eastAsia="Courier New" w:hAnsi="Courier New"/>
          <w:sz w:val="14"/>
          <w:szCs w:val="14"/>
          <w:color w:val="auto"/>
        </w:rPr>
      </w:pPr>
    </w:p>
    <w:p>
      <w:pPr>
        <w:ind w:left="880" w:right="3399" w:hanging="258"/>
        <w:spacing w:after="0" w:line="236"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Servicing. This segment includes the results of both our domestic and international servicing of commercial assets (loans and real estate), as well as our commercial loan servicing product (REALSynergy). Prior to 2004, domestic commercial servicing was reported as a component of the Commercial Finance segment (re-named Commercial Assets), and the results of our international operations were reported as a separate segment. International servicing is conducted through GSS.</w:t>
      </w:r>
    </w:p>
    <w:p>
      <w:pPr>
        <w:spacing w:after="0" w:line="8" w:lineRule="exact"/>
        <w:rPr>
          <w:rFonts w:ascii="Courier New" w:cs="Courier New" w:eastAsia="Courier New" w:hAnsi="Courier New"/>
          <w:sz w:val="15"/>
          <w:szCs w:val="15"/>
          <w:color w:val="auto"/>
        </w:rPr>
      </w:pPr>
    </w:p>
    <w:p>
      <w:pPr>
        <w:ind w:left="880" w:right="3239" w:hanging="258"/>
        <w:spacing w:after="0" w:line="258" w:lineRule="auto"/>
        <w:tabs>
          <w:tab w:leader="none" w:pos="8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Ocwen Recovery Group. This business conducts collection activities for third party owners of unsecured receivables and for a portfolio of unsecured credit card receivables that we acquired in 1999 and 2000.</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 Processing and Origination Services</w:t>
      </w:r>
    </w:p>
    <w:p>
      <w:pPr>
        <w:spacing w:after="0" w:line="5" w:lineRule="exact"/>
        <w:rPr>
          <w:sz w:val="20"/>
          <w:szCs w:val="20"/>
          <w:color w:val="auto"/>
        </w:rPr>
      </w:pPr>
    </w:p>
    <w:p>
      <w:pPr>
        <w:ind w:left="880" w:right="3319" w:hanging="258"/>
        <w:spacing w:after="0" w:line="236"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Origination Services. This business provides various loan origination services, including residential property valuation services, mortgage due diligence, title services and loan refinancing for Residential Servicing customers. This segment also includes our internet-based vendor management system product (REALTrans) and our subprime residual trading securities.</w:t>
      </w:r>
    </w:p>
    <w:p>
      <w:pPr>
        <w:spacing w:after="0" w:line="6" w:lineRule="exact"/>
        <w:rPr>
          <w:rFonts w:ascii="Courier New" w:cs="Courier New" w:eastAsia="Courier New" w:hAnsi="Courier New"/>
          <w:sz w:val="15"/>
          <w:szCs w:val="15"/>
          <w:color w:val="auto"/>
        </w:rPr>
      </w:pPr>
    </w:p>
    <w:p>
      <w:pPr>
        <w:ind w:left="880" w:right="3239" w:hanging="258"/>
        <w:spacing w:after="0" w:line="256" w:lineRule="auto"/>
        <w:tabs>
          <w:tab w:leader="none" w:pos="8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Process Outsourcing. This business segment began operations in December 2002. Business Process Outsourcing provides outsourcing services to third parties including mortgage underwriting, data entry, call center services and mortgage research.</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Corporate Items and Other. This segment includes items of revenue and expense that are not directly related to a business, including business activities that are individually insignificant, interest income on short-term investments of cash and the related costs of financing these investments and certain other corporate expenses.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Based on the relative insignificance of the assets remaining in the following segments, the remaining assets of these businesses and any related income or loss arising from their resolution have been included in the Corporate Items and Other segment beginning January 1, 2005. Segment information for the prior periods has been restated to conform to this presentation.</w:t>
      </w:r>
    </w:p>
    <w:p>
      <w:pPr>
        <w:spacing w:after="0" w:line="163" w:lineRule="exact"/>
        <w:rPr>
          <w:sz w:val="20"/>
          <w:szCs w:val="20"/>
          <w:color w:val="auto"/>
        </w:rPr>
      </w:pPr>
    </w:p>
    <w:p>
      <w:pPr>
        <w:ind w:left="880" w:right="3399" w:hanging="258"/>
        <w:spacing w:after="0" w:line="254" w:lineRule="auto"/>
        <w:tabs>
          <w:tab w:leader="none" w:pos="8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Assets. This segment comprised operations to acquire sub-performing commercial loans at a discount, as well as operations to invest in and reposition under-performing real estate assets.</w:t>
      </w:r>
    </w:p>
    <w:p>
      <w:pPr>
        <w:spacing w:after="0" w:line="1" w:lineRule="exact"/>
        <w:rPr>
          <w:rFonts w:ascii="Courier New" w:cs="Courier New" w:eastAsia="Courier New" w:hAnsi="Courier New"/>
          <w:sz w:val="14"/>
          <w:szCs w:val="14"/>
          <w:color w:val="auto"/>
        </w:rPr>
      </w:pPr>
    </w:p>
    <w:p>
      <w:pPr>
        <w:ind w:left="880" w:right="3399" w:hanging="258"/>
        <w:spacing w:after="0" w:line="235"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Affordable Housing. Includes our investments, primarily through limited partnerships, in qualified low-income rental housing for the purpose of obtaining Federal income tax credits.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allocate interest income and expense to each business segment for the investment of funds raised or funding of investments made. We also make allocations of non-interest expense generated by corporate support services to each business segment.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17" w:right="1440" w:bottom="1022" w:gutter="0" w:footer="0" w:header="0"/>
        </w:sectPr>
      </w:pPr>
    </w:p>
    <w:bookmarkStart w:id="82" w:name="page83"/>
    <w:bookmarkEnd w:id="82"/>
    <w:p>
      <w:pPr>
        <w:jc w:val="center"/>
        <w:ind w:right="44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440"/>
        <w:spacing w:after="0" w:line="238" w:lineRule="auto"/>
        <w:rPr>
          <w:sz w:val="20"/>
          <w:szCs w:val="20"/>
          <w:color w:val="auto"/>
        </w:rPr>
      </w:pPr>
      <w:r>
        <w:rPr>
          <w:rFonts w:ascii="Courier New" w:cs="Courier New" w:eastAsia="Courier New" w:hAnsi="Courier New"/>
          <w:sz w:val="15"/>
          <w:szCs w:val="15"/>
          <w:color w:val="auto"/>
        </w:rPr>
        <w:t>DECEMBER 31, 2005, 2004 AND 2003</w:t>
      </w:r>
    </w:p>
    <w:tbl>
      <w:tblPr>
        <w:tblLayout w:type="fixed"/>
        <w:tblInd w:w="0" w:type="dxa"/>
        <w:tblCellMar>
          <w:top w:w="0" w:type="dxa"/>
          <w:left w:w="0" w:type="dxa"/>
          <w:bottom w:w="0" w:type="dxa"/>
          <w:right w:w="0" w:type="dxa"/>
        </w:tblCellMar>
      </w:tblPr>
      <w:tr>
        <w:trPr>
          <w:trHeight w:val="168"/>
        </w:trPr>
        <w:tc>
          <w:tcPr>
            <w:tcW w:w="570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Operating</w:t>
            </w:r>
          </w:p>
        </w:tc>
        <w:tc>
          <w:tcPr>
            <w:tcW w:w="220" w:type="dxa"/>
            <w:vAlign w:val="bottom"/>
          </w:tcPr>
          <w:p>
            <w:pPr>
              <w:spacing w:after="0"/>
              <w:rPr>
                <w:sz w:val="24"/>
                <w:szCs w:val="24"/>
                <w:color w:val="auto"/>
              </w:rPr>
            </w:pP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Other Income</w:t>
            </w:r>
          </w:p>
        </w:tc>
        <w:tc>
          <w:tcPr>
            <w:tcW w:w="18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Pre-Tax</w:t>
            </w:r>
          </w:p>
        </w:tc>
        <w:tc>
          <w:tcPr>
            <w:tcW w:w="3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Revenue</w:t>
            </w:r>
          </w:p>
        </w:tc>
        <w:tc>
          <w:tcPr>
            <w:tcW w:w="22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Income (Loss)</w:t>
            </w:r>
          </w:p>
        </w:tc>
        <w:tc>
          <w:tcPr>
            <w:tcW w:w="30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2005</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279,660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236,517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21,695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783,560</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19,511</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16,419</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2,940</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6,433</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11,683</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12,715</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Origination Services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54,732</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71,221</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12,039</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(4,450)</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679,432</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11,265</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9,945</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1,225</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376,851</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346,817</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(9,308)</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20,726</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1,471,620</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(1,475)</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6,669</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8,298</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382,513</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375,376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353,486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20,880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1,854,133</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At or for the year ended December 31, 2004</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280,809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244,758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16,639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687,233</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16,070</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17,468</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1,174</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13,659</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13,646</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9,901</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3,916</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Origination Services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41,384</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41,009</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13,128</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13,503</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49,348</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9,493</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7,264</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2,205</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361,402</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320,400</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(4,963)</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36,039</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753,283</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(1,516)</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15,039</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5,916</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(10,639)</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829,249</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359,886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335,439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25,400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1,582,532</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At or for the year ended December 31, 2003</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267,437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221,176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(20,578)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25,683</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673,433</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7,261</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13,766</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(5,736)</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5,674</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Ocwen Recovery Group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11,904</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6,856</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5,300</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Origination Services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23,021</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35,586</w:t>
            </w:r>
          </w:p>
        </w:tc>
        <w:tc>
          <w:tcPr>
            <w:tcW w:w="2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18,098</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5,533</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44,662</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4,496</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2,598</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314,119</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279,982</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(1,464)</w:t>
            </w:r>
          </w:p>
        </w:tc>
        <w:tc>
          <w:tcPr>
            <w:tcW w:w="1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32,673</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725,102</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c>
          <w:tcPr>
            <w:tcW w:w="2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15,578</w:t>
            </w:r>
          </w:p>
        </w:tc>
        <w:tc>
          <w:tcPr>
            <w:tcW w:w="2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(12,589)</w:t>
            </w:r>
          </w:p>
        </w:tc>
        <w:tc>
          <w:tcPr>
            <w:tcW w:w="1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(27,153)</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601,254</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315,133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295,560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1,326,356</w:t>
            </w:r>
          </w:p>
        </w:tc>
      </w:tr>
      <w:tr>
        <w:trPr>
          <w:trHeight w:val="168"/>
        </w:trPr>
        <w:tc>
          <w:tcPr>
            <w:tcW w:w="416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28 COMMITMENTS AND CONTINGENCIES</w:t>
      </w:r>
    </w:p>
    <w:p>
      <w:pPr>
        <w:spacing w:after="0" w:line="173" w:lineRule="exact"/>
        <w:rPr>
          <w:sz w:val="20"/>
          <w:szCs w:val="20"/>
          <w:color w:val="auto"/>
        </w:rPr>
      </w:pPr>
    </w:p>
    <w:p>
      <w:pPr>
        <w:ind w:right="4460" w:firstLine="437"/>
        <w:spacing w:after="0" w:line="235" w:lineRule="auto"/>
        <w:rPr>
          <w:sz w:val="20"/>
          <w:szCs w:val="20"/>
          <w:color w:val="auto"/>
        </w:rPr>
      </w:pPr>
      <w:r>
        <w:rPr>
          <w:rFonts w:ascii="Courier New" w:cs="Courier New" w:eastAsia="Courier New" w:hAnsi="Courier New"/>
          <w:sz w:val="15"/>
          <w:szCs w:val="15"/>
          <w:color w:val="auto"/>
        </w:rPr>
        <w:t>We lease certain of our premises under non-cancelable operating leases with terms expiring through 2012, exclusive of renewal option periods. Our annual aggregate minimum rental commitments under these leases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2006 ....................</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3,626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2007 ....................</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2008 ....................</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2009 ....................</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2010 ....................</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w:t>
            </w:r>
          </w:p>
        </w:tc>
      </w:tr>
      <w:tr>
        <w:trPr>
          <w:trHeight w:val="168"/>
        </w:trPr>
        <w:tc>
          <w:tcPr>
            <w:tcW w:w="232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lease payments ..</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12,634</w:t>
            </w:r>
          </w:p>
        </w:tc>
      </w:tr>
      <w:tr>
        <w:trPr>
          <w:trHeight w:val="168"/>
        </w:trPr>
        <w:tc>
          <w:tcPr>
            <w:tcW w:w="232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460" w:firstLine="437"/>
        <w:spacing w:after="0" w:line="235" w:lineRule="auto"/>
        <w:rPr>
          <w:sz w:val="20"/>
          <w:szCs w:val="20"/>
          <w:color w:val="auto"/>
        </w:rPr>
      </w:pPr>
      <w:r>
        <w:rPr>
          <w:rFonts w:ascii="Courier New" w:cs="Courier New" w:eastAsia="Courier New" w:hAnsi="Courier New"/>
          <w:sz w:val="15"/>
          <w:szCs w:val="15"/>
          <w:color w:val="auto"/>
        </w:rPr>
        <w:t>We converted rental commitments for our facilities outside the United States of America to U.S. dollars using exchange rates in effect at December 31, 2005. Rent expense for the years ended December 31, 2005, 2004 and 2003 was $3,928, $2,725 and $3,511, respectively.</w:t>
      </w:r>
    </w:p>
    <w:p>
      <w:pPr>
        <w:spacing w:after="0" w:line="175" w:lineRule="exact"/>
        <w:rPr>
          <w:sz w:val="20"/>
          <w:szCs w:val="20"/>
          <w:color w:val="auto"/>
        </w:rPr>
      </w:pPr>
    </w:p>
    <w:p>
      <w:pPr>
        <w:jc w:val="both"/>
        <w:ind w:right="4620" w:firstLine="437"/>
        <w:spacing w:after="0" w:line="258" w:lineRule="auto"/>
        <w:rPr>
          <w:sz w:val="20"/>
          <w:szCs w:val="20"/>
          <w:color w:val="auto"/>
        </w:rPr>
      </w:pPr>
      <w:r>
        <w:rPr>
          <w:rFonts w:ascii="Courier New" w:cs="Courier New" w:eastAsia="Courier New" w:hAnsi="Courier New"/>
          <w:sz w:val="14"/>
          <w:szCs w:val="14"/>
          <w:color w:val="auto"/>
        </w:rPr>
        <w:t>At December 31, 2005, we had commitments of $58,489 to fund loans secured by mortgages on single family residential properties. We also have commitments to sell $17,442 of these loans, generally within 30 days of funding.</w:t>
      </w:r>
    </w:p>
    <w:p>
      <w:pPr>
        <w:spacing w:after="0" w:line="161" w:lineRule="exact"/>
        <w:rPr>
          <w:sz w:val="20"/>
          <w:szCs w:val="20"/>
          <w:color w:val="auto"/>
        </w:rPr>
      </w:pPr>
    </w:p>
    <w:p>
      <w:pPr>
        <w:ind w:right="4460" w:firstLine="437"/>
        <w:spacing w:after="0" w:line="255" w:lineRule="auto"/>
        <w:rPr>
          <w:sz w:val="20"/>
          <w:szCs w:val="20"/>
          <w:color w:val="auto"/>
        </w:rPr>
      </w:pPr>
      <w:r>
        <w:rPr>
          <w:rFonts w:ascii="Courier New" w:cs="Courier New" w:eastAsia="Courier New" w:hAnsi="Courier New"/>
          <w:sz w:val="14"/>
          <w:szCs w:val="14"/>
          <w:color w:val="auto"/>
        </w:rPr>
        <w:t>Through our investment in subordinated residual securities, which had a fair value of $30,277 at December 31, 2005,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debt securities, we may not recover our remaining investment.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1460"/>
          </w:cols>
          <w:pgMar w:left="220" w:top="617" w:right="219" w:bottom="853"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sales agreements entered into in connection with the sale of certain of our affordable housing properties, we have a commitment to fund cash deficits that may arise from the operations of those properties. The remaining term of these commitments ranges from two to five years. The obligation under these commitments was $4,470 as of December 31, 2005. Any operating deficits we fund are supported by a promissory note to be repaid to us from future cash flows of the property. In addition, we have provided to the purchasers of certain affordable housing properties guaranties against the possible recapture of future tax credits. We have never experienced a recapture of tax credits on any of the affordable housing properties in which we invested or sold. We have not recognized these guaranties as a liability because the probability of recapture is considered remote.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 limited guarantor under a master loan and security agreement that terminates in October 2006. Our guarantee is limited to 5% of the aggregate principal balance of the mortgage loans pledged to secure any debt under this agreement. The maximum amount of potential future payments under the guaranty is approximately $20,000, including $12,500 related to a consolidated VIE. We have not recognized a liability for our guaranty because, based on the estimated fair value of the loans securing the debt, we believe that the probability of nonpayment is remote.</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Under the terms of the Assignment and Assumption agreement, OLS has become the successor to the Bank with respect to all legal actions. Therefore, any references to the Bank in connection with the following legal matters pertain to OLS as successor.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case to proceed in the United States District Court for the Northern District of Illinois under caption styled: In re Ocwen Federal Bank FSB Mortgage Servicing Litigation, MDL Docket No. 1604 (the "MDL Proceeding"). The consolidated lawsuits in which we are defendants involve 60 mortgage loans currently or previously serviced. Additional similar lawsuits have been brought in other courts, some of which may be transferred to and consolidated in the MDL Proceeding. The borrowers in these lawsuits seek class action certification. No class has been certified in the MDL Proceeding or any related lawsuits. On August 23, 2004, plaintiffs filed a Consolidated Complaint containing various claims under federal statutes, including the Real Estate Settlement Procedures Act and Fair Debt Collection Practices Act,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and property inspection fees; (ii) untimely posting and misapplication of borrower payments; and (iii) improperly treating borrowers as in default on their loans. While the Consolidated Complaint does not set forth any specific amounts of claimed damages, plaintiffs are not precluded from requesting leave from the court to amend the Consolidated Complaint or otherwise seeking damages should the matter proceed to trial. On April 25, 2005, the court entered an Opinion and Order granting us partial summary judgment finding that, as a matter of law, the mortgage loan contracts signed by plaintiffs authorize the imposition of breach letter fees and other legitimate default or foreclosure related expenses. The court explained that its ruling was in favor of defendants to the specific and limited extent that plaintiffs' claims challenge the propriety of the above-mentioned fees. On March 22, 2006, the court denied defendants' motions to dismiss various portions of the Consolidated Complaint on federal preemption and procedural grounds, as well as our motion to dismiss OCN from the case for lack of personal jurisdiction. The court has not ruled on class certification. We cannot currently determine the ultimate outcome of the MDL Proceeding or the other matters described above and have not established a reserve in respect thereof. We believe the allegations in the MDL Proceeding are without merit and will continue to vigorously defend against them.</w:t>
      </w:r>
    </w:p>
    <w:p>
      <w:pPr>
        <w:spacing w:after="0" w:line="34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November 3, 2004, the trial judge in litigation brought by Cartel Asset Management, Inc. ("Cartel") against OCN, the Bank and OTX in federal court in Denver, Colorado entered final judgment in the amount of $520 against OTX and nominal damages of two dollars against the Bank. No damages were entered against OCN. In the November 3, 2004 order, the judge reduced a prior jury verdict in the amount of $9,320 after trial on this matter involving allegations of misappropriation of trade secrets and contract-related claims brought by a former vendor. The litigation does not relate to our Residential Servicing business. Notwithstanding the nominal damage award against the Bank, it was assessed a statutory award to Cartel of attorneys' fees in an additional amount of $170, and the Bank and OTX were further assessed costs in the amount of $9. Cartel and defendants are pursuing cross-appeals in the United States Court of Appeals for the Tenth Circuit. We intend to continue to vigorously defend this matter.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8, 2005, a jury in Circuit Court for Palm Beach County, Florida returned verdicts of $1,000 and $1,056 in compensatory damages in favor of two former employees of the Bank in a lawsuit against OCN and the Bank. The jury rejected plaintiffs' request for punitive damages. The plaintiffs brought claims under the Florida Civil Rights Act, the Florida Whistleblower Act and state tort law, arising out of an alleged invasion of privacy and related incidents allegedly committed by other former employees of the Bank in 1998 for which plaintiffs sought to hold the Ocwen defendants vicariously liable. We believe the verdicts, which were reduced to final judgments on May 20, 2005, as well as an additional award of $900 in plaintiffs' attorneys' fees, are against the</w:t>
      </w:r>
    </w:p>
    <w:p>
      <w:pPr>
        <w:sectPr>
          <w:pgSz w:w="11900" w:h="16838" w:orient="portrait"/>
          <w:cols w:equalWidth="0" w:num="1">
            <w:col w:w="10239"/>
          </w:cols>
          <w:pgMar w:left="220" w:top="617"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weight of evidence and contrary to law.</w:t>
      </w:r>
    </w:p>
    <w:p>
      <w:pPr>
        <w:spacing w:after="0" w:line="166"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135" w:right="1440" w:bottom="1440" w:gutter="0" w:footer="0" w:header="0"/>
        </w:sectPr>
      </w:pPr>
    </w:p>
    <w:bookmarkStart w:id="85" w:name="page86"/>
    <w:bookmarkEnd w:id="85"/>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ind w:left="2100"/>
        <w:spacing w:after="0" w:line="238" w:lineRule="auto"/>
        <w:rPr>
          <w:sz w:val="20"/>
          <w:szCs w:val="20"/>
          <w:color w:val="auto"/>
        </w:rPr>
      </w:pPr>
      <w:r>
        <w:rPr>
          <w:rFonts w:ascii="Courier New" w:cs="Courier New" w:eastAsia="Courier New" w:hAnsi="Courier New"/>
          <w:sz w:val="15"/>
          <w:szCs w:val="15"/>
          <w:color w:val="auto"/>
        </w:rPr>
        <w:t>DECEMBER 31, 2005, 2004 AND 2003</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Our appeals therefrom have been taken to the Florida Court of Appeals for the Fourth District. We intend to continue to vigorously defend this matter.</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29, 2005, a jury in County Court for Galveston County, Texas, returned a verdict of $11,500 in compensatory and punitive damages and attorneys' fees against Ocwen in favor of a plaintiff borrower who defaulted on a mortgage loan we serviced. The plaintiff claimed that Ocwen's foreclosure on the loan violated the Texas Deceptive Trade Practices Act and other state statutes and common law. On February 9, 2006, the trial court reduced the jury verdict and entered judgment in the amount of $1,830 which was comprised of $5 in actual damages, approximately $675 in emotional distress, statutory and other damages and interest, and $1,150 for attorneys' fees. We believe the judgment was against the weight of evidence and contrary to law and have asked the trial court to set it aside. We intend to continue to vigorously defend this matter and, if necessary, will take an appeal to the Texas Court of Appeals.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OCN is subject to various other pending legal proceedings. In our opinion, the resolution of these proceedings will not have a material effect on our financial condition, results of operations or cash flows. We continuously monitor the status of our litigation, including advice from external legal counsel, and perform periodic assessments of our litigation for potential loss accrual and disclosure. We accrue and maintain litigation reserves when it is probable that a liability has been incurred and the amount of loss can be reasonably estimated.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29 QUARTERLY RESULTS OF OPERATIONS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Quarters Ended (3)</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520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6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2005</w:t>
            </w:r>
          </w:p>
        </w:tc>
        <w:tc>
          <w:tcPr>
            <w:tcW w:w="30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2005</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Revenue ..............................</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94,962</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96,910</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92,015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91,489</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expense (1)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98,763</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83,985</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86,049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84,689</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income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6,344</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(2,698)</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(3,863)</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2,543</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10,227</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2,937</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 expense (benefit)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718</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2,282</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1,825</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7,945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2,387</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w w:val="96"/>
              </w:rPr>
              <w:t>Earnings (loss) per share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Basic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0.03</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0.03</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r>
      <w:tr>
        <w:trPr>
          <w:trHeight w:val="841"/>
        </w:trPr>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Quarters Ended (3)</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460" w:type="dxa"/>
            <w:vAlign w:val="bottom"/>
          </w:tcPr>
          <w:p>
            <w:pPr>
              <w:spacing w:after="0"/>
              <w:rPr>
                <w:sz w:val="14"/>
                <w:szCs w:val="14"/>
                <w:color w:val="auto"/>
              </w:rPr>
            </w:pPr>
          </w:p>
        </w:tc>
        <w:tc>
          <w:tcPr>
            <w:tcW w:w="520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6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Revenue ..............................</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88,163</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86,326</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93,949</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expense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85,832</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80,608</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82,668</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86,331</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income (expense)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1,741</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2,021</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7,459</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9,147</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6,773</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 expense (benefit) (2) .....</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(544)</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(31,846)</w:t>
            </w:r>
          </w:p>
        </w:tc>
        <w:tc>
          <w:tcPr>
            <w:tcW w:w="2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2,565</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39,305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6,762</w:t>
            </w:r>
          </w:p>
        </w:tc>
      </w:tr>
      <w:tr>
        <w:trPr>
          <w:trHeight w:val="168"/>
        </w:trPr>
        <w:tc>
          <w:tcPr>
            <w:tcW w:w="34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w w:val="96"/>
              </w:rPr>
              <w:t>Earnings (loss) per share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Basic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0.61</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0.53</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r>
    </w:tbl>
    <w:p>
      <w:pPr>
        <w:spacing w:after="0" w:line="335" w:lineRule="exact"/>
        <w:rPr>
          <w:sz w:val="20"/>
          <w:szCs w:val="20"/>
          <w:color w:val="auto"/>
        </w:rPr>
      </w:pPr>
    </w:p>
    <w:p>
      <w:pPr>
        <w:ind w:left="440" w:hanging="430"/>
        <w:spacing w:after="0"/>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for the fourth quarter of 2005 includes a charge of</w:t>
      </w:r>
    </w:p>
    <w:p>
      <w:pPr>
        <w:spacing w:after="0" w:line="4"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$7,238 to recognize the full impairment of a working capital investment in a consolidated VIE.</w:t>
      </w:r>
    </w:p>
    <w:p>
      <w:pPr>
        <w:spacing w:after="0" w:line="5"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benefit for the third quarter of 2004 primarily reflects a partial reversal of the valuation allowance on our deferred tax asset. See Note 19 for additional information.</w:t>
      </w:r>
    </w:p>
    <w:p>
      <w:pPr>
        <w:spacing w:after="0" w:line="5"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reported quarterly results of operations for 2005 and 2004 have been reclassified to conform to the revised format that we adopted for our consolidated statement of operations effective December 31, 2005. See Note 1 for additional information.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617" w:right="1440" w:bottom="853" w:gutter="0" w:footer="0" w:header="0"/>
        </w:sectPr>
      </w:pPr>
    </w:p>
    <w:bookmarkStart w:id="86" w:name="page87"/>
    <w:bookmarkEnd w:id="86"/>
    <w:p>
      <w:pPr>
        <w:ind w:left="5960"/>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COMPUTATION OF EARNINGS TO FIXED CHARGES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2005</w:t>
            </w:r>
          </w:p>
        </w:tc>
        <w:tc>
          <w:tcPr>
            <w:tcW w:w="320" w:type="dxa"/>
            <w:vAlign w:val="bottom"/>
          </w:tcPr>
          <w:p>
            <w:pPr>
              <w:spacing w:after="0"/>
              <w:rPr>
                <w:sz w:val="14"/>
                <w:szCs w:val="14"/>
                <w:color w:val="auto"/>
              </w:rPr>
            </w:pP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from continuing operations before income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taxes and effect of change in accounting principle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20,880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25,400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5,520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(81,959)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(41,782)</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expensed and capitalized, except interest on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deposits, and amortization of capitalized debt</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33,625</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16,805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24,652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35,681</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42,738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on deposits ...................................</w:t>
            </w:r>
          </w:p>
        </w:tc>
        <w:tc>
          <w:tcPr>
            <w:tcW w:w="4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13,634</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17,546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27,455</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59,967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component of rental expense ...................</w:t>
            </w:r>
          </w:p>
        </w:tc>
        <w:tc>
          <w:tcPr>
            <w:tcW w:w="4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1,308</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1,176</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fixed charges (1) ................................</w:t>
            </w:r>
          </w:p>
        </w:tc>
        <w:tc>
          <w:tcPr>
            <w:tcW w:w="4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38,643</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31,346</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43,367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64,244</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103,881</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Earnings (losses) for computation purposes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59,523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56,746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48,887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(17,715)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62,099</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Including interest on deposits (2) .....................</w:t>
            </w:r>
          </w:p>
        </w:tc>
        <w:tc>
          <w:tcPr>
            <w:tcW w:w="4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Excluding interest on deposits (2) .....................</w:t>
            </w:r>
          </w:p>
        </w:tc>
        <w:tc>
          <w:tcPr>
            <w:tcW w:w="4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2.43</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341" w:lineRule="exact"/>
        <w:rPr>
          <w:sz w:val="20"/>
          <w:szCs w:val="20"/>
          <w:color w:val="auto"/>
        </w:rPr>
      </w:pPr>
    </w:p>
    <w:p>
      <w:pPr>
        <w:ind w:left="800" w:right="4200" w:hanging="790"/>
        <w:spacing w:after="0" w:line="235"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charges represent total interest expensed and capitalized, including and excluding interest on deposits, amortization of capitalized debt expenses, as well as the interest component of rental expense.</w:t>
      </w:r>
    </w:p>
    <w:p>
      <w:pPr>
        <w:spacing w:after="0" w:line="175" w:lineRule="exact"/>
        <w:rPr>
          <w:rFonts w:ascii="Courier New" w:cs="Courier New" w:eastAsia="Courier New" w:hAnsi="Courier New"/>
          <w:sz w:val="15"/>
          <w:szCs w:val="15"/>
          <w:color w:val="auto"/>
        </w:rPr>
      </w:pPr>
    </w:p>
    <w:p>
      <w:pPr>
        <w:ind w:left="800" w:right="4280" w:hanging="790"/>
        <w:spacing w:after="0" w:line="235"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ratios of earnings to fixed charges were computed by dividing (x) income from continuing operations before income taxes and effect of change in accounting principle, plus fixed charges by (y) fixed charges.</w:t>
      </w:r>
    </w:p>
    <w:p>
      <w:pPr>
        <w:spacing w:after="0" w:line="175" w:lineRule="exact"/>
        <w:rPr>
          <w:rFonts w:ascii="Courier New" w:cs="Courier New" w:eastAsia="Courier New" w:hAnsi="Courier New"/>
          <w:sz w:val="15"/>
          <w:szCs w:val="15"/>
          <w:color w:val="auto"/>
        </w:rPr>
      </w:pPr>
    </w:p>
    <w:p>
      <w:pPr>
        <w:ind w:left="800" w:right="4280" w:hanging="790"/>
        <w:spacing w:after="0" w:line="235"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our losses in 2002 and 2001, the ratio of earnings to fixed charges was less than 1:1. We would have had to generate additional earnings of $81,959 and $41,782, respectively, to achieve coverage of 1:1.</w:t>
      </w:r>
    </w:p>
    <w:p>
      <w:pPr>
        <w:sectPr>
          <w:pgSz w:w="11900" w:h="16838" w:orient="portrait"/>
          <w:cols w:equalWidth="0" w:num="1">
            <w:col w:w="11120"/>
          </w:cols>
          <w:pgMar w:left="220" w:top="135" w:right="559" w:bottom="1440" w:gutter="0" w:footer="0" w:header="0"/>
        </w:sectPr>
      </w:pPr>
    </w:p>
    <w:bookmarkStart w:id="87" w:name="page88"/>
    <w:bookmarkEnd w:id="87"/>
    <w:p>
      <w:pPr>
        <w:ind w:left="5960"/>
        <w:spacing w:after="0"/>
        <w:rPr>
          <w:sz w:val="20"/>
          <w:szCs w:val="20"/>
          <w:color w:val="auto"/>
        </w:rPr>
      </w:pPr>
      <w:r>
        <w:rPr>
          <w:rFonts w:ascii="Courier New" w:cs="Courier New" w:eastAsia="Courier New" w:hAnsi="Courier New"/>
          <w:sz w:val="15"/>
          <w:szCs w:val="15"/>
          <w:color w:val="auto"/>
        </w:rPr>
        <w:t>EXHIBIT 21.0</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SIGNIFICANT DIRECT AND INDIRECT SUBSIDIARIES OF OCWEN FINANCIAL CORPORATION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3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State or Other Jurisdiction of Organization</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Ocwen Loan Servicing, LLC (2)</w:t>
            </w:r>
          </w:p>
        </w:tc>
        <w:tc>
          <w:tcPr>
            <w:tcW w:w="43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Delaware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RMSI, Inc (2)</w:t>
            </w:r>
          </w:p>
        </w:tc>
        <w:tc>
          <w:tcPr>
            <w:tcW w:w="43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New Jersey</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Investors Mortgage Insurance Holding Company (1)</w:t>
            </w:r>
          </w:p>
        </w:tc>
        <w:tc>
          <w:tcPr>
            <w:tcW w:w="43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Delaware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Asset Investment Corp. (1)</w:t>
            </w:r>
          </w:p>
        </w:tc>
        <w:tc>
          <w:tcPr>
            <w:tcW w:w="43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Florida</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General, Inc. (1)</w:t>
            </w:r>
          </w:p>
        </w:tc>
        <w:tc>
          <w:tcPr>
            <w:tcW w:w="43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Virginia</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Asset Investment - UK, LLC (2)</w:t>
            </w:r>
          </w:p>
        </w:tc>
        <w:tc>
          <w:tcPr>
            <w:tcW w:w="43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Delaware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Mortgage Company, LLC (1)</w:t>
            </w:r>
          </w:p>
        </w:tc>
        <w:tc>
          <w:tcPr>
            <w:tcW w:w="43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Delaware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Mortgage Asset Investment Company, LLC (1)</w:t>
            </w:r>
          </w:p>
        </w:tc>
        <w:tc>
          <w:tcPr>
            <w:tcW w:w="43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Delaware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Mortgage Asset Trust (2)</w:t>
            </w:r>
          </w:p>
        </w:tc>
        <w:tc>
          <w:tcPr>
            <w:tcW w:w="43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Delaware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Partnership, L.P. (2)</w:t>
            </w:r>
          </w:p>
        </w:tc>
        <w:tc>
          <w:tcPr>
            <w:tcW w:w="43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Virginia</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Ocwen Capital Trust I (2)</w:t>
            </w:r>
          </w:p>
        </w:tc>
        <w:tc>
          <w:tcPr>
            <w:tcW w:w="43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Delaware</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Ocwen Luxembourg, Sarl (1)</w:t>
            </w:r>
          </w:p>
        </w:tc>
        <w:tc>
          <w:tcPr>
            <w:tcW w:w="43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Luxembourg</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Asia Holdings Ltd. (1)</w:t>
            </w:r>
          </w:p>
        </w:tc>
        <w:tc>
          <w:tcPr>
            <w:tcW w:w="43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Mauritius</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Ocwen Financial Solutions Private Limited (2)</w:t>
            </w:r>
          </w:p>
        </w:tc>
        <w:tc>
          <w:tcPr>
            <w:tcW w:w="43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India</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Global Servicing Solutions, LLC (2)</w:t>
            </w:r>
          </w:p>
        </w:tc>
        <w:tc>
          <w:tcPr>
            <w:tcW w:w="43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Delaware</w:t>
            </w:r>
          </w:p>
        </w:tc>
      </w:tr>
    </w:tbl>
    <w:p>
      <w:pPr>
        <w:spacing w:after="0" w:line="335" w:lineRule="exact"/>
        <w:rPr>
          <w:sz w:val="20"/>
          <w:szCs w:val="20"/>
          <w:color w:val="auto"/>
        </w:rPr>
      </w:pPr>
    </w:p>
    <w:p>
      <w:pPr>
        <w:ind w:left="440" w:hanging="430"/>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company with no significant assets or operations</w:t>
      </w:r>
    </w:p>
    <w:p>
      <w:pPr>
        <w:ind w:left="440" w:hanging="430"/>
        <w:spacing w:after="0" w:line="237" w:lineRule="auto"/>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company</w:t>
      </w:r>
    </w:p>
    <w:p>
      <w:pPr>
        <w:sectPr>
          <w:pgSz w:w="11900" w:h="16838" w:orient="portrait"/>
          <w:cols w:equalWidth="0" w:num="1">
            <w:col w:w="10239"/>
          </w:cols>
          <w:pgMar w:left="220" w:top="135" w:right="1440" w:bottom="1440" w:gutter="0" w:footer="0" w:header="0"/>
        </w:sectPr>
      </w:pPr>
    </w:p>
    <w:bookmarkStart w:id="88" w:name="page89"/>
    <w:bookmarkEnd w:id="88"/>
    <w:p>
      <w:pPr>
        <w:ind w:left="5960"/>
        <w:spacing w:after="0"/>
        <w:rPr>
          <w:sz w:val="20"/>
          <w:szCs w:val="20"/>
          <w:color w:val="auto"/>
        </w:rPr>
      </w:pPr>
      <w:r>
        <w:rPr>
          <w:rFonts w:ascii="Courier New" w:cs="Courier New" w:eastAsia="Courier New" w:hAnsi="Courier New"/>
          <w:sz w:val="14"/>
          <w:szCs w:val="14"/>
          <w:color w:val="auto"/>
        </w:rPr>
        <w:t>EXHIBIT 23.0</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CONSENT OF INDEPENDENT REGISTERED CERTIFIED PUBLIC ACCOUNTING FIRM</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(Nos. 333-44999 and 333-62217) and Registration Statement on Form S-3 (Nos. 333-64915 and 333-119698) of Ocwen Financial Corporation of our report dated March 29, 2006 relating to the financial statements, management's assessment of the effectiveness of internal control over financial reporting and the effectiveness of internal control over financial reporting, which appears in this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 Lauderdale, Florida</w:t>
      </w:r>
    </w:p>
    <w:p>
      <w:pPr>
        <w:spacing w:after="0" w:line="237" w:lineRule="auto"/>
        <w:rPr>
          <w:sz w:val="20"/>
          <w:szCs w:val="20"/>
          <w:color w:val="auto"/>
        </w:rPr>
      </w:pPr>
      <w:r>
        <w:rPr>
          <w:rFonts w:ascii="Courier New" w:cs="Courier New" w:eastAsia="Courier New" w:hAnsi="Courier New"/>
          <w:sz w:val="15"/>
          <w:szCs w:val="15"/>
          <w:color w:val="auto"/>
        </w:rPr>
        <w:t>March 30, 2006</w:t>
      </w:r>
    </w:p>
    <w:p>
      <w:pPr>
        <w:sectPr>
          <w:pgSz w:w="11900" w:h="16838" w:orient="portrait"/>
          <w:cols w:equalWidth="0" w:num="1">
            <w:col w:w="10239"/>
          </w:cols>
          <w:pgMar w:left="220" w:top="141" w:right="1440" w:bottom="1440" w:gutter="0" w:footer="0" w:header="0"/>
        </w:sectPr>
      </w:pPr>
    </w:p>
    <w:bookmarkStart w:id="89" w:name="page90"/>
    <w:bookmarkEnd w:id="89"/>
    <w:p>
      <w:pPr>
        <w:jc w:val="right"/>
        <w:ind w:right="3239"/>
        <w:spacing w:after="0"/>
        <w:rPr>
          <w:sz w:val="20"/>
          <w:szCs w:val="20"/>
          <w:color w:val="auto"/>
        </w:rPr>
      </w:pPr>
      <w:r>
        <w:rPr>
          <w:rFonts w:ascii="Courier New" w:cs="Courier New" w:eastAsia="Courier New" w:hAnsi="Courier New"/>
          <w:sz w:val="15"/>
          <w:szCs w:val="15"/>
          <w:color w:val="auto"/>
        </w:rPr>
        <w:t>EXHIBIT 31.1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William C. Erbey, certify that:</w:t>
      </w:r>
    </w:p>
    <w:p>
      <w:pPr>
        <w:spacing w:after="0" w:line="173" w:lineRule="exact"/>
        <w:rPr>
          <w:sz w:val="20"/>
          <w:szCs w:val="20"/>
          <w:color w:val="auto"/>
        </w:rPr>
      </w:pPr>
    </w:p>
    <w:p>
      <w:pPr>
        <w:ind w:left="800" w:right="3679" w:hanging="790"/>
        <w:spacing w:after="0" w:line="234"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3"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800" w:right="3239" w:hanging="790"/>
        <w:spacing w:after="0" w:line="254"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w:t>
      </w:r>
    </w:p>
    <w:p>
      <w:pPr>
        <w:ind w:left="980" w:hanging="183"/>
        <w:spacing w:after="0" w:line="237" w:lineRule="auto"/>
        <w:tabs>
          <w:tab w:leader="none" w:pos="98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15(f) and 15d - 15(f)) for the registrant and have:</w:t>
      </w:r>
    </w:p>
    <w:p>
      <w:pPr>
        <w:spacing w:after="0" w:line="173"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ind w:left="2380" w:right="3319" w:hanging="796"/>
        <w:spacing w:after="0" w:line="235" w:lineRule="auto"/>
        <w:tabs>
          <w:tab w:leader="none" w:pos="238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35"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30, 2006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2">
            <w:col w:w="4100" w:space="720"/>
            <w:col w:w="5419"/>
          </w:cols>
          <w:pgMar w:left="220" w:top="135" w:right="1440" w:bottom="1440" w:gutter="0" w:footer="0" w:header="0"/>
          <w:type w:val="continuous"/>
        </w:sectPr>
      </w:pPr>
    </w:p>
    <w:bookmarkStart w:id="90" w:name="page91"/>
    <w:bookmarkEnd w:id="90"/>
    <w:p>
      <w:pPr>
        <w:jc w:val="right"/>
        <w:ind w:right="3239"/>
        <w:spacing w:after="0"/>
        <w:rPr>
          <w:sz w:val="20"/>
          <w:szCs w:val="20"/>
          <w:color w:val="auto"/>
        </w:rPr>
      </w:pPr>
      <w:r>
        <w:rPr>
          <w:rFonts w:ascii="Courier New" w:cs="Courier New" w:eastAsia="Courier New" w:hAnsi="Courier New"/>
          <w:sz w:val="15"/>
          <w:szCs w:val="15"/>
          <w:color w:val="auto"/>
        </w:rPr>
        <w:t>EXHIBIT 31.2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Robert J. Leist, Jr., certify that:</w:t>
      </w:r>
    </w:p>
    <w:p>
      <w:pPr>
        <w:spacing w:after="0" w:line="173" w:lineRule="exact"/>
        <w:rPr>
          <w:sz w:val="20"/>
          <w:szCs w:val="20"/>
          <w:color w:val="auto"/>
        </w:rPr>
      </w:pPr>
    </w:p>
    <w:p>
      <w:pPr>
        <w:ind w:left="800" w:right="3679" w:hanging="790"/>
        <w:spacing w:after="0" w:line="234"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3"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800" w:right="3239" w:hanging="790"/>
        <w:spacing w:after="0" w:line="254" w:lineRule="auto"/>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w:t>
      </w:r>
    </w:p>
    <w:p>
      <w:pPr>
        <w:ind w:left="980" w:hanging="183"/>
        <w:spacing w:after="0" w:line="237" w:lineRule="auto"/>
        <w:tabs>
          <w:tab w:leader="none" w:pos="98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15(f) and 15d - 15(f)) for the registrant and have:</w:t>
      </w:r>
    </w:p>
    <w:p>
      <w:pPr>
        <w:spacing w:after="0" w:line="173"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ind w:left="2380" w:right="3319" w:hanging="796"/>
        <w:spacing w:after="0" w:line="235" w:lineRule="auto"/>
        <w:tabs>
          <w:tab w:leader="none" w:pos="23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35"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30, 2006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LEIST,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Leist, Jr.,</w:t>
      </w:r>
    </w:p>
    <w:p>
      <w:pPr>
        <w:spacing w:after="0" w:line="237" w:lineRule="auto"/>
        <w:rPr>
          <w:sz w:val="20"/>
          <w:szCs w:val="20"/>
          <w:color w:val="auto"/>
        </w:rPr>
      </w:pPr>
      <w:r>
        <w:rPr>
          <w:rFonts w:ascii="Courier New" w:cs="Courier New" w:eastAsia="Courier New" w:hAnsi="Courier New"/>
          <w:sz w:val="15"/>
          <w:szCs w:val="15"/>
          <w:color w:val="auto"/>
        </w:rPr>
        <w:t>Senior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ectPr>
          <w:pgSz w:w="11900" w:h="16838" w:orient="portrait"/>
          <w:cols w:equalWidth="0" w:num="2">
            <w:col w:w="3920" w:space="720"/>
            <w:col w:w="5599"/>
          </w:cols>
          <w:pgMar w:left="220" w:top="135" w:right="1440" w:bottom="1440" w:gutter="0" w:footer="0" w:header="0"/>
          <w:type w:val="continuous"/>
        </w:sectPr>
      </w:pPr>
    </w:p>
    <w:bookmarkStart w:id="91" w:name="page92"/>
    <w:bookmarkEnd w:id="91"/>
    <w:p>
      <w:pPr>
        <w:jc w:val="right"/>
        <w:ind w:right="3239"/>
        <w:spacing w:after="0"/>
        <w:rPr>
          <w:sz w:val="20"/>
          <w:szCs w:val="20"/>
          <w:color w:val="auto"/>
        </w:rPr>
      </w:pPr>
      <w:r>
        <w:rPr>
          <w:rFonts w:ascii="Courier New" w:cs="Courier New" w:eastAsia="Courier New" w:hAnsi="Courier New"/>
          <w:sz w:val="15"/>
          <w:szCs w:val="15"/>
          <w:color w:val="auto"/>
        </w:rPr>
        <w:t>EXHIBIT 32.1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William C. Erbey, state and attest that:</w:t>
      </w:r>
    </w:p>
    <w:p>
      <w:pPr>
        <w:spacing w:after="0" w:line="173" w:lineRule="exact"/>
        <w:rPr>
          <w:sz w:val="20"/>
          <w:szCs w:val="20"/>
          <w:color w:val="auto"/>
        </w:rPr>
      </w:pPr>
    </w:p>
    <w:p>
      <w:pPr>
        <w:ind w:right="3499" w:firstLine="10"/>
        <w:spacing w:after="0" w:line="234" w:lineRule="auto"/>
        <w:tabs>
          <w:tab w:leader="none" w:pos="7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Chief Executive Officer of Ocwen Financial Corporation (the "Registrant").</w:t>
      </w:r>
    </w:p>
    <w:p>
      <w:pPr>
        <w:spacing w:after="0" w:line="173" w:lineRule="exact"/>
        <w:rPr>
          <w:rFonts w:ascii="Courier New" w:cs="Courier New" w:eastAsia="Courier New" w:hAnsi="Courier New"/>
          <w:sz w:val="15"/>
          <w:szCs w:val="15"/>
          <w:color w:val="auto"/>
        </w:rPr>
      </w:pPr>
    </w:p>
    <w:p>
      <w:pPr>
        <w:ind w:right="3839" w:firstLine="10"/>
        <w:spacing w:after="0" w:line="234" w:lineRule="auto"/>
        <w:tabs>
          <w:tab w:leader="none" w:pos="7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certify, pursuant to 18 U.S.C. Section 1350, as adopted pursuant to Section 906 of the Sarbanes-Oxley Act of 2002, that</w:t>
      </w:r>
    </w:p>
    <w:p>
      <w:pPr>
        <w:spacing w:after="0" w:line="173" w:lineRule="exact"/>
        <w:rPr>
          <w:sz w:val="20"/>
          <w:szCs w:val="20"/>
          <w:color w:val="auto"/>
        </w:rPr>
      </w:pPr>
    </w:p>
    <w:p>
      <w:pPr>
        <w:ind w:left="1580" w:right="3319" w:hanging="783"/>
        <w:spacing w:after="0" w:line="236"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Registrant for the year ended December 31, 2005 (the "periodic report") containing financial statements fully complies with the requirements of Section 13(a) or 15(d) of the Securities Exchange Act of 1934 (15 U.S.C. 78m or 78o(d)); and</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periodic report fairly represents, in all material respects, the financial condition and results of operations of the Registrant for the periods presented.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/s/ WILLIAM</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C. ERBEY</w:t>
            </w:r>
          </w:p>
        </w:tc>
      </w:tr>
      <w:tr>
        <w:trPr>
          <w:trHeight w:val="168"/>
        </w:trPr>
        <w:tc>
          <w:tcPr>
            <w:tcW w:w="620" w:type="dxa"/>
            <w:vAlign w:val="bottom"/>
          </w:tcPr>
          <w:p>
            <w:pPr>
              <w:spacing w:after="0"/>
              <w:rPr>
                <w:sz w:val="14"/>
                <w:szCs w:val="14"/>
                <w:color w:val="auto"/>
              </w:rPr>
            </w:pPr>
          </w:p>
        </w:tc>
        <w:tc>
          <w:tcPr>
            <w:tcW w:w="24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Chairman of</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Board</w:t>
            </w:r>
          </w:p>
        </w:tc>
      </w:tr>
      <w:tr>
        <w:trPr>
          <w:trHeight w:val="168"/>
        </w:trPr>
        <w:tc>
          <w:tcPr>
            <w:tcW w:w="620" w:type="dxa"/>
            <w:vAlign w:val="bottom"/>
          </w:tcPr>
          <w:p>
            <w:pPr>
              <w:spacing w:after="0"/>
              <w:rPr>
                <w:sz w:val="14"/>
                <w:szCs w:val="14"/>
                <w:color w:val="auto"/>
              </w:rPr>
            </w:pPr>
          </w:p>
        </w:tc>
        <w:tc>
          <w:tcPr>
            <w:tcW w:w="24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7"/>
              </w:rPr>
              <w:t>and Chief Executive Officer</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March 30, 2006</w:t>
            </w:r>
          </w:p>
        </w:tc>
      </w:tr>
    </w:tbl>
    <w:p>
      <w:pPr>
        <w:sectPr>
          <w:pgSz w:w="11900" w:h="16838" w:orient="portrait"/>
          <w:cols w:equalWidth="0" w:num="1">
            <w:col w:w="10239"/>
          </w:cols>
          <w:pgMar w:left="220" w:top="135" w:right="1440" w:bottom="1440" w:gutter="0" w:footer="0" w:header="0"/>
        </w:sectPr>
      </w:pPr>
    </w:p>
    <w:bookmarkStart w:id="92" w:name="page93"/>
    <w:bookmarkEnd w:id="92"/>
    <w:p>
      <w:pPr>
        <w:jc w:val="right"/>
        <w:ind w:right="3239"/>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Robert J. Leist, Jr., state and attest that:</w:t>
      </w:r>
    </w:p>
    <w:p>
      <w:pPr>
        <w:spacing w:after="0" w:line="173" w:lineRule="exact"/>
        <w:rPr>
          <w:sz w:val="20"/>
          <w:szCs w:val="20"/>
          <w:color w:val="auto"/>
        </w:rPr>
      </w:pPr>
    </w:p>
    <w:p>
      <w:pPr>
        <w:ind w:right="3319" w:firstLine="10"/>
        <w:spacing w:after="0" w:line="234" w:lineRule="auto"/>
        <w:tabs>
          <w:tab w:leader="none" w:pos="7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Acting Chief Financial Officer of Ocwen Financial Corporation (the "Registrant").</w:t>
      </w:r>
    </w:p>
    <w:p>
      <w:pPr>
        <w:spacing w:after="0" w:line="173" w:lineRule="exact"/>
        <w:rPr>
          <w:rFonts w:ascii="Courier New" w:cs="Courier New" w:eastAsia="Courier New" w:hAnsi="Courier New"/>
          <w:sz w:val="15"/>
          <w:szCs w:val="15"/>
          <w:color w:val="auto"/>
        </w:rPr>
      </w:pPr>
    </w:p>
    <w:p>
      <w:pPr>
        <w:ind w:right="3839" w:firstLine="10"/>
        <w:spacing w:after="0" w:line="234" w:lineRule="auto"/>
        <w:tabs>
          <w:tab w:leader="none" w:pos="7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certify, pursuant to 18 U.S.C. Section 1350, as adopted pursuant to Section 906 of the Sarbanes-Oxley Act of 2002, that</w:t>
      </w:r>
    </w:p>
    <w:p>
      <w:pPr>
        <w:spacing w:after="0" w:line="173" w:lineRule="exact"/>
        <w:rPr>
          <w:sz w:val="20"/>
          <w:szCs w:val="20"/>
          <w:color w:val="auto"/>
        </w:rPr>
      </w:pPr>
    </w:p>
    <w:p>
      <w:pPr>
        <w:ind w:left="1580" w:right="3319" w:hanging="783"/>
        <w:spacing w:after="0" w:line="236" w:lineRule="auto"/>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Registrant for the year ended December 31, 2005 (the "periodic report") containing financial statements fully complies with the requirements of Section 13(a) or 15(d) of the Securities Exchange Act of 1934 (15 U.S.C. 78m or 78o(d)); and</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periodic report fairly represents, in all material respects, the financial condition and results of operations of the Registrant for the periods presented.</w:t>
      </w:r>
    </w:p>
    <w:p>
      <w:pPr>
        <w:sectPr>
          <w:pgSz w:w="11900" w:h="16838" w:orient="portrait"/>
          <w:cols w:equalWidth="0" w:num="1">
            <w:col w:w="10239"/>
          </w:cols>
          <w:pgMar w:left="220" w:top="135"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LEIST,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Principal Financial Officer</w:t>
      </w:r>
    </w:p>
    <w:p>
      <w:pPr>
        <w:spacing w:after="0" w:line="178" w:lineRule="exact"/>
        <w:rPr>
          <w:sz w:val="20"/>
          <w:szCs w:val="20"/>
          <w:color w:val="auto"/>
        </w:rPr>
      </w:pPr>
    </w:p>
    <w:p>
      <w:pPr>
        <w:sectPr>
          <w:pgSz w:w="11900" w:h="16838" w:orient="portrait"/>
          <w:cols w:equalWidth="0" w:num="2">
            <w:col w:w="540" w:space="160"/>
            <w:col w:w="953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30, 2006</w:t>
      </w:r>
    </w:p>
    <w:sectPr>
      <w:pgSz w:w="11900" w:h="16838" w:orient="portrait"/>
      <w:cols w:equalWidth="0" w:num="2">
        <w:col w:w="440" w:space="260"/>
        <w:col w:w="953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24"/>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o"/>
      <w:numFmt w:val="bullet"/>
      <w:start w:val="1"/>
    </w:lvl>
  </w:abstractNum>
  <w:abstractNum w:abstractNumId="3">
    <w:nsid w:val="57E4CCAF"/>
    <w:multiLevelType w:val="hybridMultilevel"/>
    <w:lvl w:ilvl="0">
      <w:lvlJc w:val="left"/>
      <w:lvlText w:val="o"/>
      <w:numFmt w:val="bullet"/>
      <w:start w:val="1"/>
    </w:lvl>
  </w:abstractNum>
  <w:abstractNum w:abstractNumId="4">
    <w:nsid w:val="7A6D8D3C"/>
    <w:multiLevelType w:val="hybridMultilevel"/>
    <w:lvl w:ilvl="0">
      <w:lvlJc w:val="left"/>
      <w:lvlText w:val="o"/>
      <w:numFmt w:val="bullet"/>
      <w:start w:val="1"/>
    </w:lvl>
  </w:abstractNum>
  <w:abstractNum w:abstractNumId="5">
    <w:nsid w:val="4B588F54"/>
    <w:multiLevelType w:val="hybridMultilevel"/>
    <w:lvl w:ilvl="0">
      <w:lvlJc w:val="left"/>
      <w:lvlText w:val="o"/>
      <w:numFmt w:val="bullet"/>
      <w:start w:val="1"/>
    </w:lvl>
  </w:abstractNum>
  <w:abstractNum w:abstractNumId="6">
    <w:nsid w:val="542289EC"/>
    <w:multiLevelType w:val="hybridMultilevel"/>
    <w:lvl w:ilvl="0">
      <w:lvlJc w:val="left"/>
      <w:lvlText w:val="o"/>
      <w:numFmt w:val="bullet"/>
      <w:start w:val="1"/>
    </w:lvl>
  </w:abstractNum>
  <w:abstractNum w:abstractNumId="7">
    <w:nsid w:val="6DE91B18"/>
    <w:multiLevelType w:val="hybridMultilevel"/>
    <w:lvl w:ilvl="0">
      <w:lvlJc w:val="left"/>
      <w:lvlText w:val="o"/>
      <w:numFmt w:val="bullet"/>
      <w:start w:val="1"/>
    </w:lvl>
  </w:abstractNum>
  <w:abstractNum w:abstractNumId="8">
    <w:nsid w:val="38437FDB"/>
    <w:multiLevelType w:val="hybridMultilevel"/>
    <w:lvl w:ilvl="0">
      <w:lvlJc w:val="left"/>
      <w:lvlText w:val="o"/>
      <w:numFmt w:val="bullet"/>
      <w:start w:val="1"/>
    </w:lvl>
  </w:abstractNum>
  <w:abstractNum w:abstractNumId="9">
    <w:nsid w:val="7644A45C"/>
    <w:multiLevelType w:val="hybridMultilevel"/>
    <w:lvl w:ilvl="0">
      <w:lvlJc w:val="left"/>
      <w:lvlText w:val="o"/>
      <w:numFmt w:val="bullet"/>
      <w:start w:val="1"/>
    </w:lvl>
  </w:abstractNum>
  <w:abstractNum w:abstractNumId="10">
    <w:nsid w:val="32FFF902"/>
    <w:multiLevelType w:val="hybridMultilevel"/>
    <w:lvl w:ilvl="0">
      <w:lvlJc w:val="left"/>
      <w:lvlText w:val="o"/>
      <w:numFmt w:val="bullet"/>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o"/>
      <w:numFmt w:val="bullet"/>
      <w:start w:val="1"/>
    </w:lvl>
  </w:abstractNum>
  <w:abstractNum w:abstractNumId="14">
    <w:nsid w:val="3DC240FB"/>
    <w:multiLevelType w:val="hybridMultilevel"/>
    <w:lvl w:ilvl="0">
      <w:lvlJc w:val="left"/>
      <w:lvlText w:val="o"/>
      <w:numFmt w:val="bullet"/>
      <w:start w:val="1"/>
    </w:lvl>
  </w:abstractNum>
  <w:abstractNum w:abstractNumId="15">
    <w:nsid w:val="1BA026FA"/>
    <w:multiLevelType w:val="hybridMultilevel"/>
    <w:lvl w:ilvl="0">
      <w:lvlJc w:val="left"/>
      <w:lvlText w:val="o"/>
      <w:numFmt w:val="bullet"/>
      <w:start w:val="1"/>
    </w:lvl>
  </w:abstractNum>
  <w:abstractNum w:abstractNumId="16">
    <w:nsid w:val="79A1DEAA"/>
    <w:multiLevelType w:val="hybridMultilevel"/>
    <w:lvl w:ilvl="0">
      <w:lvlJc w:val="left"/>
      <w:lvlText w:val="o"/>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lowerLetter"/>
      <w:start w:val="1"/>
    </w:lvl>
  </w:abstractNum>
  <w:abstractNum w:abstractNumId="21">
    <w:nsid w:val="374A3FE6"/>
    <w:multiLevelType w:val="hybridMultilevel"/>
    <w:lvl w:ilvl="0">
      <w:lvlJc w:val="left"/>
      <w:lvlText w:val="o"/>
      <w:numFmt w:val="bullet"/>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o"/>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o"/>
      <w:numFmt w:val="bullet"/>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o"/>
      <w:numFmt w:val="bullet"/>
      <w:start w:val="1"/>
    </w:lvl>
  </w:abstractNum>
  <w:abstractNum w:abstractNumId="36">
    <w:nsid w:val="3F6AB60F"/>
    <w:multiLevelType w:val="hybridMultilevel"/>
    <w:lvl w:ilvl="0">
      <w:lvlJc w:val="left"/>
      <w:lvlText w:val="o"/>
      <w:numFmt w:val="bullet"/>
      <w:start w:val="1"/>
    </w:lvl>
  </w:abstractNum>
  <w:abstractNum w:abstractNumId="37">
    <w:nsid w:val="61574095"/>
    <w:multiLevelType w:val="hybridMultilevel"/>
    <w:lvl w:ilvl="0">
      <w:lvlJc w:val="left"/>
      <w:lvlText w:val="o"/>
      <w:numFmt w:val="bullet"/>
      <w:start w:val="1"/>
    </w:lvl>
  </w:abstractNum>
  <w:abstractNum w:abstractNumId="38">
    <w:nsid w:val="7E0C57B1"/>
    <w:multiLevelType w:val="hybridMultilevel"/>
    <w:lvl w:ilvl="0">
      <w:lvlJc w:val="left"/>
      <w:lvlText w:val="o"/>
      <w:numFmt w:val="bullet"/>
      <w:start w:val="1"/>
    </w:lvl>
  </w:abstractNum>
  <w:abstractNum w:abstractNumId="39">
    <w:nsid w:val="77AE35EB"/>
    <w:multiLevelType w:val="hybridMultilevel"/>
    <w:lvl w:ilvl="0">
      <w:lvlJc w:val="left"/>
      <w:lvlText w:val="o"/>
      <w:numFmt w:val="bullet"/>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3"/>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9"/>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lvl w:ilvl="1">
      <w:lvlJc w:val="left"/>
      <w:lvlText w:val="%2"/>
      <w:numFmt w:val="upperLetter"/>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o"/>
      <w:numFmt w:val="bullet"/>
      <w:start w:val="1"/>
    </w:lvl>
  </w:abstractNum>
  <w:abstractNum w:abstractNumId="58">
    <w:nsid w:val="168E121F"/>
    <w:multiLevelType w:val="hybridMultilevel"/>
    <w:lvl w:ilvl="0">
      <w:lvlJc w:val="left"/>
      <w:lvlText w:val="o"/>
      <w:numFmt w:val="bullet"/>
      <w:start w:val="1"/>
    </w:lvl>
  </w:abstractNum>
  <w:abstractNum w:abstractNumId="59">
    <w:nsid w:val="1EBA5D23"/>
    <w:multiLevelType w:val="hybridMultilevel"/>
    <w:lvl w:ilvl="0">
      <w:lvlJc w:val="left"/>
      <w:lvlText w:val="%1."/>
      <w:numFmt w:val="decimal"/>
      <w:start w:val="123"/>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o"/>
      <w:numFmt w:val="bullet"/>
      <w:start w:val="1"/>
    </w:lvl>
    <w:lvl w:ilvl="1">
      <w:lvlJc w:val="left"/>
      <w:lvlText w:val="(%2)"/>
      <w:numFmt w:val="lowerRoman"/>
      <w:start w:val="3"/>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o"/>
      <w:numFmt w:val="bullet"/>
      <w:start w:val="1"/>
    </w:lvl>
  </w:abstractNum>
  <w:abstractNum w:abstractNumId="75">
    <w:nsid w:val="60B6DF70"/>
    <w:multiLevelType w:val="hybridMultilevel"/>
    <w:lvl w:ilvl="0">
      <w:lvlJc w:val="left"/>
      <w:lvlText w:val="o"/>
      <w:numFmt w:val="bullet"/>
      <w:start w:val="1"/>
    </w:lvl>
  </w:abstractNum>
  <w:abstractNum w:abstractNumId="76">
    <w:nsid w:val="6A5EE64"/>
    <w:multiLevelType w:val="hybridMultilevel"/>
    <w:lvl w:ilvl="0">
      <w:lvlJc w:val="left"/>
      <w:lvlText w:val="o"/>
      <w:numFmt w:val="bullet"/>
      <w:start w:val="1"/>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81">
    <w:nsid w:val="100F59DC"/>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o"/>
      <w:numFmt w:val="bullet"/>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2019-12-20T07:55:45Z</dcterms:created>
  <dcterms:modified xsi:type="dcterms:W3CDTF">2019-12-20T07:55:45Z</dcterms:modified>
</cp:coreProperties>
</file>