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 INFORMATION</w:t>
      </w:r>
    </w:p>
    <w:p>
      <w:pPr>
        <w:spacing w:after="0" w:line="231"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Proxy Statement Pursuant to Section 14(a) of the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wp:posOffset>
            </wp:positionH>
            <wp:positionV relativeFrom="paragraph">
              <wp:posOffset>99695</wp:posOffset>
            </wp:positionV>
            <wp:extent cx="61829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1"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157" w:lineRule="exact"/>
        <w:rPr>
          <w:rFonts w:ascii="Arial" w:cs="Arial" w:eastAsia="Arial" w:hAnsi="Arial"/>
          <w:sz w:val="18"/>
          <w:szCs w:val="18"/>
          <w:color w:val="auto"/>
        </w:rPr>
      </w:pPr>
    </w:p>
    <w:p>
      <w:pPr>
        <w:ind w:left="580" w:right="380" w:hanging="572"/>
        <w:spacing w:after="0" w:line="268"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Fee paid previously with preliminary materials.</w:t>
      </w:r>
    </w:p>
    <w:p>
      <w:pPr>
        <w:spacing w:after="0" w:line="15" w:lineRule="exact"/>
        <w:rPr>
          <w:rFonts w:ascii="Arial" w:cs="Arial" w:eastAsia="Arial" w:hAnsi="Arial"/>
          <w:sz w:val="18"/>
          <w:szCs w:val="18"/>
          <w:color w:val="auto"/>
        </w:rPr>
      </w:pPr>
    </w:p>
    <w:p>
      <w:pPr>
        <w:ind w:left="1160" w:hanging="567"/>
        <w:spacing w:after="0" w:line="323"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9" w:lineRule="exact"/>
        <w:rPr>
          <w:sz w:val="24"/>
          <w:szCs w:val="24"/>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line="2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3382010</wp:posOffset>
            </wp:positionH>
            <wp:positionV relativeFrom="page">
              <wp:posOffset>88900</wp:posOffset>
            </wp:positionV>
            <wp:extent cx="797560"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97560" cy="8407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31,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On behalf of the Board of Directors, I cordially invite you to attend the Annual Meeting of Shareholders of Ocwen Financial Corporation which will be held at the offices of the company located at 1661 Worthington Road, Suite 100, West Palm Beach, Florida 33409, on Thursday, May 8, 2008, at 9:00 a.m. Eastern Daylight Time. The matters to be considered by shareholders at the Annual Meeting are described in detail in the accompanying materials.</w:t>
      </w:r>
    </w:p>
    <w:p>
      <w:pPr>
        <w:spacing w:after="0" w:line="16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Two of our directors, W. Michael Linn and W.C. Martin, will not stand for re-election at the Annual Meeting as they plan to retire from the Board upon the expiration of their terms in May 2008. We are immensely grateful for their many valuable contributions to the company over the years, and we wish them well in their retirements.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are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95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OCWEN FINANCIAL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1661 Worthington Road, Suite 100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 Palm Beach, Florida 33409</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SHAREHOLDER MEETING TO BE HELD ON MAY 8,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3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Thursday, May 8, 2008</w:t>
      </w:r>
    </w:p>
    <w:p>
      <w:pPr>
        <w:spacing w:after="0" w:line="15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Eastern Daylight Time</w:t>
      </w:r>
    </w:p>
    <w:p>
      <w:pPr>
        <w:spacing w:after="0" w:line="158"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Ocwen Financial Corporation</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1661 Worthington Road, Suite 100</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West Palm Beach, Florida 33409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4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 elect six Directors for a one-year term and/or until their successors are elected and qualified;</w:t>
      </w:r>
    </w:p>
    <w:p>
      <w:pPr>
        <w:ind w:left="58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To ratify the appointment by the Audit Committee of our Board of Directors of PricewaterhouseCoopers LLP as the independent registered</w:t>
      </w:r>
    </w:p>
    <w:p>
      <w:pPr>
        <w:spacing w:after="0" w:line="32"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certified public accounting firm of Ocwen Financial Corporation for the fiscal year ending December 31, 2008; and</w:t>
      </w:r>
    </w:p>
    <w:p>
      <w:pPr>
        <w:spacing w:after="0" w:line="15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To transact such other business as may properly come before the meeting or any adjournment or postponement of the meeting. Management is</w:t>
      </w:r>
    </w:p>
    <w:p>
      <w:pPr>
        <w:spacing w:after="0" w:line="38"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aware of any such other business at this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w:t>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Our Board of Directors fixed Monday, March 10, 2008 as the record date for the determination of shareholders entitled to notice of and to vote at</w:t>
      </w:r>
    </w:p>
    <w:p>
      <w:pPr>
        <w:spacing w:after="0" w:line="32" w:lineRule="exact"/>
        <w:rPr>
          <w:sz w:val="20"/>
          <w:szCs w:val="20"/>
          <w:color w:val="auto"/>
        </w:rPr>
      </w:pPr>
    </w:p>
    <w:p>
      <w:pPr>
        <w:jc w:val="both"/>
        <w:ind w:left="1160" w:right="460" w:hanging="571"/>
        <w:spacing w:after="0" w:line="408" w:lineRule="auto"/>
        <w:tabs>
          <w:tab w:leader="none" w:pos="11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Annual Meeting. Only shareholders of record at the close of business on the record date will be entitled to vote at the Annual Meeting. The proxy statement for our 2008 Annual Meeting of Shareholders and our annual report to shareholders on Form 10-K for the year ended</w:t>
      </w:r>
    </w:p>
    <w:p>
      <w:pPr>
        <w:ind w:left="1160" w:right="100" w:hanging="571"/>
        <w:spacing w:after="0" w:line="255"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December 31, 2007 are available on our website at www.ocwen.com under Shareholder Relations. Additionally, and in accordance with new Securities and Exchange Commission rules, you may access our proxy statement at http://www.cfonews.ocn, a website that does not identify or track visitors of the site.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Kevin J. Wilcox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95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March 31, 2008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West Palm Beach, Florida</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sent you this proxy statement on or about March 31, 2008 as a holder of common stock, because our Board of Directors is soliciting your proxy to be used at our Annual Meeting of Shareholders and at any adjournment of this meeting. The meeting will be held at our offices located at 1661 Worthington Road, Suite 100, West Palm Beach, Florida 33409, on Thursday, May 8, 2008, at 9:00 a.m. Eastern Daylight Time for the purposes listed in the Notice of Annual Meeting of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If you properly complete, sign and return your proxy to Ocwen and do not revoke it prior to its use, it will be voted at the meeting in accordance with your instructions. If no contrary instructions are given, each proxy received will be voted:</w:t>
      </w:r>
    </w:p>
    <w:p>
      <w:pPr>
        <w:spacing w:after="0" w:line="199"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each of the nominees for Director;</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ratification of the appointment of PricewaterhouseCoopers LLP as our independent registered certified public accounting firm for 2008; and</w:t>
      </w:r>
    </w:p>
    <w:p>
      <w:pPr>
        <w:spacing w:after="0" w:line="180" w:lineRule="exact"/>
        <w:rPr>
          <w:rFonts w:ascii="Arial" w:cs="Arial" w:eastAsia="Arial" w:hAnsi="Arial"/>
          <w:sz w:val="16"/>
          <w:szCs w:val="16"/>
          <w:color w:val="auto"/>
        </w:rPr>
      </w:pPr>
    </w:p>
    <w:p>
      <w:pPr>
        <w:ind w:left="1160" w:right="360" w:hanging="571"/>
        <w:spacing w:after="0" w:line="26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regard to any other business that properly comes before the meeting, in accordance with the best judgment of the persons appointed as proxies.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Your proxy may be used only at the Annual Meeting and any adjournment or postponement of this meeting and will not be used for any other meeting. You have the power to revoke your proxy at any time before it is exercised by:</w:t>
      </w:r>
    </w:p>
    <w:p>
      <w:pPr>
        <w:spacing w:after="0" w:line="199"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written notice with our Secretary at the following address:</w:t>
      </w:r>
    </w:p>
    <w:p>
      <w:pPr>
        <w:spacing w:after="0" w:line="157" w:lineRule="exact"/>
        <w:rPr>
          <w:rFonts w:ascii="Arial" w:cs="Arial" w:eastAsia="Arial" w:hAnsi="Arial"/>
          <w:sz w:val="18"/>
          <w:szCs w:val="18"/>
          <w:color w:val="auto"/>
        </w:rPr>
      </w:pPr>
    </w:p>
    <w:p>
      <w:pPr>
        <w:ind w:left="1160" w:right="8060"/>
        <w:spacing w:after="0" w:line="286" w:lineRule="auto"/>
        <w:rPr>
          <w:rFonts w:ascii="Arial" w:cs="Arial" w:eastAsia="Arial" w:hAnsi="Arial"/>
          <w:sz w:val="18"/>
          <w:szCs w:val="18"/>
          <w:color w:val="auto"/>
        </w:rPr>
      </w:pPr>
      <w:r>
        <w:rPr>
          <w:rFonts w:ascii="Arial" w:cs="Arial" w:eastAsia="Arial" w:hAnsi="Arial"/>
          <w:sz w:val="16"/>
          <w:szCs w:val="16"/>
          <w:color w:val="auto"/>
        </w:rPr>
        <w:t>Kevin J. Wilcox, Secretary Ocwen Financial Corporation</w:t>
      </w:r>
    </w:p>
    <w:p>
      <w:pPr>
        <w:ind w:left="1160" w:right="7700"/>
        <w:spacing w:after="0" w:line="361" w:lineRule="auto"/>
        <w:rPr>
          <w:rFonts w:ascii="Arial" w:cs="Arial" w:eastAsia="Arial" w:hAnsi="Arial"/>
          <w:sz w:val="18"/>
          <w:szCs w:val="18"/>
          <w:color w:val="auto"/>
        </w:rPr>
      </w:pPr>
      <w:r>
        <w:rPr>
          <w:rFonts w:ascii="Arial" w:cs="Arial" w:eastAsia="Arial" w:hAnsi="Arial"/>
          <w:sz w:val="15"/>
          <w:szCs w:val="15"/>
          <w:color w:val="auto"/>
        </w:rPr>
        <w:t>1661 Worthington Road, Suite 100 West Palm Beach, Florida 33409</w:t>
      </w:r>
    </w:p>
    <w:p>
      <w:pPr>
        <w:spacing w:after="0" w:line="5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3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You are entitled to vote at the Annual Meeting or any adjournment of this meeting if you are a holder of record of our common stock at the close of business on March 10, 2008. At the close of business on March 10, 2008, there were 62,649,110 shares of common stock issued and outstanding and no other class of equity securities outstanding. Each share of our common stock is entitled to one vote at the Annual Meeting on all matters properly presented.</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3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presence at the Annual Meeting of a majority of the votes of our common stock entitled to be cast, represented in person or by proxy, will constitute a quorum for the transaction of business at the Annual Meeting.</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Assuming a quorum, the six persons receiving the greatest number of votes for Director will be elected as Directors of Ocwen. You may vote in favor of or withhold authority to vote for one or more nominees for Director. The proposal to ratify the appointment of PricewaterhouseCoopers LLP as our independent registered certified public accounting firm for 2008 and any other matter properly submitted for your consideration at the Annual Meeting (other than the election of Directors), will be approved if the votes cast in favor of the action exceed the votes cast opposing the action.</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Abstentions and broker “non-votes” will not be counted in determining the votes cast in connection with the foregoing matters. A broker “non-vote” occurs when a shareholder has not provided voting instructions to the broker on a non-routine item. In such cases, the New York Stock Exchange precludes brokers from giving a proxy to vote on non-routine items.</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Many banks and brokerage firms offer the option of voting over the Internet or by telephone. Please contact your bank or brokerage firm for further information.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(Proposal One)</w:t>
      </w:r>
    </w:p>
    <w:p>
      <w:pPr>
        <w:spacing w:after="0" w:line="219"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Our Bylaws provide that our Board of Directors shall consist of no less than three and no more than eight members, with the exact number to be fixed by our Board of Directors. Directors are elected annually and hold office until the earlier of the election and qualification of their successors or their resignation and removal.</w:t>
      </w:r>
    </w:p>
    <w:p>
      <w:pPr>
        <w:spacing w:after="0" w:line="194"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We will propose the six nominees listed below for election as Directors at the Annual Meeting. All six nominees are currently our Directors. Our Board of Directors knows of no reason why any of the six nominees would not be able or willing to serve as director if elected. There are no arrangements or understandings between any nominee and any other person for selection as a nominee.</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 Michael Linn and W. C. Martin have announced that they will not run for re-election to and will retire from our Board of Directors effective as of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Directors: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Nomination/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22"/>
                <w:szCs w:val="22"/>
                <w:color w:val="auto"/>
                <w:vertAlign w:val="superscript"/>
              </w:rPr>
              <w:t>(1)</w:t>
            </w:r>
          </w:p>
        </w:tc>
        <w:tc>
          <w:tcPr>
            <w:tcW w:w="114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rPr>
              <w:t>Director</w:t>
            </w:r>
          </w:p>
        </w:tc>
        <w:tc>
          <w:tcPr>
            <w:tcW w:w="1420" w:type="dxa"/>
            <w:vAlign w:val="bottom"/>
          </w:tcPr>
          <w:p>
            <w:pPr>
              <w:jc w:val="right"/>
              <w:ind w:right="359"/>
              <w:spacing w:after="0" w:line="149" w:lineRule="exact"/>
              <w:rPr>
                <w:sz w:val="20"/>
                <w:szCs w:val="20"/>
                <w:color w:val="auto"/>
              </w:rPr>
            </w:pPr>
            <w:r>
              <w:rPr>
                <w:rFonts w:ascii="Arial" w:cs="Arial" w:eastAsia="Arial" w:hAnsi="Arial"/>
                <w:sz w:val="14"/>
                <w:szCs w:val="14"/>
                <w:b w:val="1"/>
                <w:bCs w:val="1"/>
                <w:color w:val="auto"/>
              </w:rPr>
              <w:t>Executive</w:t>
            </w:r>
          </w:p>
        </w:tc>
        <w:tc>
          <w:tcPr>
            <w:tcW w:w="1300" w:type="dxa"/>
            <w:vAlign w:val="bottom"/>
          </w:tcPr>
          <w:p>
            <w:pPr>
              <w:jc w:val="center"/>
              <w:ind w:left="78"/>
              <w:spacing w:after="0" w:line="149" w:lineRule="exact"/>
              <w:rPr>
                <w:sz w:val="20"/>
                <w:szCs w:val="20"/>
                <w:color w:val="auto"/>
              </w:rPr>
            </w:pPr>
            <w:r>
              <w:rPr>
                <w:rFonts w:ascii="Arial" w:cs="Arial" w:eastAsia="Arial" w:hAnsi="Arial"/>
                <w:sz w:val="14"/>
                <w:szCs w:val="14"/>
                <w:b w:val="1"/>
                <w:bCs w:val="1"/>
                <w:color w:val="auto"/>
                <w:w w:val="94"/>
              </w:rPr>
              <w:t>Audit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Governance</w:t>
            </w:r>
          </w:p>
        </w:tc>
        <w:tc>
          <w:tcPr>
            <w:tcW w:w="0" w:type="dxa"/>
            <w:vAlign w:val="bottom"/>
          </w:tcPr>
          <w:p>
            <w:pPr>
              <w:spacing w:after="0"/>
              <w:rPr>
                <w:sz w:val="1"/>
                <w:szCs w:val="1"/>
                <w:color w:val="auto"/>
              </w:rPr>
            </w:pPr>
          </w:p>
        </w:tc>
      </w:tr>
      <w:tr>
        <w:trPr>
          <w:trHeight w:val="266"/>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Borders>
              <w:bottom w:val="single" w:sz="8" w:color="auto"/>
            </w:tcBorders>
            <w:vMerge w:val="continue"/>
          </w:tcPr>
          <w:p>
            <w:pPr>
              <w:spacing w:after="0"/>
              <w:rPr>
                <w:sz w:val="23"/>
                <w:szCs w:val="23"/>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Since</w:t>
            </w:r>
          </w:p>
        </w:tc>
        <w:tc>
          <w:tcPr>
            <w:tcW w:w="14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Committee</w:t>
            </w:r>
          </w:p>
        </w:tc>
        <w:tc>
          <w:tcPr>
            <w:tcW w:w="1300" w:type="dxa"/>
            <w:vAlign w:val="bottom"/>
            <w:tcBorders>
              <w:bottom w:val="single" w:sz="8" w:color="auto"/>
            </w:tcBorders>
          </w:tcPr>
          <w:p>
            <w:pPr>
              <w:jc w:val="center"/>
              <w:ind w:left="58"/>
              <w:spacing w:after="0"/>
              <w:rPr>
                <w:sz w:val="20"/>
                <w:szCs w:val="20"/>
                <w:color w:val="auto"/>
              </w:rPr>
            </w:pPr>
            <w:r>
              <w:rPr>
                <w:rFonts w:ascii="Arial" w:cs="Arial" w:eastAsia="Arial" w:hAnsi="Arial"/>
                <w:sz w:val="14"/>
                <w:szCs w:val="14"/>
                <w:b w:val="1"/>
                <w:bCs w:val="1"/>
                <w:color w:val="auto"/>
                <w:w w:val="88"/>
              </w:rPr>
              <w:t>Committee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720" w:type="dxa"/>
            <w:vAlign w:val="bottom"/>
            <w:shd w:val="clear" w:color="auto" w:fill="EAF9E8"/>
          </w:tcPr>
          <w:p>
            <w:pPr>
              <w:jc w:val="right"/>
              <w:ind w:right="314"/>
              <w:spacing w:after="0"/>
              <w:rPr>
                <w:sz w:val="20"/>
                <w:szCs w:val="20"/>
                <w:color w:val="auto"/>
              </w:rPr>
            </w:pPr>
            <w:r>
              <w:rPr>
                <w:rFonts w:ascii="Arial" w:cs="Arial" w:eastAsia="Arial" w:hAnsi="Arial"/>
                <w:sz w:val="18"/>
                <w:szCs w:val="18"/>
                <w:color w:val="auto"/>
              </w:rPr>
              <w:t>58</w:t>
            </w:r>
          </w:p>
        </w:tc>
        <w:tc>
          <w:tcPr>
            <w:tcW w:w="1140" w:type="dxa"/>
            <w:vAlign w:val="bottom"/>
            <w:shd w:val="clear" w:color="auto" w:fill="EAF9E8"/>
          </w:tcPr>
          <w:p>
            <w:pPr>
              <w:jc w:val="right"/>
              <w:ind w:right="336"/>
              <w:spacing w:after="0"/>
              <w:rPr>
                <w:sz w:val="20"/>
                <w:szCs w:val="20"/>
                <w:color w:val="auto"/>
              </w:rPr>
            </w:pPr>
            <w:r>
              <w:rPr>
                <w:rFonts w:ascii="Arial" w:cs="Arial" w:eastAsia="Arial" w:hAnsi="Arial"/>
                <w:sz w:val="18"/>
                <w:szCs w:val="18"/>
                <w:color w:val="auto"/>
              </w:rPr>
              <w:t>1988</w:t>
            </w:r>
          </w:p>
        </w:tc>
        <w:tc>
          <w:tcPr>
            <w:tcW w:w="1420" w:type="dxa"/>
            <w:vAlign w:val="bottom"/>
            <w:shd w:val="clear" w:color="auto" w:fill="EAF9E8"/>
          </w:tcPr>
          <w:p>
            <w:pPr>
              <w:jc w:val="right"/>
              <w:ind w:right="379"/>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(2)</w:t>
            </w:r>
          </w:p>
        </w:tc>
        <w:tc>
          <w:tcPr>
            <w:tcW w:w="13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Ronald M. Faris</w:t>
            </w:r>
          </w:p>
        </w:tc>
        <w:tc>
          <w:tcPr>
            <w:tcW w:w="1720" w:type="dxa"/>
            <w:vAlign w:val="bottom"/>
          </w:tcPr>
          <w:p>
            <w:pPr>
              <w:jc w:val="right"/>
              <w:ind w:right="314"/>
              <w:spacing w:after="0"/>
              <w:rPr>
                <w:sz w:val="20"/>
                <w:szCs w:val="20"/>
                <w:color w:val="auto"/>
              </w:rPr>
            </w:pPr>
            <w:r>
              <w:rPr>
                <w:rFonts w:ascii="Arial" w:cs="Arial" w:eastAsia="Arial" w:hAnsi="Arial"/>
                <w:sz w:val="18"/>
                <w:szCs w:val="18"/>
                <w:color w:val="auto"/>
              </w:rPr>
              <w:t>45</w:t>
            </w:r>
          </w:p>
        </w:tc>
        <w:tc>
          <w:tcPr>
            <w:tcW w:w="1140" w:type="dxa"/>
            <w:vAlign w:val="bottom"/>
          </w:tcPr>
          <w:p>
            <w:pPr>
              <w:jc w:val="right"/>
              <w:ind w:right="336"/>
              <w:spacing w:after="0"/>
              <w:rPr>
                <w:sz w:val="20"/>
                <w:szCs w:val="20"/>
                <w:color w:val="auto"/>
              </w:rPr>
            </w:pPr>
            <w:r>
              <w:rPr>
                <w:rFonts w:ascii="Arial" w:cs="Arial" w:eastAsia="Arial" w:hAnsi="Arial"/>
                <w:sz w:val="18"/>
                <w:szCs w:val="18"/>
                <w:color w:val="auto"/>
              </w:rPr>
              <w:t>2003</w:t>
            </w:r>
          </w:p>
        </w:tc>
        <w:tc>
          <w:tcPr>
            <w:tcW w:w="1420" w:type="dxa"/>
            <w:vAlign w:val="bottom"/>
          </w:tcPr>
          <w:p>
            <w:pPr>
              <w:jc w:val="right"/>
              <w:ind w:right="639"/>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EAF9E8"/>
          </w:tcPr>
          <w:p>
            <w:pPr>
              <w:spacing w:after="0"/>
              <w:rPr>
                <w:sz w:val="20"/>
                <w:szCs w:val="20"/>
                <w:color w:val="auto"/>
              </w:rPr>
            </w:pPr>
            <w:r>
              <w:rPr>
                <w:rFonts w:ascii="Arial" w:cs="Arial" w:eastAsia="Arial" w:hAnsi="Arial"/>
                <w:sz w:val="18"/>
                <w:szCs w:val="18"/>
                <w:color w:val="auto"/>
              </w:rPr>
              <w:t>Martha C. Goss</w:t>
            </w:r>
          </w:p>
        </w:tc>
        <w:tc>
          <w:tcPr>
            <w:tcW w:w="1720" w:type="dxa"/>
            <w:vAlign w:val="bottom"/>
            <w:shd w:val="clear" w:color="auto" w:fill="EAF9E8"/>
          </w:tcPr>
          <w:p>
            <w:pPr>
              <w:jc w:val="right"/>
              <w:ind w:right="314"/>
              <w:spacing w:after="0"/>
              <w:rPr>
                <w:sz w:val="20"/>
                <w:szCs w:val="20"/>
                <w:color w:val="auto"/>
              </w:rPr>
            </w:pPr>
            <w:r>
              <w:rPr>
                <w:rFonts w:ascii="Arial" w:cs="Arial" w:eastAsia="Arial" w:hAnsi="Arial"/>
                <w:sz w:val="18"/>
                <w:szCs w:val="18"/>
                <w:color w:val="auto"/>
              </w:rPr>
              <w:t>58</w:t>
            </w:r>
          </w:p>
        </w:tc>
        <w:tc>
          <w:tcPr>
            <w:tcW w:w="1140" w:type="dxa"/>
            <w:vAlign w:val="bottom"/>
            <w:shd w:val="clear" w:color="auto" w:fill="EAF9E8"/>
          </w:tcPr>
          <w:p>
            <w:pPr>
              <w:jc w:val="right"/>
              <w:ind w:right="336"/>
              <w:spacing w:after="0"/>
              <w:rPr>
                <w:sz w:val="20"/>
                <w:szCs w:val="20"/>
                <w:color w:val="auto"/>
              </w:rPr>
            </w:pPr>
            <w:r>
              <w:rPr>
                <w:rFonts w:ascii="Arial" w:cs="Arial" w:eastAsia="Arial" w:hAnsi="Arial"/>
                <w:sz w:val="18"/>
                <w:szCs w:val="18"/>
                <w:color w:val="auto"/>
              </w:rPr>
              <w:t>2005</w:t>
            </w:r>
          </w:p>
        </w:tc>
        <w:tc>
          <w:tcPr>
            <w:tcW w:w="1420" w:type="dxa"/>
            <w:vAlign w:val="bottom"/>
            <w:shd w:val="clear" w:color="auto" w:fill="EAF9E8"/>
          </w:tcPr>
          <w:p>
            <w:pPr>
              <w:spacing w:after="0"/>
              <w:rPr>
                <w:sz w:val="18"/>
                <w:szCs w:val="18"/>
                <w:color w:val="auto"/>
              </w:rPr>
            </w:pPr>
          </w:p>
        </w:tc>
        <w:tc>
          <w:tcPr>
            <w:tcW w:w="1300" w:type="dxa"/>
            <w:vAlign w:val="bottom"/>
            <w:shd w:val="clear" w:color="auto" w:fill="EAF9E8"/>
          </w:tcPr>
          <w:p>
            <w:pPr>
              <w:ind w:left="660"/>
              <w:spacing w:after="0"/>
              <w:rPr>
                <w:sz w:val="20"/>
                <w:szCs w:val="20"/>
                <w:color w:val="auto"/>
              </w:rPr>
            </w:pPr>
            <w:r>
              <w:rPr>
                <w:rFonts w:ascii="Arial" w:cs="Arial" w:eastAsia="Arial" w:hAnsi="Arial"/>
                <w:sz w:val="18"/>
                <w:szCs w:val="18"/>
                <w:color w:val="auto"/>
              </w:rPr>
              <w:t>X</w:t>
            </w:r>
          </w:p>
        </w:tc>
        <w:tc>
          <w:tcPr>
            <w:tcW w:w="13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Ronald J. Korn</w:t>
            </w:r>
          </w:p>
        </w:tc>
        <w:tc>
          <w:tcPr>
            <w:tcW w:w="1720" w:type="dxa"/>
            <w:vAlign w:val="bottom"/>
          </w:tcPr>
          <w:p>
            <w:pPr>
              <w:jc w:val="right"/>
              <w:ind w:right="314"/>
              <w:spacing w:after="0"/>
              <w:rPr>
                <w:sz w:val="20"/>
                <w:szCs w:val="20"/>
                <w:color w:val="auto"/>
              </w:rPr>
            </w:pPr>
            <w:r>
              <w:rPr>
                <w:rFonts w:ascii="Arial" w:cs="Arial" w:eastAsia="Arial" w:hAnsi="Arial"/>
                <w:sz w:val="18"/>
                <w:szCs w:val="18"/>
                <w:color w:val="auto"/>
              </w:rPr>
              <w:t>67</w:t>
            </w:r>
          </w:p>
        </w:tc>
        <w:tc>
          <w:tcPr>
            <w:tcW w:w="1140" w:type="dxa"/>
            <w:vAlign w:val="bottom"/>
          </w:tcPr>
          <w:p>
            <w:pPr>
              <w:jc w:val="right"/>
              <w:ind w:right="336"/>
              <w:spacing w:after="0"/>
              <w:rPr>
                <w:sz w:val="20"/>
                <w:szCs w:val="20"/>
                <w:color w:val="auto"/>
              </w:rPr>
            </w:pPr>
            <w:r>
              <w:rPr>
                <w:rFonts w:ascii="Arial" w:cs="Arial" w:eastAsia="Arial" w:hAnsi="Arial"/>
                <w:sz w:val="18"/>
                <w:szCs w:val="18"/>
                <w:color w:val="auto"/>
              </w:rPr>
              <w:t>2003</w:t>
            </w:r>
          </w:p>
        </w:tc>
        <w:tc>
          <w:tcPr>
            <w:tcW w:w="1420" w:type="dxa"/>
            <w:vAlign w:val="bottom"/>
          </w:tcPr>
          <w:p>
            <w:pPr>
              <w:spacing w:after="0"/>
              <w:rPr>
                <w:sz w:val="18"/>
                <w:szCs w:val="18"/>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(2)</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1720" w:type="dxa"/>
            <w:vAlign w:val="bottom"/>
            <w:shd w:val="clear" w:color="auto" w:fill="EAF9E8"/>
          </w:tcPr>
          <w:p>
            <w:pPr>
              <w:jc w:val="right"/>
              <w:ind w:right="314"/>
              <w:spacing w:after="0"/>
              <w:rPr>
                <w:sz w:val="20"/>
                <w:szCs w:val="20"/>
                <w:color w:val="auto"/>
              </w:rPr>
            </w:pPr>
            <w:r>
              <w:rPr>
                <w:rFonts w:ascii="Arial" w:cs="Arial" w:eastAsia="Arial" w:hAnsi="Arial"/>
                <w:sz w:val="18"/>
                <w:szCs w:val="18"/>
                <w:color w:val="auto"/>
              </w:rPr>
              <w:t>63</w:t>
            </w:r>
          </w:p>
        </w:tc>
        <w:tc>
          <w:tcPr>
            <w:tcW w:w="1140" w:type="dxa"/>
            <w:vAlign w:val="bottom"/>
            <w:shd w:val="clear" w:color="auto" w:fill="EAF9E8"/>
          </w:tcPr>
          <w:p>
            <w:pPr>
              <w:jc w:val="right"/>
              <w:ind w:right="336"/>
              <w:spacing w:after="0"/>
              <w:rPr>
                <w:sz w:val="20"/>
                <w:szCs w:val="20"/>
                <w:color w:val="auto"/>
              </w:rPr>
            </w:pPr>
            <w:r>
              <w:rPr>
                <w:rFonts w:ascii="Arial" w:cs="Arial" w:eastAsia="Arial" w:hAnsi="Arial"/>
                <w:sz w:val="18"/>
                <w:szCs w:val="18"/>
                <w:color w:val="auto"/>
              </w:rPr>
              <w:t>2002</w:t>
            </w:r>
          </w:p>
        </w:tc>
        <w:tc>
          <w:tcPr>
            <w:tcW w:w="1420" w:type="dxa"/>
            <w:vAlign w:val="bottom"/>
            <w:shd w:val="clear" w:color="auto" w:fill="EAF9E8"/>
          </w:tcPr>
          <w:p>
            <w:pPr>
              <w:spacing w:after="0"/>
              <w:rPr>
                <w:sz w:val="18"/>
                <w:szCs w:val="18"/>
                <w:color w:val="auto"/>
              </w:rPr>
            </w:pPr>
          </w:p>
        </w:tc>
        <w:tc>
          <w:tcPr>
            <w:tcW w:w="1300" w:type="dxa"/>
            <w:vAlign w:val="bottom"/>
            <w:shd w:val="clear" w:color="auto" w:fill="EAF9E8"/>
          </w:tcPr>
          <w:p>
            <w:pPr>
              <w:ind w:left="6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(3)</w:t>
            </w:r>
          </w:p>
        </w:tc>
        <w:tc>
          <w:tcPr>
            <w:tcW w:w="1360" w:type="dxa"/>
            <w:vAlign w:val="bottom"/>
            <w:shd w:val="clear" w:color="auto" w:fill="EAF9E8"/>
          </w:tcPr>
          <w:p>
            <w:pPr>
              <w:spacing w:after="0"/>
              <w:rPr>
                <w:sz w:val="18"/>
                <w:szCs w:val="18"/>
                <w:color w:val="auto"/>
              </w:rPr>
            </w:pPr>
          </w:p>
        </w:tc>
        <w:tc>
          <w:tcPr>
            <w:tcW w:w="1260" w:type="dxa"/>
            <w:vAlign w:val="bottom"/>
            <w:shd w:val="clear" w:color="auto" w:fill="EAF9E8"/>
          </w:tcPr>
          <w:p>
            <w:pPr>
              <w:ind w:left="64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tcPr>
          <w:p>
            <w:pPr>
              <w:spacing w:after="0" w:line="256" w:lineRule="exact"/>
              <w:rPr>
                <w:sz w:val="20"/>
                <w:szCs w:val="20"/>
                <w:color w:val="auto"/>
              </w:rPr>
            </w:pPr>
            <w:r>
              <w:rPr>
                <w:rFonts w:ascii="Arial" w:cs="Arial" w:eastAsia="Arial" w:hAnsi="Arial"/>
                <w:sz w:val="18"/>
                <w:szCs w:val="18"/>
                <w:color w:val="auto"/>
              </w:rPr>
              <w:t xml:space="preserve">W. Michael Linn </w:t>
            </w:r>
            <w:r>
              <w:rPr>
                <w:rFonts w:ascii="Arial" w:cs="Arial" w:eastAsia="Arial" w:hAnsi="Arial"/>
                <w:sz w:val="29"/>
                <w:szCs w:val="29"/>
                <w:color w:val="auto"/>
                <w:vertAlign w:val="superscript"/>
              </w:rPr>
              <w:t>(4)</w:t>
            </w:r>
          </w:p>
        </w:tc>
        <w:tc>
          <w:tcPr>
            <w:tcW w:w="1720" w:type="dxa"/>
            <w:vAlign w:val="bottom"/>
          </w:tcPr>
          <w:p>
            <w:pPr>
              <w:jc w:val="right"/>
              <w:ind w:right="314"/>
              <w:spacing w:after="0"/>
              <w:rPr>
                <w:sz w:val="20"/>
                <w:szCs w:val="20"/>
                <w:color w:val="auto"/>
              </w:rPr>
            </w:pPr>
            <w:r>
              <w:rPr>
                <w:rFonts w:ascii="Arial" w:cs="Arial" w:eastAsia="Arial" w:hAnsi="Arial"/>
                <w:sz w:val="18"/>
                <w:szCs w:val="18"/>
                <w:color w:val="auto"/>
              </w:rPr>
              <w:t>59</w:t>
            </w:r>
          </w:p>
        </w:tc>
        <w:tc>
          <w:tcPr>
            <w:tcW w:w="1140" w:type="dxa"/>
            <w:vAlign w:val="bottom"/>
          </w:tcPr>
          <w:p>
            <w:pPr>
              <w:jc w:val="right"/>
              <w:ind w:right="336"/>
              <w:spacing w:after="0"/>
              <w:rPr>
                <w:sz w:val="20"/>
                <w:szCs w:val="20"/>
                <w:color w:val="auto"/>
              </w:rPr>
            </w:pPr>
            <w:r>
              <w:rPr>
                <w:rFonts w:ascii="Arial" w:cs="Arial" w:eastAsia="Arial" w:hAnsi="Arial"/>
                <w:sz w:val="18"/>
                <w:szCs w:val="18"/>
                <w:color w:val="auto"/>
              </w:rPr>
              <w:t>2002</w:t>
            </w:r>
          </w:p>
        </w:tc>
        <w:tc>
          <w:tcPr>
            <w:tcW w:w="1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W. C. Martin </w:t>
            </w:r>
            <w:r>
              <w:rPr>
                <w:rFonts w:ascii="Arial" w:cs="Arial" w:eastAsia="Arial" w:hAnsi="Arial"/>
                <w:sz w:val="29"/>
                <w:szCs w:val="29"/>
                <w:color w:val="auto"/>
                <w:vertAlign w:val="superscript"/>
              </w:rPr>
              <w:t>(4)</w:t>
            </w:r>
          </w:p>
        </w:tc>
        <w:tc>
          <w:tcPr>
            <w:tcW w:w="1720" w:type="dxa"/>
            <w:vAlign w:val="bottom"/>
            <w:shd w:val="clear" w:color="auto" w:fill="EAF9E8"/>
          </w:tcPr>
          <w:p>
            <w:pPr>
              <w:jc w:val="right"/>
              <w:ind w:right="314"/>
              <w:spacing w:after="0"/>
              <w:rPr>
                <w:sz w:val="20"/>
                <w:szCs w:val="20"/>
                <w:color w:val="auto"/>
              </w:rPr>
            </w:pPr>
            <w:r>
              <w:rPr>
                <w:rFonts w:ascii="Arial" w:cs="Arial" w:eastAsia="Arial" w:hAnsi="Arial"/>
                <w:sz w:val="18"/>
                <w:szCs w:val="18"/>
                <w:color w:val="auto"/>
              </w:rPr>
              <w:t>59</w:t>
            </w:r>
          </w:p>
        </w:tc>
        <w:tc>
          <w:tcPr>
            <w:tcW w:w="1140" w:type="dxa"/>
            <w:vAlign w:val="bottom"/>
            <w:shd w:val="clear" w:color="auto" w:fill="EAF9E8"/>
          </w:tcPr>
          <w:p>
            <w:pPr>
              <w:jc w:val="right"/>
              <w:ind w:right="336"/>
              <w:spacing w:after="0"/>
              <w:rPr>
                <w:sz w:val="20"/>
                <w:szCs w:val="20"/>
                <w:color w:val="auto"/>
              </w:rPr>
            </w:pPr>
            <w:r>
              <w:rPr>
                <w:rFonts w:ascii="Arial" w:cs="Arial" w:eastAsia="Arial" w:hAnsi="Arial"/>
                <w:sz w:val="18"/>
                <w:szCs w:val="18"/>
                <w:color w:val="auto"/>
              </w:rPr>
              <w:t>1996</w:t>
            </w:r>
          </w:p>
        </w:tc>
        <w:tc>
          <w:tcPr>
            <w:tcW w:w="1420" w:type="dxa"/>
            <w:vAlign w:val="bottom"/>
            <w:shd w:val="clear" w:color="auto" w:fill="EAF9E8"/>
          </w:tcPr>
          <w:p>
            <w:pPr>
              <w:spacing w:after="0"/>
              <w:rPr>
                <w:sz w:val="22"/>
                <w:szCs w:val="22"/>
                <w:color w:val="auto"/>
              </w:rPr>
            </w:pPr>
          </w:p>
        </w:tc>
        <w:tc>
          <w:tcPr>
            <w:tcW w:w="1300" w:type="dxa"/>
            <w:vAlign w:val="bottom"/>
            <w:shd w:val="clear" w:color="auto" w:fill="EAF9E8"/>
          </w:tcPr>
          <w:p>
            <w:pPr>
              <w:spacing w:after="0"/>
              <w:rPr>
                <w:sz w:val="22"/>
                <w:szCs w:val="22"/>
                <w:color w:val="auto"/>
              </w:rPr>
            </w:pPr>
          </w:p>
        </w:tc>
        <w:tc>
          <w:tcPr>
            <w:tcW w:w="1360" w:type="dxa"/>
            <w:vAlign w:val="bottom"/>
            <w:shd w:val="clear" w:color="auto" w:fill="EAF9E8"/>
          </w:tcPr>
          <w:p>
            <w:pPr>
              <w:jc w:val="right"/>
              <w:ind w:right="299"/>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(2)</w:t>
            </w:r>
          </w:p>
        </w:tc>
        <w:tc>
          <w:tcPr>
            <w:tcW w:w="1260" w:type="dxa"/>
            <w:vAlign w:val="bottom"/>
            <w:shd w:val="clear" w:color="auto" w:fill="EAF9E8"/>
          </w:tcPr>
          <w:p>
            <w:pPr>
              <w:ind w:left="64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Barry N. Wish</w:t>
            </w:r>
          </w:p>
        </w:tc>
        <w:tc>
          <w:tcPr>
            <w:tcW w:w="1720" w:type="dxa"/>
            <w:vAlign w:val="bottom"/>
          </w:tcPr>
          <w:p>
            <w:pPr>
              <w:jc w:val="right"/>
              <w:ind w:right="314"/>
              <w:spacing w:after="0"/>
              <w:rPr>
                <w:sz w:val="20"/>
                <w:szCs w:val="20"/>
                <w:color w:val="auto"/>
              </w:rPr>
            </w:pPr>
            <w:r>
              <w:rPr>
                <w:rFonts w:ascii="Arial" w:cs="Arial" w:eastAsia="Arial" w:hAnsi="Arial"/>
                <w:sz w:val="18"/>
                <w:szCs w:val="18"/>
                <w:color w:val="auto"/>
              </w:rPr>
              <w:t>66</w:t>
            </w:r>
          </w:p>
        </w:tc>
        <w:tc>
          <w:tcPr>
            <w:tcW w:w="1140" w:type="dxa"/>
            <w:vAlign w:val="bottom"/>
          </w:tcPr>
          <w:p>
            <w:pPr>
              <w:jc w:val="right"/>
              <w:ind w:right="336"/>
              <w:spacing w:after="0"/>
              <w:rPr>
                <w:sz w:val="20"/>
                <w:szCs w:val="20"/>
                <w:color w:val="auto"/>
              </w:rPr>
            </w:pPr>
            <w:r>
              <w:rPr>
                <w:rFonts w:ascii="Arial" w:cs="Arial" w:eastAsia="Arial" w:hAnsi="Arial"/>
                <w:sz w:val="18"/>
                <w:szCs w:val="18"/>
                <w:color w:val="auto"/>
              </w:rPr>
              <w:t>1988</w:t>
            </w:r>
          </w:p>
        </w:tc>
        <w:tc>
          <w:tcPr>
            <w:tcW w:w="1420" w:type="dxa"/>
            <w:vAlign w:val="bottom"/>
          </w:tcPr>
          <w:p>
            <w:pPr>
              <w:jc w:val="right"/>
              <w:ind w:right="639"/>
              <w:spacing w:after="0"/>
              <w:rPr>
                <w:sz w:val="20"/>
                <w:szCs w:val="20"/>
                <w:color w:val="auto"/>
              </w:rPr>
            </w:pPr>
            <w:r>
              <w:rPr>
                <w:rFonts w:ascii="Arial" w:cs="Arial" w:eastAsia="Arial" w:hAnsi="Arial"/>
                <w:sz w:val="18"/>
                <w:szCs w:val="18"/>
                <w:color w:val="auto"/>
              </w:rPr>
              <w:t>X</w:t>
            </w:r>
          </w:p>
        </w:tc>
        <w:tc>
          <w:tcPr>
            <w:tcW w:w="1300" w:type="dxa"/>
            <w:vAlign w:val="bottom"/>
          </w:tcPr>
          <w:p>
            <w:pPr>
              <w:ind w:left="6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60" w:type="dxa"/>
            <w:vAlign w:val="bottom"/>
          </w:tcPr>
          <w:p>
            <w:pPr>
              <w:ind w:left="6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220" w:type="dxa"/>
            <w:vAlign w:val="bottom"/>
            <w:tcBorders>
              <w:bottom w:val="single" w:sz="8" w:color="auto"/>
            </w:tcBorders>
            <w:gridSpan w:val="2"/>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Number of Meetings in 2007</w:t>
            </w:r>
          </w:p>
        </w:tc>
        <w:tc>
          <w:tcPr>
            <w:tcW w:w="17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20" w:type="dxa"/>
            <w:vAlign w:val="bottom"/>
            <w:shd w:val="clear" w:color="auto" w:fill="EAF9E8"/>
          </w:tcPr>
          <w:p>
            <w:pPr>
              <w:jc w:val="right"/>
              <w:ind w:right="639"/>
              <w:spacing w:after="0"/>
              <w:rPr>
                <w:sz w:val="20"/>
                <w:szCs w:val="20"/>
                <w:color w:val="auto"/>
              </w:rPr>
            </w:pPr>
            <w:r>
              <w:rPr>
                <w:rFonts w:ascii="Arial" w:cs="Arial" w:eastAsia="Arial" w:hAnsi="Arial"/>
                <w:sz w:val="18"/>
                <w:szCs w:val="18"/>
                <w:color w:val="auto"/>
              </w:rPr>
              <w:t>0</w:t>
            </w:r>
          </w:p>
        </w:tc>
        <w:tc>
          <w:tcPr>
            <w:tcW w:w="1300" w:type="dxa"/>
            <w:vAlign w:val="bottom"/>
            <w:shd w:val="clear" w:color="auto" w:fill="EAF9E8"/>
          </w:tcPr>
          <w:p>
            <w:pPr>
              <w:jc w:val="center"/>
              <w:ind w:left="98"/>
              <w:spacing w:after="0"/>
              <w:rPr>
                <w:sz w:val="20"/>
                <w:szCs w:val="20"/>
                <w:color w:val="auto"/>
              </w:rPr>
            </w:pPr>
            <w:r>
              <w:rPr>
                <w:rFonts w:ascii="Arial" w:cs="Arial" w:eastAsia="Arial" w:hAnsi="Arial"/>
                <w:sz w:val="18"/>
                <w:szCs w:val="18"/>
                <w:color w:val="auto"/>
                <w:w w:val="79"/>
              </w:rPr>
              <w:t>9</w:t>
            </w:r>
          </w:p>
        </w:tc>
        <w:tc>
          <w:tcPr>
            <w:tcW w:w="1360" w:type="dxa"/>
            <w:vAlign w:val="bottom"/>
            <w:shd w:val="clear" w:color="auto" w:fill="EAF9E8"/>
          </w:tcPr>
          <w:p>
            <w:pPr>
              <w:jc w:val="right"/>
              <w:ind w:right="539"/>
              <w:spacing w:after="0"/>
              <w:rPr>
                <w:sz w:val="20"/>
                <w:szCs w:val="20"/>
                <w:color w:val="auto"/>
              </w:rPr>
            </w:pPr>
            <w:r>
              <w:rPr>
                <w:rFonts w:ascii="Arial" w:cs="Arial" w:eastAsia="Arial" w:hAnsi="Arial"/>
                <w:sz w:val="18"/>
                <w:szCs w:val="18"/>
                <w:color w:val="auto"/>
              </w:rPr>
              <w:t>3</w:t>
            </w:r>
          </w:p>
        </w:tc>
        <w:tc>
          <w:tcPr>
            <w:tcW w:w="1260" w:type="dxa"/>
            <w:vAlign w:val="bottom"/>
            <w:shd w:val="clear" w:color="auto" w:fill="EAF9E8"/>
          </w:tcPr>
          <w:p>
            <w:pPr>
              <w:jc w:val="right"/>
              <w:ind w:right="42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As of March 31, 2008</w:t>
      </w:r>
    </w:p>
    <w:p>
      <w:pPr>
        <w:spacing w:after="0" w:line="106" w:lineRule="exact"/>
        <w:rPr>
          <w:rFonts w:ascii="Arial" w:cs="Arial" w:eastAsia="Arial" w:hAnsi="Arial"/>
          <w:sz w:val="29"/>
          <w:szCs w:val="29"/>
          <w:color w:val="auto"/>
          <w:vertAlign w:val="superscript"/>
        </w:rPr>
      </w:pPr>
    </w:p>
    <w:p>
      <w:pPr>
        <w:ind w:left="580" w:hanging="572"/>
        <w:spacing w:after="0" w:line="205" w:lineRule="auto"/>
        <w:tabs>
          <w:tab w:leader="none" w:pos="5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Committee Chairman</w:t>
      </w:r>
    </w:p>
    <w:p>
      <w:pPr>
        <w:spacing w:after="0" w:line="169" w:lineRule="exact"/>
        <w:rPr>
          <w:rFonts w:ascii="Arial" w:cs="Arial" w:eastAsia="Arial" w:hAnsi="Arial"/>
          <w:sz w:val="29"/>
          <w:szCs w:val="29"/>
          <w:color w:val="auto"/>
          <w:vertAlign w:val="superscript"/>
        </w:rPr>
      </w:pPr>
    </w:p>
    <w:p>
      <w:pPr>
        <w:ind w:left="580" w:right="320" w:hanging="572"/>
        <w:spacing w:after="0" w:line="194" w:lineRule="auto"/>
        <w:tabs>
          <w:tab w:leader="none" w:pos="5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On May 10, 2007, Mr. Lacy resigned from the Audit Committee, and the Board of Directors appointed Mr. Wish to fill Mr. Lacy’s vacated seat on the Audit Committee.</w:t>
      </w:r>
    </w:p>
    <w:p>
      <w:pPr>
        <w:spacing w:after="0" w:line="59" w:lineRule="exact"/>
        <w:rPr>
          <w:rFonts w:ascii="Arial" w:cs="Arial" w:eastAsia="Arial" w:hAnsi="Arial"/>
          <w:sz w:val="29"/>
          <w:szCs w:val="29"/>
          <w:color w:val="auto"/>
          <w:vertAlign w:val="superscript"/>
        </w:rPr>
      </w:pPr>
    </w:p>
    <w:p>
      <w:pPr>
        <w:ind w:left="580" w:hanging="572"/>
        <w:spacing w:after="0"/>
        <w:tabs>
          <w:tab w:leader="none" w:pos="5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Retiring as a director at the 2008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 for the last five years and additional biographical information of each Director of Ocwen is set forth below.</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William C. Erbey. </w:t>
      </w:r>
      <w:r>
        <w:rPr>
          <w:rFonts w:ascii="Arial" w:cs="Arial" w:eastAsia="Arial" w:hAnsi="Arial"/>
          <w:sz w:val="16"/>
          <w:szCs w:val="16"/>
          <w:color w:val="auto"/>
        </w:rPr>
        <w:t>Mr. Erbey has served as the Chairman of the Board of Directors of Ocwen since September 1996, as the Chief Executive Officer of Ocwen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January 1988 and as the President of Ocwen from January 1988 to May 1998. From 1983 to 1995, Mr. Erbey served as a Managing General Partner of The Oxford Financial Group, a private investment partnership that was the predecessor of Ocwen. From 1975 to 1983, Mr. Erbey served at General Electric Capital Corporation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holds a Bachelor of Arts in Economics from Allegheny College and a Masters of Business Administration from Harvard University.</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 w:name="page7"/>
    <w:bookmarkEnd w:id="6"/>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Ronald M. Faris. </w:t>
      </w:r>
      <w:r>
        <w:rPr>
          <w:rFonts w:ascii="Arial" w:cs="Arial" w:eastAsia="Arial" w:hAnsi="Arial"/>
          <w:sz w:val="18"/>
          <w:szCs w:val="18"/>
          <w:color w:val="auto"/>
        </w:rPr>
        <w:t>Mr. Faris has served as a Director of Ocwen since May 2003 and as the President of Ocwen since March 2001. Mr. Faris served as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of Ocwen from May 1998 to March 2001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1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Martha Clark Goss. </w:t>
      </w:r>
      <w:r>
        <w:rPr>
          <w:rFonts w:ascii="Arial" w:cs="Arial" w:eastAsia="Arial" w:hAnsi="Arial"/>
          <w:sz w:val="16"/>
          <w:szCs w:val="16"/>
          <w:color w:val="auto"/>
        </w:rPr>
        <w:t>Ms. Goss has served as a Director of Ocwen since July 2005. Ms. Goss has served as Chief Operating and Financial Officer of Amwell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and Hopewell Holdings LLC since 2003. She previously served as Chief Financial Officer for The Capital Markets Company, a provider of e-based solutions to the global financial services and capital markets industry, and for Booz Allen &amp; Hamilton Inc., a management consulting firm. Ms. Goss has held various senior executive positions with Prudential Insurance Company of America and Chase Manhattan Bank, N.A. Ms. Goss currently serves on the Boards of American Water, Channel Reinsurance Holding, Ltd., Neuberger Berman Mutual Funds Company and Allianz Life Insurance Company of New York. She has previously served on the Boards of Claire’s Stores, Inc., Foster Wheeler Ltd., Dexter Corporation, IBJ Whitehall Business Credit Corporation, Bank Leumi, USA, the Metropolitan Regional Advisory Board of Chase Manhattan Bank and the Advisory Boards of Attensity and the McLean Group as well as the boards of various subsidiaries of The Prudential Insurance Company of America. Ms. Goss holds a Bachelor of Arts from Brown University and a Masters of Business Administration from Harvard University.</w:t>
      </w:r>
    </w:p>
    <w:p>
      <w:pPr>
        <w:spacing w:after="0" w:line="17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Ronald J. Korn. </w:t>
      </w:r>
      <w:r>
        <w:rPr>
          <w:rFonts w:ascii="Arial" w:cs="Arial" w:eastAsia="Arial" w:hAnsi="Arial"/>
          <w:sz w:val="16"/>
          <w:szCs w:val="16"/>
          <w:color w:val="auto"/>
        </w:rPr>
        <w:t>Mr. Korn has served as a Director of Ocwen since May 2003. Mr. Korn is currently the President of Ronald Korn Consulting, which provides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and marketing services to a limited number of clients. Mr. Korn has been Director and Chairman of the Audit Committee of PetMed Express, Inc. since 2002. He has also served as a Director and Chairman of the Audit Committee of comScore, Inc. since October 2005. He was a partner and employee of KPMG, LLP from 1961 to 1991, where his client responsibilities included a number of large financial institutions and various public corporations. He was admitted as a Certified Public Accountant in New York, Michigan and Florida, with licenses currently inactive. He was also admitted to the New York Bar in 1966, but has never practiced law. Mr. Korn holds a Bachelor of Science in Economics from the University of Pennsylvania, Wharton School and a Juris Doctorate from New York University Law School.</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 xml:space="preserve">William H. Lacy. </w:t>
      </w:r>
      <w:r>
        <w:rPr>
          <w:rFonts w:ascii="Arial" w:cs="Arial" w:eastAsia="Arial" w:hAnsi="Arial"/>
          <w:sz w:val="16"/>
          <w:szCs w:val="16"/>
          <w:color w:val="auto"/>
        </w:rPr>
        <w:t>Mr. Lacy has served as a Director of Ocwen since May 2002. Mr. Lacy was formerly Chairman of Mortgage Guaranty Insurance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Chairman and Chief Executive Officer of MGIC Investment Corporation, Milwaukee, Wisconsin. Both corporations are providers of private mortgage guaranty insurance and other mortgage-related services. Mr. Lacy is also a Director of ACA Capital Holdings, Inc. and of Johnson Controls, Inc. Mr. Lacy is Chairman of Johnson Controls’ Finance Committee and serves on Johnson Controls’ Compensation Committee. He is also a member of ACA Capital’s Risk Management and Audit Committees. Mr. Lacy holds a Bachelor of Arts from the School of Business at the University of Wisconsin.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Barry N. Wish. </w:t>
      </w:r>
      <w:r>
        <w:rPr>
          <w:rFonts w:ascii="Arial" w:cs="Arial" w:eastAsia="Arial" w:hAnsi="Arial"/>
          <w:sz w:val="18"/>
          <w:szCs w:val="18"/>
          <w:color w:val="auto"/>
        </w:rPr>
        <w:t>Mr. Wish has served as Chairman Emeritus of the Board of Directors of Ocwen since September 1996. He previously served as Chairman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Ocwen from January 1988 to September 1996.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holds a Bachelor of Science in Political Science from Bowdoin College.</w:t>
      </w:r>
    </w:p>
    <w:p>
      <w:pPr>
        <w:spacing w:after="0" w:line="19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Board meetings, the meetings of committees on which they serve and the Annual Meeting of Shareholders. Directors are also consulted for advice and counsel between formal meetings.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2007, our Board of Directors met 21 times. All of our Directors attended at least 75% of the Board meetings and meetings held by committees on which they served during the period. On March 11, 2008, the Board of Directors set the size of our Board of Directors at six directors, effective as of the Annual Meeting. All eight members of our Board of Directors attended our 2007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Corporate Governance Guidelines provide that our Board of Directors must be comprised of a majority of Directors who qualify as independent directors under the listing standards of the New York Stock Exchange and applicable law.</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Only those Directors who are determined by our Board of Directors to have no material relationship with Ocwen are considered independent directors. This determination is based in part on analysis of categorical questionnaire responses that follow the independence standards established by the New York Stock Exchange and is subject to additional qualifications prescribed under its listing standards and applicable law. Our current Board of Directors has determined that Ms. Goss and Messrs. Korn, Lacy, Martin and Wish are independent Directors. Specifically with regard to Mr. Wish, our Board of Directors considered his previous service as the managing General Partner of The Oxford Financial Group, the predecessor of Ocwen, and determined that such service has not impaired his independence from Ocwen and our management. The Board of Directors also considered shares of our common stock beneficially owned by each of the Directors, as set forth under “Security Ownership of Certain Beneficial Owners and Related Shareholder Matters,” although our Board of Directors generally believes that stock ownership further aligns a director’s interests with those of our other shareholders. The purpose of this review was to determine whether any such transactions or relationships were inconsistent with a determination that the Director is independent.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Board of Directors has established an Executive Committee, an Audit Committee, a Compensation Committee and a Nomination/Governance Committee. A brief description of these Committees is provided below.</w:t>
      </w:r>
    </w:p>
    <w:p>
      <w:pPr>
        <w:spacing w:after="0" w:line="18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Our Executive Committee is generally responsible to act on behalf of our Board of Directors during the intervals between meetings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On March 25, 2003, our Board of Directors authorized the Chairman and Chief Executive Officer to approve and/or to designate in writing certain individuals to approve actions that are required to be documented by counter parties, but do not require action by the Board of Directors. Such actions would include approving, signing and executing checks and electronic funds transmissions, dissolving or merging our wholly-owned subsidiaries and performing such other ministerial actions on such terms, conditions and limits as the Chairman deems appropriate in his sole discretion. In 2007, the Chairman approved 23 transactions in this manner on behalf of the Board of Directors. All such approvals and designations by the Chairman were provided to the Board of Directors at or before their next meeting and ratified by the Board of Directors at the next meeting.</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oversees the relationship with our independent registered certified public accounting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and advises 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internal accounting controls and the review of the scope and results of the annual audit conducted by the independent registered certified public accounting firm. Each member of our Audit Committee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right="20"/>
        <w:spacing w:after="0" w:line="291" w:lineRule="auto"/>
        <w:rPr>
          <w:sz w:val="20"/>
          <w:szCs w:val="20"/>
          <w:color w:val="auto"/>
        </w:rPr>
      </w:pPr>
      <w:r>
        <w:rPr>
          <w:rFonts w:ascii="Arial" w:cs="Arial" w:eastAsia="Arial" w:hAnsi="Arial"/>
          <w:sz w:val="16"/>
          <w:szCs w:val="16"/>
          <w:color w:val="auto"/>
        </w:rPr>
        <w:t xml:space="preserve">independent as defined in regulations adopted by the Securities and Exchange Commission and the listing standards of the New York Stock Exchange. Our Board of Directors has determined that all members of our Audit Committee are financially literate. Further, our Board of Directors has determined that Ronald J. Korn and Martha C. Goss possess accounting or related financial management expertise within the meaning of the listing standards of the New York Stock Exchange and that each qualifies as an audit committee financial expert, as that term is defined in Securities and Exchange Commission rules implementing requirements of the Sarbanes-Oxley Act of 2002. 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xml:space="preserve"> and is available in print to any shareholder who requests it.</w:t>
      </w:r>
    </w:p>
    <w:p>
      <w:pPr>
        <w:spacing w:after="0" w:line="17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Compensation Committee also evaluates and makes recommendations to our Board of Directors for human resource and compensation matters relating to our executive officers. The Compensation Committee reviews with the Chief Executive Officer and subsequently approves all executive compensation plans, any severance or termination arrangement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Committee shared jurisdiction with our full Board of Directors over the administration of and grants under the 1991 Equity Incentive Plan and shares jurisdiction with our full Board of Directors over the administration of the 2007 Equity Incentive Plan. Our Compensation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xml:space="preserve"> and is available in print to any shareholder who requests it.</w:t>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Compensation Committee has the authority, at our expense, to retain independent counsel or other advisers as it deems necessary in connection with its responsibilities; however, the Compensation Committee did not engage an outside compensation consultant in 2007. Certain executives are involved in the design and implementation of our executive compensation programs, including the Chief Executive Officer and Senior Vice President of Human Resources,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Senior Vice President of Human Resources for development and execution.</w:t>
      </w:r>
    </w:p>
    <w:p>
      <w:pPr>
        <w:spacing w:after="0" w:line="1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Nomination/Governance Committee. </w:t>
      </w:r>
      <w:r>
        <w:rPr>
          <w:rFonts w:ascii="Arial" w:cs="Arial" w:eastAsia="Arial" w:hAnsi="Arial"/>
          <w:sz w:val="16"/>
          <w:szCs w:val="16"/>
          <w:color w:val="auto"/>
        </w:rPr>
        <w:t>The Nomination/Governance Committee of our Board of Directors makes recommendations to our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 Each member of our Nomination/Governance Committee is independent as defined in the listing standards of the New York Stock Exchange. 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xml:space="preserve"> and is available in print to any shareholder who requests it.</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and the listing standards of the New York Stock Exchange. In addition, our Nomination/Governance Committee takes into account our best interests, as well as such factors as knowledge, experience, skills, expertise, diversity and the interplay of the candidate’s experience with the background of other members of our Board of Directors. 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 In evaluating the candidate, the Nomination/Governance Committee will consider factors other than the candidate’s qualifications, including the current composition of the Board of Directors, the balance of management and independent directors, the need for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line="290" w:lineRule="auto"/>
        <w:rPr>
          <w:sz w:val="20"/>
          <w:szCs w:val="20"/>
          <w:color w:val="auto"/>
        </w:rPr>
      </w:pPr>
      <w:r>
        <w:rPr>
          <w:rFonts w:ascii="Arial" w:cs="Arial" w:eastAsia="Arial" w:hAnsi="Arial"/>
          <w:sz w:val="16"/>
          <w:szCs w:val="16"/>
          <w:color w:val="auto"/>
        </w:rPr>
        <w:t>Audit Committee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7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you want to recommend persons for consideration by our Nomination/Governance Committee as nominees for election to our Board of Directors, you can do so by writing to our Secretary at Ocwen Financial Corporation, 1661 Worthington Road, Suite 100, West Palm Beach, Florida 33409.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2009 Annual Meeting, we must receive your recommendations by November 1,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evaluation of the Board of Directors.</w:t>
      </w:r>
    </w:p>
    <w:p>
      <w:pPr>
        <w:spacing w:after="0" w:line="16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recommends changes to the Guidelines to our Board of Directors. Our Corporate Governance Guidelines are available on our website at </w:t>
      </w:r>
      <w:r>
        <w:rPr>
          <w:rFonts w:ascii="Arial" w:cs="Arial" w:eastAsia="Arial" w:hAnsi="Arial"/>
          <w:sz w:val="15"/>
          <w:szCs w:val="15"/>
          <w:u w:val="single" w:color="auto"/>
          <w:color w:val="auto"/>
        </w:rPr>
        <w:t>www.ocwen.com</w:t>
      </w:r>
      <w:r>
        <w:rPr>
          <w:rFonts w:ascii="Arial" w:cs="Arial" w:eastAsia="Arial" w:hAnsi="Arial"/>
          <w:sz w:val="15"/>
          <w:szCs w:val="15"/>
          <w:color w:val="auto"/>
        </w:rPr>
        <w:t xml:space="preserve"> and are available in print to any shareholder who requests them by writing to our Secretary at Ocwen Financial Corporation, 1661 Worthington Road, Suite 100, West Palm Beach, Florida 33409.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Non-management Directors met in executive session without management four times during 2007. A non-management Director presides on a rotational basis as determined by our Board of Directors at each executive session.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3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If you desire to contact our Board of Directors or any individual Director regarding Ocwen, you may do so by mail addressed to our Secretary at Ocwen Financial Corporation, 1661 Worthington Road, Suite 100, West Palm Beach, Florida 33409. Communications received in writing are distributed to our Board of Directors or to individual Directors, as appropriate, depending on the facts and circumstances outlined in the communication received.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officers and employees, as required by the New York Stock Exchange rules. Any waivers from the Code of Business Conduct and Ethics for Directors or executive officers must be approved by our Board of Directors or a Board committee and must be promptly disclosed to you. We have also adopted a Code of Ethics for Senior Financial Officers that applies to our Chief Executive Officer, our Chief Financial Officer and our Chief Accounting Officer. The Code of Business Conduct and Ethics and the Code of Ethics for Senior Financial Officers are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xml:space="preserve"> and are available in print to any shareholder who requests a copy by writing to our Secretary at 1661 Worthington Road, Suite 100, West Palm Beach, Florida 33409.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BOARD OF DIRECTORS COMPENSATION</w:t>
      </w:r>
    </w:p>
    <w:p>
      <w:pPr>
        <w:spacing w:after="0" w:line="23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following table discloses compensation received by each non-management member of our Board of Directors who served as a Director during 2007. Our management Directors do not receive an annual retainer or any other compensation for their service on the Board of Directors.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20" w:type="dxa"/>
            <w:vAlign w:val="bottom"/>
          </w:tcPr>
          <w:p>
            <w:pPr>
              <w:jc w:val="right"/>
              <w:ind w:right="612"/>
              <w:spacing w:after="0"/>
              <w:rPr>
                <w:sz w:val="20"/>
                <w:szCs w:val="20"/>
                <w:color w:val="auto"/>
              </w:rPr>
            </w:pPr>
            <w:r>
              <w:rPr>
                <w:rFonts w:ascii="Arial" w:cs="Arial" w:eastAsia="Arial" w:hAnsi="Arial"/>
                <w:sz w:val="18"/>
                <w:szCs w:val="18"/>
                <w:b w:val="1"/>
                <w:bCs w:val="1"/>
                <w:color w:val="auto"/>
              </w:rPr>
              <w:t>Fees Earned</w:t>
            </w:r>
          </w:p>
        </w:tc>
        <w:tc>
          <w:tcPr>
            <w:tcW w:w="340" w:type="dxa"/>
            <w:vAlign w:val="bottom"/>
          </w:tcPr>
          <w:p>
            <w:pPr>
              <w:spacing w:after="0"/>
              <w:rPr>
                <w:sz w:val="19"/>
                <w:szCs w:val="19"/>
                <w:color w:val="auto"/>
              </w:rPr>
            </w:pPr>
          </w:p>
        </w:tc>
        <w:tc>
          <w:tcPr>
            <w:tcW w:w="1540" w:type="dxa"/>
            <w:vAlign w:val="bottom"/>
          </w:tcPr>
          <w:p>
            <w:pPr>
              <w:jc w:val="right"/>
              <w:ind w:right="714"/>
              <w:spacing w:after="0"/>
              <w:rPr>
                <w:sz w:val="20"/>
                <w:szCs w:val="20"/>
                <w:color w:val="auto"/>
              </w:rPr>
            </w:pPr>
            <w:r>
              <w:rPr>
                <w:rFonts w:ascii="Arial" w:cs="Arial" w:eastAsia="Arial" w:hAnsi="Arial"/>
                <w:sz w:val="18"/>
                <w:szCs w:val="18"/>
                <w:b w:val="1"/>
                <w:bCs w:val="1"/>
                <w:color w:val="auto"/>
              </w:rPr>
              <w:t>Stock</w:t>
            </w:r>
          </w:p>
        </w:tc>
        <w:tc>
          <w:tcPr>
            <w:tcW w:w="1800" w:type="dxa"/>
            <w:vAlign w:val="bottom"/>
          </w:tcPr>
          <w:p>
            <w:pPr>
              <w:ind w:left="540"/>
              <w:spacing w:after="0"/>
              <w:rPr>
                <w:sz w:val="20"/>
                <w:szCs w:val="20"/>
                <w:color w:val="auto"/>
              </w:rPr>
            </w:pPr>
            <w:r>
              <w:rPr>
                <w:rFonts w:ascii="Arial" w:cs="Arial" w:eastAsia="Arial" w:hAnsi="Arial"/>
                <w:sz w:val="18"/>
                <w:szCs w:val="18"/>
                <w:b w:val="1"/>
                <w:bCs w:val="1"/>
                <w:color w:val="auto"/>
              </w:rPr>
              <w:t>All Other</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6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w w:val="99"/>
              </w:rPr>
              <w:t>Or Paid in Cash</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74"/>
              <w:spacing w:after="0" w:line="371" w:lineRule="exact"/>
              <w:rPr>
                <w:sz w:val="20"/>
                <w:szCs w:val="20"/>
                <w:color w:val="auto"/>
              </w:rPr>
            </w:pPr>
            <w:r>
              <w:rPr>
                <w:rFonts w:ascii="Arial" w:cs="Arial" w:eastAsia="Arial" w:hAnsi="Arial"/>
                <w:sz w:val="35"/>
                <w:szCs w:val="35"/>
                <w:b w:val="1"/>
                <w:bCs w:val="1"/>
                <w:color w:val="auto"/>
                <w:w w:val="79"/>
                <w:vertAlign w:val="subscript"/>
              </w:rPr>
              <w:t>Awards</w:t>
            </w:r>
            <w:r>
              <w:rPr>
                <w:rFonts w:ascii="Arial" w:cs="Arial" w:eastAsia="Arial" w:hAnsi="Arial"/>
                <w:sz w:val="15"/>
                <w:szCs w:val="15"/>
                <w:color w:val="auto"/>
                <w:w w:val="79"/>
              </w:rPr>
              <w:t>(1)(2)</w:t>
            </w:r>
          </w:p>
        </w:tc>
        <w:tc>
          <w:tcPr>
            <w:tcW w:w="18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Compensation</w:t>
            </w: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EAF9E8"/>
          </w:tcPr>
          <w:p>
            <w:pPr>
              <w:spacing w:after="0"/>
              <w:rPr>
                <w:sz w:val="20"/>
                <w:szCs w:val="20"/>
                <w:color w:val="auto"/>
              </w:rPr>
            </w:pPr>
            <w:r>
              <w:rPr>
                <w:rFonts w:ascii="Arial" w:cs="Arial" w:eastAsia="Arial" w:hAnsi="Arial"/>
                <w:sz w:val="18"/>
                <w:szCs w:val="18"/>
                <w:color w:val="auto"/>
              </w:rPr>
              <w:t>Martha C. Goss</w:t>
            </w:r>
          </w:p>
        </w:tc>
        <w:tc>
          <w:tcPr>
            <w:tcW w:w="162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19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38,750</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EAF9E8"/>
          </w:tcPr>
          <w:p>
            <w:pPr>
              <w:jc w:val="right"/>
              <w:ind w:right="254"/>
              <w:spacing w:after="0"/>
              <w:rPr>
                <w:sz w:val="20"/>
                <w:szCs w:val="20"/>
                <w:color w:val="auto"/>
              </w:rPr>
            </w:pPr>
            <w:r>
              <w:rPr>
                <w:rFonts w:ascii="Arial" w:cs="Arial" w:eastAsia="Arial" w:hAnsi="Arial"/>
                <w:sz w:val="18"/>
                <w:szCs w:val="18"/>
                <w:color w:val="auto"/>
              </w:rPr>
              <w:t>30,000</w:t>
            </w:r>
          </w:p>
        </w:tc>
        <w:tc>
          <w:tcPr>
            <w:tcW w:w="1800" w:type="dxa"/>
            <w:vAlign w:val="bottom"/>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68,750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Ronald J. Korn</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46,250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4"/>
              <w:spacing w:after="0"/>
              <w:rPr>
                <w:sz w:val="20"/>
                <w:szCs w:val="20"/>
                <w:color w:val="auto"/>
              </w:rPr>
            </w:pPr>
            <w:r>
              <w:rPr>
                <w:rFonts w:ascii="Arial" w:cs="Arial" w:eastAsia="Arial" w:hAnsi="Arial"/>
                <w:sz w:val="18"/>
                <w:szCs w:val="18"/>
                <w:color w:val="auto"/>
              </w:rPr>
              <w:t>30,000</w:t>
            </w:r>
          </w:p>
        </w:tc>
        <w:tc>
          <w:tcPr>
            <w:tcW w:w="1800" w:type="dxa"/>
            <w:vAlign w:val="bottom"/>
          </w:tcPr>
          <w:p>
            <w:pPr>
              <w:ind w:left="8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162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19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36,250</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EAF9E8"/>
          </w:tcPr>
          <w:p>
            <w:pPr>
              <w:jc w:val="right"/>
              <w:ind w:right="254"/>
              <w:spacing w:after="0"/>
              <w:rPr>
                <w:sz w:val="20"/>
                <w:szCs w:val="20"/>
                <w:color w:val="auto"/>
              </w:rPr>
            </w:pPr>
            <w:r>
              <w:rPr>
                <w:rFonts w:ascii="Arial" w:cs="Arial" w:eastAsia="Arial" w:hAnsi="Arial"/>
                <w:sz w:val="18"/>
                <w:szCs w:val="18"/>
                <w:color w:val="auto"/>
              </w:rPr>
              <w:t>30,000</w:t>
            </w:r>
          </w:p>
        </w:tc>
        <w:tc>
          <w:tcPr>
            <w:tcW w:w="1800" w:type="dxa"/>
            <w:vAlign w:val="bottom"/>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66,250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W. Michael Linn</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17,500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4"/>
              <w:spacing w:after="0"/>
              <w:rPr>
                <w:sz w:val="20"/>
                <w:szCs w:val="20"/>
                <w:color w:val="auto"/>
              </w:rPr>
            </w:pPr>
            <w:r>
              <w:rPr>
                <w:rFonts w:ascii="Arial" w:cs="Arial" w:eastAsia="Arial" w:hAnsi="Arial"/>
                <w:sz w:val="18"/>
                <w:szCs w:val="18"/>
                <w:color w:val="auto"/>
              </w:rPr>
              <w:t>30,000</w:t>
            </w:r>
          </w:p>
        </w:tc>
        <w:tc>
          <w:tcPr>
            <w:tcW w:w="1800" w:type="dxa"/>
            <w:vAlign w:val="bottom"/>
          </w:tcPr>
          <w:p>
            <w:pPr>
              <w:ind w:left="8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EAF9E8"/>
          </w:tcPr>
          <w:p>
            <w:pPr>
              <w:spacing w:after="0"/>
              <w:rPr>
                <w:sz w:val="20"/>
                <w:szCs w:val="20"/>
                <w:color w:val="auto"/>
              </w:rPr>
            </w:pPr>
            <w:r>
              <w:rPr>
                <w:rFonts w:ascii="Arial" w:cs="Arial" w:eastAsia="Arial" w:hAnsi="Arial"/>
                <w:sz w:val="18"/>
                <w:szCs w:val="18"/>
                <w:color w:val="auto"/>
              </w:rPr>
              <w:t>W. C. Martin</w:t>
            </w:r>
          </w:p>
        </w:tc>
        <w:tc>
          <w:tcPr>
            <w:tcW w:w="162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19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EAF9E8"/>
          </w:tcPr>
          <w:p>
            <w:pPr>
              <w:jc w:val="right"/>
              <w:ind w:right="254"/>
              <w:spacing w:after="0"/>
              <w:rPr>
                <w:sz w:val="20"/>
                <w:szCs w:val="20"/>
                <w:color w:val="auto"/>
              </w:rPr>
            </w:pPr>
            <w:r>
              <w:rPr>
                <w:rFonts w:ascii="Arial" w:cs="Arial" w:eastAsia="Arial" w:hAnsi="Arial"/>
                <w:sz w:val="18"/>
                <w:szCs w:val="18"/>
                <w:color w:val="auto"/>
              </w:rPr>
              <w:t>30,000</w:t>
            </w:r>
          </w:p>
        </w:tc>
        <w:tc>
          <w:tcPr>
            <w:tcW w:w="1800" w:type="dxa"/>
            <w:vAlign w:val="bottom"/>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Barry N. Wish</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92"/>
              <w:spacing w:after="0"/>
              <w:rPr>
                <w:sz w:val="20"/>
                <w:szCs w:val="20"/>
                <w:color w:val="auto"/>
              </w:rPr>
            </w:pPr>
            <w:r>
              <w:rPr>
                <w:rFonts w:ascii="Arial" w:cs="Arial" w:eastAsia="Arial" w:hAnsi="Arial"/>
                <w:sz w:val="18"/>
                <w:szCs w:val="18"/>
                <w:color w:val="auto"/>
              </w:rPr>
              <w:t>42,500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4"/>
              <w:spacing w:after="0"/>
              <w:rPr>
                <w:sz w:val="20"/>
                <w:szCs w:val="20"/>
                <w:color w:val="auto"/>
              </w:rPr>
            </w:pPr>
            <w:r>
              <w:rPr>
                <w:rFonts w:ascii="Arial" w:cs="Arial" w:eastAsia="Arial" w:hAnsi="Arial"/>
                <w:sz w:val="18"/>
                <w:szCs w:val="18"/>
                <w:color w:val="auto"/>
              </w:rPr>
              <w:t>30,000</w:t>
            </w:r>
          </w:p>
        </w:tc>
        <w:tc>
          <w:tcPr>
            <w:tcW w:w="1800" w:type="dxa"/>
            <w:vAlign w:val="bottom"/>
          </w:tcPr>
          <w:p>
            <w:pPr>
              <w:ind w:left="8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80" w:right="80" w:hanging="572"/>
        <w:spacing w:after="0" w:line="228" w:lineRule="auto"/>
        <w:tabs>
          <w:tab w:leader="none" w:pos="5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number of shares issued pursuant to the Directors’ Stock Plan is based on the “fair market value” of our common stock on the date of election (or re-election) of such Director to our Board of Directors. The term “fair market value” is defined in the Directors’ Stock Plan to mean the average of the high and low prices of our common stock as reported on the New York Stock Exchange on the relevant date. Shares issued pursuant to the Directors’ Stock Plan vest immediately but are subject to forfeiture during the 12 full calendar months following election or appointment to the Board of Directors or a committee thereof, if the Director does not attend an aggregate of at least 75% of all meetings of the Board of Directors and committees of which the Director is a member during such period.</w:t>
      </w:r>
    </w:p>
    <w:p>
      <w:pPr>
        <w:spacing w:after="0" w:line="172" w:lineRule="exact"/>
        <w:rPr>
          <w:rFonts w:ascii="Arial" w:cs="Arial" w:eastAsia="Arial" w:hAnsi="Arial"/>
          <w:sz w:val="29"/>
          <w:szCs w:val="29"/>
          <w:color w:val="auto"/>
          <w:vertAlign w:val="superscript"/>
        </w:rPr>
      </w:pPr>
    </w:p>
    <w:p>
      <w:pPr>
        <w:ind w:left="580" w:right="100" w:hanging="572"/>
        <w:spacing w:after="0" w:line="210" w:lineRule="auto"/>
        <w:tabs>
          <w:tab w:leader="none" w:pos="5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In March 2005, the Board of Directors adopted a Deferral Plan for Directors, pursuant to which Directors are permitted to defer receipt of all or a portion of their equity compensation granted under the Directors’ Stock Plan. During 2007, Messrs. Lacy, Linn and Martin elected to defer their $30,000 in equity compensation pursuant to the terms of the Deferral Plan for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cash compensation to our non-management Directors:</w:t>
      </w:r>
    </w:p>
    <w:p>
      <w:pPr>
        <w:spacing w:after="0" w:line="239"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retainer of $35,000 paid in quarterly installments;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$12,500 to the Audit Committee chairperson;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$5,000 to all committee chairpersons (other than the Audit Committee chairperson);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$5,000 to all Audit Committee members.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provide our non-management Directors an annual award of restricted shares of common stock with a fair market value of $30,000 pursuant to our 1996 Stock Plan for Directors adopted by our Board of Directors and our shareholders in July 1996. Equity compensation is paid after the annual organizational meeting of the Board of Directors, which immediately follows the annual meeting of our shareholders.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Directors’ Deferral Plan</w:t>
      </w:r>
    </w:p>
    <w:p>
      <w:pPr>
        <w:spacing w:after="0" w:line="2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purpose of Deferral Plan for Directors is to provide non-management Directors with the opportunity to defer the receipt of all or a portion of their equity compensation earned for their service as Directors. The plan is administered by the Compensation Committee, and all non-management Directors are eligible to participate. Before the end of each calendar year, the non-management Directors make an election to either receive the equity portion of their annual compensation in restricted stock or to obtain a credit to their deferral account for the number of share units equal to the number of shares of restricted stock granted to such Director. A Director will become vested in the share units and will receive dividend equivalents to the same extent as such Director would if the original award of restricted stock was not deferred.</w:t>
      </w:r>
    </w:p>
    <w:p>
      <w:pPr>
        <w:spacing w:after="0" w:line="19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Each Director electing deferral must specify the payment date at the time of election as (i) the six-month anniversary of the Director’s termination date or (ii) any other date elected by the Director which is at least two years after the last day of the year of service for which the compensation was awarded. At least 30 days prior to payment of deferred compensation, a Director must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Issues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Any Director compensation may be prorated for a Director serving less than a full one-year term, as in the case of a Director joining the Board of Directors after an annual meeting of shareholders. Directors are reimbursed for reasonable travel and other expenses incurred in connection with attending meetings of the Board of Directors and its committees. Directors’ compensation is subject to review and adjustment by the Board of Directors from time to time.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our executive officer. None of our Directors and/or executive officers are related to any other Directors and/or executive officer of Ocwen or any of its subsidiaries by blood, marriage or adoption.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380" w:type="dxa"/>
            <w:vAlign w:val="bottom"/>
            <w:tcBorders>
              <w:bottom w:val="single" w:sz="8" w:color="auto"/>
            </w:tcBorders>
          </w:tcPr>
          <w:p>
            <w:pPr>
              <w:jc w:val="center"/>
              <w:ind w:left="312"/>
              <w:spacing w:after="0"/>
              <w:rPr>
                <w:sz w:val="20"/>
                <w:szCs w:val="20"/>
                <w:color w:val="auto"/>
              </w:rPr>
            </w:pPr>
            <w:r>
              <w:rPr>
                <w:rFonts w:ascii="Arial" w:cs="Arial" w:eastAsia="Arial" w:hAnsi="Arial"/>
                <w:sz w:val="18"/>
                <w:szCs w:val="18"/>
                <w:b w:val="1"/>
                <w:bCs w:val="1"/>
                <w:color w:val="auto"/>
                <w:w w:val="79"/>
              </w:rPr>
              <w:t xml:space="preserve">Age </w:t>
            </w:r>
            <w:r>
              <w:rPr>
                <w:rFonts w:ascii="Arial" w:cs="Arial" w:eastAsia="Arial" w:hAnsi="Arial"/>
                <w:sz w:val="29"/>
                <w:szCs w:val="29"/>
                <w:color w:val="auto"/>
                <w:w w:val="79"/>
                <w:vertAlign w:val="superscript"/>
              </w:rPr>
              <w:t>(1)</w:t>
            </w:r>
          </w:p>
        </w:tc>
        <w:tc>
          <w:tcPr>
            <w:tcW w:w="80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EAF9E8"/>
          </w:tcPr>
          <w:p>
            <w:pPr>
              <w:spacing w:after="0"/>
              <w:rPr>
                <w:sz w:val="20"/>
                <w:szCs w:val="20"/>
                <w:color w:val="auto"/>
              </w:rPr>
            </w:pPr>
            <w:r>
              <w:rPr>
                <w:rFonts w:ascii="Arial" w:cs="Arial" w:eastAsia="Arial" w:hAnsi="Arial"/>
                <w:sz w:val="18"/>
                <w:szCs w:val="18"/>
                <w:color w:val="auto"/>
              </w:rPr>
              <w:t>David J. Gunter</w:t>
            </w:r>
          </w:p>
        </w:tc>
        <w:tc>
          <w:tcPr>
            <w:tcW w:w="1380" w:type="dxa"/>
            <w:vAlign w:val="bottom"/>
            <w:shd w:val="clear" w:color="auto" w:fill="EAF9E8"/>
          </w:tcPr>
          <w:p>
            <w:pPr>
              <w:jc w:val="center"/>
              <w:ind w:left="312"/>
              <w:spacing w:after="0"/>
              <w:rPr>
                <w:sz w:val="20"/>
                <w:szCs w:val="20"/>
                <w:color w:val="auto"/>
              </w:rPr>
            </w:pPr>
            <w:r>
              <w:rPr>
                <w:rFonts w:ascii="Arial" w:cs="Arial" w:eastAsia="Arial" w:hAnsi="Arial"/>
                <w:sz w:val="18"/>
                <w:szCs w:val="18"/>
                <w:color w:val="auto"/>
                <w:w w:val="89"/>
              </w:rPr>
              <w:t>49</w:t>
            </w:r>
          </w:p>
        </w:tc>
        <w:tc>
          <w:tcPr>
            <w:tcW w:w="80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Senior Vice President, Chief Financial Officer and Treasurer</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Paul A. Koches</w:t>
            </w:r>
          </w:p>
        </w:tc>
        <w:tc>
          <w:tcPr>
            <w:tcW w:w="1380" w:type="dxa"/>
            <w:vAlign w:val="bottom"/>
          </w:tcPr>
          <w:p>
            <w:pPr>
              <w:jc w:val="center"/>
              <w:ind w:left="312"/>
              <w:spacing w:after="0"/>
              <w:rPr>
                <w:sz w:val="20"/>
                <w:szCs w:val="20"/>
                <w:color w:val="auto"/>
              </w:rPr>
            </w:pPr>
            <w:r>
              <w:rPr>
                <w:rFonts w:ascii="Arial" w:cs="Arial" w:eastAsia="Arial" w:hAnsi="Arial"/>
                <w:sz w:val="18"/>
                <w:szCs w:val="18"/>
                <w:color w:val="auto"/>
                <w:w w:val="89"/>
              </w:rPr>
              <w:t>54</w:t>
            </w:r>
          </w:p>
        </w:tc>
        <w:tc>
          <w:tcPr>
            <w:tcW w:w="8060" w:type="dxa"/>
            <w:vAlign w:val="bottom"/>
          </w:tcPr>
          <w:p>
            <w:pPr>
              <w:ind w:left="260"/>
              <w:spacing w:after="0"/>
              <w:rPr>
                <w:sz w:val="20"/>
                <w:szCs w:val="20"/>
                <w:color w:val="auto"/>
              </w:rPr>
            </w:pPr>
            <w:r>
              <w:rPr>
                <w:rFonts w:ascii="Arial" w:cs="Arial" w:eastAsia="Arial" w:hAnsi="Arial"/>
                <w:sz w:val="18"/>
                <w:szCs w:val="18"/>
                <w:color w:val="auto"/>
              </w:rPr>
              <w:t>Senior Vice President and General Counsel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EAF9E8"/>
          </w:tcPr>
          <w:p>
            <w:pPr>
              <w:spacing w:after="0"/>
              <w:rPr>
                <w:sz w:val="20"/>
                <w:szCs w:val="20"/>
                <w:color w:val="auto"/>
              </w:rPr>
            </w:pPr>
            <w:r>
              <w:rPr>
                <w:rFonts w:ascii="Arial" w:cs="Arial" w:eastAsia="Arial" w:hAnsi="Arial"/>
                <w:sz w:val="18"/>
                <w:szCs w:val="18"/>
                <w:color w:val="auto"/>
              </w:rPr>
              <w:t>Daniel C. O’Keefe</w:t>
            </w:r>
          </w:p>
        </w:tc>
        <w:tc>
          <w:tcPr>
            <w:tcW w:w="1380" w:type="dxa"/>
            <w:vAlign w:val="bottom"/>
            <w:shd w:val="clear" w:color="auto" w:fill="EAF9E8"/>
          </w:tcPr>
          <w:p>
            <w:pPr>
              <w:jc w:val="center"/>
              <w:ind w:left="312"/>
              <w:spacing w:after="0"/>
              <w:rPr>
                <w:sz w:val="20"/>
                <w:szCs w:val="20"/>
                <w:color w:val="auto"/>
              </w:rPr>
            </w:pPr>
            <w:r>
              <w:rPr>
                <w:rFonts w:ascii="Arial" w:cs="Arial" w:eastAsia="Arial" w:hAnsi="Arial"/>
                <w:sz w:val="18"/>
                <w:szCs w:val="18"/>
                <w:color w:val="auto"/>
                <w:w w:val="89"/>
              </w:rPr>
              <w:t>41</w:t>
            </w:r>
          </w:p>
        </w:tc>
        <w:tc>
          <w:tcPr>
            <w:tcW w:w="80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Vice President and Chief Accounting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William B. Shepro</w:t>
            </w:r>
          </w:p>
        </w:tc>
        <w:tc>
          <w:tcPr>
            <w:tcW w:w="1380" w:type="dxa"/>
            <w:vAlign w:val="bottom"/>
          </w:tcPr>
          <w:p>
            <w:pPr>
              <w:jc w:val="center"/>
              <w:ind w:left="312"/>
              <w:spacing w:after="0"/>
              <w:rPr>
                <w:sz w:val="20"/>
                <w:szCs w:val="20"/>
                <w:color w:val="auto"/>
              </w:rPr>
            </w:pPr>
            <w:r>
              <w:rPr>
                <w:rFonts w:ascii="Arial" w:cs="Arial" w:eastAsia="Arial" w:hAnsi="Arial"/>
                <w:sz w:val="18"/>
                <w:szCs w:val="18"/>
                <w:color w:val="auto"/>
                <w:w w:val="89"/>
              </w:rPr>
              <w:t>39</w:t>
            </w:r>
          </w:p>
        </w:tc>
        <w:tc>
          <w:tcPr>
            <w:tcW w:w="8060" w:type="dxa"/>
            <w:vAlign w:val="bottom"/>
          </w:tcPr>
          <w:p>
            <w:pPr>
              <w:ind w:left="260"/>
              <w:spacing w:after="0"/>
              <w:rPr>
                <w:sz w:val="20"/>
                <w:szCs w:val="20"/>
                <w:color w:val="auto"/>
              </w:rPr>
            </w:pPr>
            <w:r>
              <w:rPr>
                <w:rFonts w:ascii="Arial" w:cs="Arial" w:eastAsia="Arial" w:hAnsi="Arial"/>
                <w:sz w:val="18"/>
                <w:szCs w:val="18"/>
                <w:color w:val="auto"/>
              </w:rPr>
              <w:t>President of Global Servicing Solutions LLC and Senior Vice President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As of March 31, 2008</w:t>
      </w:r>
    </w:p>
    <w:p>
      <w:pPr>
        <w:spacing w:after="0" w:line="21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principal occupation for the last five years, as well as certain other biographical information, for each of our executive officers that is not a Director is set forth below.</w:t>
      </w:r>
    </w:p>
    <w:p>
      <w:pPr>
        <w:spacing w:after="0" w:line="18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 xml:space="preserve">David J. Gunter. </w:t>
      </w:r>
      <w:r>
        <w:rPr>
          <w:rFonts w:ascii="Arial" w:cs="Arial" w:eastAsia="Arial" w:hAnsi="Arial"/>
          <w:sz w:val="16"/>
          <w:szCs w:val="16"/>
          <w:color w:val="auto"/>
        </w:rPr>
        <w:t>Mr. Gunter has served as Ocwen’s Senior Vice President and Chief Financial Officer since May 2006 and additionally as Treasurer since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From 2002 until joining Ocwen, he held the position of Senior Vice President, Corporate Finance at Equifax Inc., where he was responsible for managing Securities and Exchange Commission reporting, Sarbanes-Oxley Section 404 implementation, planning, analysis, real estate and procurement. Mr. Gunter served as Chief Financial Officer for Cingular Wireless’ East Region from 2001 to 2002. Mr. Gunter holds a Bachelor of Science in Accounting from Concord University and a Masters of Professional Accountancy from West Virginia University.</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Paul A. Koches. </w:t>
      </w:r>
      <w:r>
        <w:rPr>
          <w:rFonts w:ascii="Arial" w:cs="Arial" w:eastAsia="Arial" w:hAnsi="Arial"/>
          <w:sz w:val="18"/>
          <w:szCs w:val="18"/>
          <w:color w:val="auto"/>
        </w:rPr>
        <w:t>Mr. Koches has served as Senior Vice President and General Counsel of Ocwen since August 2002. Prior to joining Ocwen, Mr. Koches was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with Arent Fox, LLP in Washington, D.C. Mr. Koches holds a Bachelor of Arts from the University of Connecticut and a Juris Doctorate from the University of Miami Law School.</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Daniel C. O’Keefe. </w:t>
      </w:r>
      <w:r>
        <w:rPr>
          <w:rFonts w:ascii="Arial" w:cs="Arial" w:eastAsia="Arial" w:hAnsi="Arial"/>
          <w:sz w:val="18"/>
          <w:szCs w:val="18"/>
          <w:color w:val="auto"/>
        </w:rPr>
        <w:t>Mr. O’Keefe has served as Vice President and Chief Accounting Officer of Ocwen since November 2006. Prior to joining Ocwen,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O’Keefe held the position of Vice President, Business Management at RBS Lynk from February 2005 to October 2006. Mr. O’Keefe worked for Beazer Homes USA, Inc. as Assistant Controller, External Reporting from November 2002 to February 2005. Mr. O’Keefe holds a Bachelor of Business Administration in Accounting and a Masters of Professional Accountancy from Georgia State University. Mr. O’Keefe has resigned as Vice President and Chief Accounting Officer effective as of April 4, 2008.</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has served as President of Global Servicing Solutions, LLC, a joint venture between Ocwen Financial Corporation and Merrill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Lynch, since 2003. In addition, since January 2008, Mr. Shepro has served as Senior Vice President of Ocwen Solutions which includes Ocwen Recovery Group, the fee-based businesses that are part of the Residential Origination Services segment, the technology platforms and Ocwen’s interest in Bankruptcy Management Solutions. Prior to becoming Senior Vice President of Ocwen Solutions, Mr. Shepro held the positions of Senior Vice President of Ocwen Recovery Group and Senior Vice President, Director and Senior Manager of Commercial Servicing. He holds a Bachelor of Science in Business from Skidmore College and a Juris Doctorate from the Florida State University College of Law.</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RELATED SHAREHOLDER MATTERS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39"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Director and executive officer of Ocwen;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Directors and executive officers of Ocwen as a group; and</w:t>
      </w:r>
    </w:p>
    <w:p>
      <w:pPr>
        <w:spacing w:after="0" w:line="157"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persons known by Ocwen to own beneficially 5% or more of our outstanding common stock or to have a Schedule 13D or Schedule 13G on file with the Securities and Exchange Commission.</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Shares Beneficially Owned as of March 10, 2008 </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5220" w:type="dxa"/>
            <w:vAlign w:val="bottom"/>
          </w:tcPr>
          <w:p>
            <w:pPr>
              <w:jc w:val="right"/>
              <w:ind w:right="372"/>
              <w:spacing w:after="0"/>
              <w:rPr>
                <w:sz w:val="20"/>
                <w:szCs w:val="20"/>
                <w:color w:val="auto"/>
              </w:rPr>
            </w:pPr>
            <w:r>
              <w:rPr>
                <w:rFonts w:ascii="Arial" w:cs="Arial" w:eastAsia="Arial" w:hAnsi="Arial"/>
                <w:sz w:val="18"/>
                <w:szCs w:val="18"/>
                <w:b w:val="1"/>
                <w:bCs w:val="1"/>
                <w:color w:val="auto"/>
              </w:rPr>
              <w:t>Amount</w:t>
            </w: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10"/>
        </w:trPr>
        <w:tc>
          <w:tcPr>
            <w:tcW w:w="20" w:type="dxa"/>
            <w:vAlign w:val="bottom"/>
            <w:tcBorders>
              <w:bottom w:val="single" w:sz="8" w:color="auto"/>
            </w:tcBorders>
          </w:tcPr>
          <w:p>
            <w:pPr>
              <w:spacing w:after="0"/>
              <w:rPr>
                <w:sz w:val="9"/>
                <w:szCs w:val="9"/>
                <w:color w:val="auto"/>
              </w:rPr>
            </w:pPr>
          </w:p>
        </w:tc>
        <w:tc>
          <w:tcPr>
            <w:tcW w:w="5000" w:type="dxa"/>
            <w:vAlign w:val="bottom"/>
            <w:tcBorders>
              <w:bottom w:val="single" w:sz="8" w:color="auto"/>
            </w:tcBorders>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5000" w:type="dxa"/>
            <w:vAlign w:val="bottom"/>
            <w:shd w:val="clear" w:color="auto" w:fill="EAF9E8"/>
          </w:tcPr>
          <w:p>
            <w:pPr>
              <w:spacing w:after="0" w:line="249" w:lineRule="exact"/>
              <w:rPr>
                <w:sz w:val="20"/>
                <w:szCs w:val="20"/>
                <w:color w:val="auto"/>
              </w:rPr>
            </w:pPr>
            <w:r>
              <w:rPr>
                <w:rFonts w:ascii="Arial" w:cs="Arial" w:eastAsia="Arial" w:hAnsi="Arial"/>
                <w:sz w:val="17"/>
                <w:szCs w:val="17"/>
                <w:color w:val="auto"/>
              </w:rPr>
              <w:t xml:space="preserve">Altus Capital, Inc. </w:t>
            </w:r>
            <w:r>
              <w:rPr>
                <w:rFonts w:ascii="Arial" w:cs="Arial" w:eastAsia="Arial" w:hAnsi="Arial"/>
                <w:sz w:val="28"/>
                <w:szCs w:val="28"/>
                <w:color w:val="auto"/>
                <w:vertAlign w:val="superscript"/>
              </w:rPr>
              <w:t>(2)</w:t>
            </w:r>
          </w:p>
        </w:tc>
        <w:tc>
          <w:tcPr>
            <w:tcW w:w="52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6,551,711</w:t>
            </w:r>
          </w:p>
        </w:tc>
        <w:tc>
          <w:tcPr>
            <w:tcW w:w="1180" w:type="dxa"/>
            <w:vAlign w:val="bottom"/>
            <w:shd w:val="clear" w:color="auto" w:fill="EAF9E8"/>
          </w:tcPr>
          <w:p>
            <w:pPr>
              <w:jc w:val="right"/>
              <w:ind w:right="232"/>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AF9E8"/>
          </w:tcPr>
          <w:p>
            <w:pPr>
              <w:spacing w:after="0"/>
              <w:rPr>
                <w:sz w:val="20"/>
                <w:szCs w:val="20"/>
                <w:color w:val="auto"/>
              </w:rPr>
            </w:pPr>
            <w:r>
              <w:rPr>
                <w:rFonts w:ascii="Arial" w:cs="Arial" w:eastAsia="Arial" w:hAnsi="Arial"/>
                <w:sz w:val="18"/>
                <w:szCs w:val="18"/>
                <w:color w:val="auto"/>
              </w:rPr>
              <w:t>6120 Parkland Blvd, Suite 303, Mayfield Heights, Ohio 44124</w:t>
            </w:r>
          </w:p>
        </w:tc>
        <w:tc>
          <w:tcPr>
            <w:tcW w:w="52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5020" w:type="dxa"/>
            <w:vAlign w:val="bottom"/>
            <w:gridSpan w:val="2"/>
          </w:tcPr>
          <w:p>
            <w:pPr>
              <w:spacing w:after="0"/>
              <w:rPr>
                <w:sz w:val="20"/>
                <w:szCs w:val="20"/>
                <w:color w:val="auto"/>
              </w:rPr>
            </w:pPr>
            <w:r>
              <w:rPr>
                <w:rFonts w:ascii="Arial" w:cs="Arial" w:eastAsia="Arial" w:hAnsi="Arial"/>
                <w:sz w:val="18"/>
                <w:szCs w:val="18"/>
                <w:color w:val="auto"/>
              </w:rPr>
              <w:t xml:space="preserve">Angelo, Gordon &amp; Co, L.P. </w:t>
            </w:r>
            <w:r>
              <w:rPr>
                <w:rFonts w:ascii="Arial" w:cs="Arial" w:eastAsia="Arial" w:hAnsi="Arial"/>
                <w:sz w:val="29"/>
                <w:szCs w:val="29"/>
                <w:color w:val="auto"/>
                <w:vertAlign w:val="superscript"/>
              </w:rPr>
              <w:t>(3)</w:t>
            </w:r>
          </w:p>
        </w:tc>
        <w:tc>
          <w:tcPr>
            <w:tcW w:w="5220" w:type="dxa"/>
            <w:vAlign w:val="bottom"/>
          </w:tcPr>
          <w:p>
            <w:pPr>
              <w:jc w:val="right"/>
              <w:ind w:right="152"/>
              <w:spacing w:after="0"/>
              <w:rPr>
                <w:sz w:val="20"/>
                <w:szCs w:val="20"/>
                <w:color w:val="auto"/>
              </w:rPr>
            </w:pPr>
            <w:r>
              <w:rPr>
                <w:rFonts w:ascii="Arial" w:cs="Arial" w:eastAsia="Arial" w:hAnsi="Arial"/>
                <w:sz w:val="18"/>
                <w:szCs w:val="18"/>
                <w:color w:val="auto"/>
              </w:rPr>
              <w:t>2,150,000</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245 Park Avenue, New York, New York 10167</w:t>
            </w:r>
          </w:p>
        </w:tc>
        <w:tc>
          <w:tcPr>
            <w:tcW w:w="5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0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5000" w:type="dxa"/>
            <w:vAlign w:val="bottom"/>
            <w:shd w:val="clear" w:color="auto" w:fill="EAF9E8"/>
          </w:tcPr>
          <w:p>
            <w:pPr>
              <w:spacing w:after="0" w:line="249" w:lineRule="exact"/>
              <w:rPr>
                <w:sz w:val="20"/>
                <w:szCs w:val="20"/>
                <w:color w:val="auto"/>
              </w:rPr>
            </w:pPr>
            <w:r>
              <w:rPr>
                <w:rFonts w:ascii="Arial" w:cs="Arial" w:eastAsia="Arial" w:hAnsi="Arial"/>
                <w:sz w:val="17"/>
                <w:szCs w:val="17"/>
                <w:color w:val="auto"/>
              </w:rPr>
              <w:t xml:space="preserve">Dimensional Fund Advisors LP </w:t>
            </w:r>
            <w:r>
              <w:rPr>
                <w:rFonts w:ascii="Arial" w:cs="Arial" w:eastAsia="Arial" w:hAnsi="Arial"/>
                <w:sz w:val="28"/>
                <w:szCs w:val="28"/>
                <w:color w:val="auto"/>
                <w:vertAlign w:val="superscript"/>
              </w:rPr>
              <w:t>(4)</w:t>
            </w:r>
          </w:p>
        </w:tc>
        <w:tc>
          <w:tcPr>
            <w:tcW w:w="52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3,121,891</w:t>
            </w:r>
          </w:p>
        </w:tc>
        <w:tc>
          <w:tcPr>
            <w:tcW w:w="1180" w:type="dxa"/>
            <w:vAlign w:val="bottom"/>
            <w:shd w:val="clear" w:color="auto" w:fill="EAF9E8"/>
          </w:tcPr>
          <w:p>
            <w:pPr>
              <w:jc w:val="right"/>
              <w:ind w:right="232"/>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AF9E8"/>
          </w:tcPr>
          <w:p>
            <w:pPr>
              <w:spacing w:after="0"/>
              <w:rPr>
                <w:sz w:val="20"/>
                <w:szCs w:val="20"/>
                <w:color w:val="auto"/>
              </w:rPr>
            </w:pPr>
            <w:r>
              <w:rPr>
                <w:rFonts w:ascii="Arial" w:cs="Arial" w:eastAsia="Arial" w:hAnsi="Arial"/>
                <w:sz w:val="18"/>
                <w:szCs w:val="18"/>
                <w:color w:val="auto"/>
              </w:rPr>
              <w:t>1299 Ocean Avenue, 11th Floor, Santa Monica, CA 90401</w:t>
            </w:r>
          </w:p>
        </w:tc>
        <w:tc>
          <w:tcPr>
            <w:tcW w:w="52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5020" w:type="dxa"/>
            <w:vAlign w:val="bottom"/>
            <w:gridSpan w:val="2"/>
          </w:tcPr>
          <w:p>
            <w:pPr>
              <w:spacing w:after="0"/>
              <w:rPr>
                <w:sz w:val="20"/>
                <w:szCs w:val="20"/>
                <w:color w:val="auto"/>
              </w:rPr>
            </w:pPr>
            <w:r>
              <w:rPr>
                <w:rFonts w:ascii="Arial" w:cs="Arial" w:eastAsia="Arial" w:hAnsi="Arial"/>
                <w:sz w:val="18"/>
                <w:szCs w:val="18"/>
                <w:color w:val="auto"/>
              </w:rPr>
              <w:t xml:space="preserve">Greenwood Investments, Inc. </w:t>
            </w:r>
            <w:r>
              <w:rPr>
                <w:rFonts w:ascii="Arial" w:cs="Arial" w:eastAsia="Arial" w:hAnsi="Arial"/>
                <w:sz w:val="29"/>
                <w:szCs w:val="29"/>
                <w:color w:val="auto"/>
                <w:vertAlign w:val="superscript"/>
              </w:rPr>
              <w:t>(5)</w:t>
            </w:r>
          </w:p>
        </w:tc>
        <w:tc>
          <w:tcPr>
            <w:tcW w:w="5220" w:type="dxa"/>
            <w:vAlign w:val="bottom"/>
          </w:tcPr>
          <w:p>
            <w:pPr>
              <w:jc w:val="right"/>
              <w:ind w:right="152"/>
              <w:spacing w:after="0"/>
              <w:rPr>
                <w:sz w:val="20"/>
                <w:szCs w:val="20"/>
                <w:color w:val="auto"/>
              </w:rPr>
            </w:pPr>
            <w:r>
              <w:rPr>
                <w:rFonts w:ascii="Arial" w:cs="Arial" w:eastAsia="Arial" w:hAnsi="Arial"/>
                <w:sz w:val="18"/>
                <w:szCs w:val="18"/>
                <w:color w:val="auto"/>
              </w:rPr>
              <w:t>3,454,800</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5020" w:type="dxa"/>
            <w:vAlign w:val="bottom"/>
            <w:gridSpan w:val="2"/>
          </w:tcPr>
          <w:p>
            <w:pPr>
              <w:spacing w:after="0"/>
              <w:rPr>
                <w:sz w:val="20"/>
                <w:szCs w:val="20"/>
                <w:color w:val="auto"/>
              </w:rPr>
            </w:pPr>
            <w:r>
              <w:rPr>
                <w:rFonts w:ascii="Arial" w:cs="Arial" w:eastAsia="Arial" w:hAnsi="Arial"/>
                <w:sz w:val="18"/>
                <w:szCs w:val="18"/>
                <w:color w:val="auto"/>
              </w:rPr>
              <w:t>420 Boylston Street,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tc>
        <w:tc>
          <w:tcPr>
            <w:tcW w:w="5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vMerge w:val="continue"/>
          </w:tcPr>
          <w:p>
            <w:pPr>
              <w:spacing w:after="0"/>
              <w:rPr>
                <w:sz w:val="21"/>
                <w:szCs w:val="21"/>
                <w:color w:val="auto"/>
              </w:rPr>
            </w:pPr>
          </w:p>
        </w:tc>
        <w:tc>
          <w:tcPr>
            <w:tcW w:w="5000" w:type="dxa"/>
            <w:vAlign w:val="bottom"/>
            <w:shd w:val="clear" w:color="auto" w:fill="EAF9E8"/>
          </w:tcPr>
          <w:p>
            <w:pPr>
              <w:spacing w:after="0" w:line="249" w:lineRule="exact"/>
              <w:rPr>
                <w:sz w:val="20"/>
                <w:szCs w:val="20"/>
                <w:color w:val="auto"/>
              </w:rPr>
            </w:pPr>
            <w:r>
              <w:rPr>
                <w:rFonts w:ascii="Arial" w:cs="Arial" w:eastAsia="Arial" w:hAnsi="Arial"/>
                <w:sz w:val="17"/>
                <w:szCs w:val="17"/>
                <w:color w:val="auto"/>
              </w:rPr>
              <w:t xml:space="preserve">Perry Corp. </w:t>
            </w:r>
            <w:r>
              <w:rPr>
                <w:rFonts w:ascii="Arial" w:cs="Arial" w:eastAsia="Arial" w:hAnsi="Arial"/>
                <w:sz w:val="28"/>
                <w:szCs w:val="28"/>
                <w:color w:val="auto"/>
                <w:vertAlign w:val="superscript"/>
              </w:rPr>
              <w:t>(6)</w:t>
            </w:r>
          </w:p>
        </w:tc>
        <w:tc>
          <w:tcPr>
            <w:tcW w:w="52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3,613,888</w:t>
            </w:r>
          </w:p>
        </w:tc>
        <w:tc>
          <w:tcPr>
            <w:tcW w:w="1180" w:type="dxa"/>
            <w:vAlign w:val="bottom"/>
            <w:shd w:val="clear" w:color="auto" w:fill="EAF9E8"/>
          </w:tcPr>
          <w:p>
            <w:pPr>
              <w:jc w:val="right"/>
              <w:ind w:right="232"/>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AF9E8"/>
          </w:tcPr>
          <w:p>
            <w:pPr>
              <w:spacing w:after="0"/>
              <w:rPr>
                <w:sz w:val="20"/>
                <w:szCs w:val="20"/>
                <w:color w:val="auto"/>
              </w:rPr>
            </w:pPr>
            <w:r>
              <w:rPr>
                <w:rFonts w:ascii="Arial" w:cs="Arial" w:eastAsia="Arial" w:hAnsi="Arial"/>
                <w:sz w:val="18"/>
                <w:szCs w:val="18"/>
                <w:color w:val="auto"/>
              </w:rPr>
              <w:t>767 Fifth Avenue, New York, New York 10153</w:t>
            </w:r>
          </w:p>
        </w:tc>
        <w:tc>
          <w:tcPr>
            <w:tcW w:w="52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5220" w:type="dxa"/>
            <w:vAlign w:val="bottom"/>
          </w:tcPr>
          <w:p>
            <w:pPr>
              <w:jc w:val="right"/>
              <w:ind w:right="372"/>
              <w:spacing w:after="0"/>
              <w:rPr>
                <w:sz w:val="20"/>
                <w:szCs w:val="20"/>
                <w:color w:val="auto"/>
              </w:rPr>
            </w:pPr>
            <w:r>
              <w:rPr>
                <w:rFonts w:ascii="Arial" w:cs="Arial" w:eastAsia="Arial" w:hAnsi="Arial"/>
                <w:sz w:val="18"/>
                <w:szCs w:val="18"/>
                <w:b w:val="1"/>
                <w:bCs w:val="1"/>
                <w:color w:val="auto"/>
              </w:rPr>
              <w:t>Amount</w:t>
            </w: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10"/>
        </w:trPr>
        <w:tc>
          <w:tcPr>
            <w:tcW w:w="5020" w:type="dxa"/>
            <w:vAlign w:val="bottom"/>
            <w:tcBorders>
              <w:bottom w:val="single" w:sz="8" w:color="auto"/>
            </w:tcBorders>
            <w:gridSpan w:val="2"/>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0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William C. Erbey </w:t>
            </w:r>
            <w:r>
              <w:rPr>
                <w:rFonts w:ascii="Arial" w:cs="Arial" w:eastAsia="Arial" w:hAnsi="Arial"/>
                <w:sz w:val="29"/>
                <w:szCs w:val="29"/>
                <w:color w:val="auto"/>
                <w:vertAlign w:val="superscript"/>
              </w:rPr>
              <w:t>(7)</w:t>
            </w:r>
          </w:p>
        </w:tc>
        <w:tc>
          <w:tcPr>
            <w:tcW w:w="52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19,389,792</w:t>
            </w:r>
          </w:p>
        </w:tc>
        <w:tc>
          <w:tcPr>
            <w:tcW w:w="1180" w:type="dxa"/>
            <w:vAlign w:val="bottom"/>
            <w:shd w:val="clear" w:color="auto" w:fill="EAF9E8"/>
          </w:tcPr>
          <w:p>
            <w:pPr>
              <w:jc w:val="right"/>
              <w:ind w:right="232"/>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Pr>
          <w:p>
            <w:pPr>
              <w:spacing w:after="0" w:line="256" w:lineRule="exact"/>
              <w:rPr>
                <w:sz w:val="20"/>
                <w:szCs w:val="20"/>
                <w:color w:val="auto"/>
              </w:rPr>
            </w:pPr>
            <w:r>
              <w:rPr>
                <w:rFonts w:ascii="Arial" w:cs="Arial" w:eastAsia="Arial" w:hAnsi="Arial"/>
                <w:sz w:val="18"/>
                <w:szCs w:val="18"/>
                <w:color w:val="auto"/>
              </w:rPr>
              <w:t xml:space="preserve">Ronald M. Faris </w:t>
            </w:r>
            <w:r>
              <w:rPr>
                <w:rFonts w:ascii="Arial" w:cs="Arial" w:eastAsia="Arial" w:hAnsi="Arial"/>
                <w:sz w:val="29"/>
                <w:szCs w:val="29"/>
                <w:color w:val="auto"/>
                <w:vertAlign w:val="superscript"/>
              </w:rPr>
              <w:t>(8)</w:t>
            </w:r>
          </w:p>
        </w:tc>
        <w:tc>
          <w:tcPr>
            <w:tcW w:w="5220" w:type="dxa"/>
            <w:vAlign w:val="bottom"/>
          </w:tcPr>
          <w:p>
            <w:pPr>
              <w:jc w:val="right"/>
              <w:ind w:right="152"/>
              <w:spacing w:after="0"/>
              <w:rPr>
                <w:sz w:val="20"/>
                <w:szCs w:val="20"/>
                <w:color w:val="auto"/>
              </w:rPr>
            </w:pPr>
            <w:r>
              <w:rPr>
                <w:rFonts w:ascii="Arial" w:cs="Arial" w:eastAsia="Arial" w:hAnsi="Arial"/>
                <w:sz w:val="18"/>
                <w:szCs w:val="18"/>
                <w:color w:val="auto"/>
              </w:rPr>
              <w:t>936,316</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AF9E8"/>
          </w:tcPr>
          <w:p>
            <w:pPr>
              <w:spacing w:after="0"/>
              <w:rPr>
                <w:sz w:val="20"/>
                <w:szCs w:val="20"/>
                <w:color w:val="auto"/>
              </w:rPr>
            </w:pPr>
            <w:r>
              <w:rPr>
                <w:rFonts w:ascii="Arial" w:cs="Arial" w:eastAsia="Arial" w:hAnsi="Arial"/>
                <w:sz w:val="18"/>
                <w:szCs w:val="18"/>
                <w:color w:val="auto"/>
              </w:rPr>
              <w:t>Martha C. Goss</w:t>
            </w:r>
          </w:p>
        </w:tc>
        <w:tc>
          <w:tcPr>
            <w:tcW w:w="52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6,601</w:t>
            </w:r>
          </w:p>
        </w:tc>
        <w:tc>
          <w:tcPr>
            <w:tcW w:w="1180" w:type="dxa"/>
            <w:vAlign w:val="bottom"/>
            <w:shd w:val="clear" w:color="auto" w:fill="EAF9E8"/>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Ronald J. Korn</w:t>
            </w:r>
          </w:p>
        </w:tc>
        <w:tc>
          <w:tcPr>
            <w:tcW w:w="5220" w:type="dxa"/>
            <w:vAlign w:val="bottom"/>
          </w:tcPr>
          <w:p>
            <w:pPr>
              <w:jc w:val="right"/>
              <w:ind w:right="152"/>
              <w:spacing w:after="0"/>
              <w:rPr>
                <w:sz w:val="20"/>
                <w:szCs w:val="20"/>
                <w:color w:val="auto"/>
              </w:rPr>
            </w:pPr>
            <w:r>
              <w:rPr>
                <w:rFonts w:ascii="Arial" w:cs="Arial" w:eastAsia="Arial" w:hAnsi="Arial"/>
                <w:sz w:val="18"/>
                <w:szCs w:val="18"/>
                <w:color w:val="auto"/>
              </w:rPr>
              <w:t>7,237</w:t>
            </w: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AF9E8"/>
          </w:tcPr>
          <w:p>
            <w:pPr>
              <w:spacing w:after="0"/>
              <w:rPr>
                <w:sz w:val="20"/>
                <w:szCs w:val="20"/>
                <w:color w:val="auto"/>
              </w:rPr>
            </w:pPr>
            <w:r>
              <w:rPr>
                <w:rFonts w:ascii="Arial" w:cs="Arial" w:eastAsia="Arial" w:hAnsi="Arial"/>
                <w:sz w:val="18"/>
                <w:szCs w:val="18"/>
                <w:color w:val="auto"/>
              </w:rPr>
              <w:t>William H. Lacy</w:t>
            </w:r>
          </w:p>
        </w:tc>
        <w:tc>
          <w:tcPr>
            <w:tcW w:w="52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12,579</w:t>
            </w:r>
          </w:p>
        </w:tc>
        <w:tc>
          <w:tcPr>
            <w:tcW w:w="1180" w:type="dxa"/>
            <w:vAlign w:val="bottom"/>
            <w:shd w:val="clear" w:color="auto" w:fill="EAF9E8"/>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Pr>
          <w:p>
            <w:pPr>
              <w:spacing w:after="0" w:line="256" w:lineRule="exact"/>
              <w:rPr>
                <w:sz w:val="20"/>
                <w:szCs w:val="20"/>
                <w:color w:val="auto"/>
              </w:rPr>
            </w:pPr>
            <w:r>
              <w:rPr>
                <w:rFonts w:ascii="Arial" w:cs="Arial" w:eastAsia="Arial" w:hAnsi="Arial"/>
                <w:sz w:val="18"/>
                <w:szCs w:val="18"/>
                <w:color w:val="auto"/>
              </w:rPr>
              <w:t xml:space="preserve">W. Michael Linn </w:t>
            </w:r>
            <w:r>
              <w:rPr>
                <w:rFonts w:ascii="Arial" w:cs="Arial" w:eastAsia="Arial" w:hAnsi="Arial"/>
                <w:sz w:val="29"/>
                <w:szCs w:val="29"/>
                <w:color w:val="auto"/>
                <w:vertAlign w:val="superscript"/>
              </w:rPr>
              <w:t>(9)</w:t>
            </w:r>
          </w:p>
        </w:tc>
        <w:tc>
          <w:tcPr>
            <w:tcW w:w="5220" w:type="dxa"/>
            <w:vAlign w:val="bottom"/>
          </w:tcPr>
          <w:p>
            <w:pPr>
              <w:jc w:val="right"/>
              <w:ind w:right="152"/>
              <w:spacing w:after="0"/>
              <w:rPr>
                <w:sz w:val="20"/>
                <w:szCs w:val="20"/>
                <w:color w:val="auto"/>
              </w:rPr>
            </w:pPr>
            <w:r>
              <w:rPr>
                <w:rFonts w:ascii="Arial" w:cs="Arial" w:eastAsia="Arial" w:hAnsi="Arial"/>
                <w:sz w:val="18"/>
                <w:szCs w:val="18"/>
                <w:color w:val="auto"/>
              </w:rPr>
              <w:t>342,540</w:t>
            </w: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W. C. Martin </w:t>
            </w:r>
            <w:r>
              <w:rPr>
                <w:rFonts w:ascii="Arial" w:cs="Arial" w:eastAsia="Arial" w:hAnsi="Arial"/>
                <w:sz w:val="29"/>
                <w:szCs w:val="29"/>
                <w:color w:val="auto"/>
                <w:vertAlign w:val="superscript"/>
              </w:rPr>
              <w:t>(10)</w:t>
            </w:r>
          </w:p>
        </w:tc>
        <w:tc>
          <w:tcPr>
            <w:tcW w:w="52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20,603</w:t>
            </w:r>
          </w:p>
        </w:tc>
        <w:tc>
          <w:tcPr>
            <w:tcW w:w="1180" w:type="dxa"/>
            <w:vAlign w:val="bottom"/>
            <w:shd w:val="clear" w:color="auto" w:fill="EAF9E8"/>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Pr>
          <w:p>
            <w:pPr>
              <w:spacing w:after="0" w:line="256" w:lineRule="exact"/>
              <w:rPr>
                <w:sz w:val="20"/>
                <w:szCs w:val="20"/>
                <w:color w:val="auto"/>
              </w:rPr>
            </w:pPr>
            <w:r>
              <w:rPr>
                <w:rFonts w:ascii="Arial" w:cs="Arial" w:eastAsia="Arial" w:hAnsi="Arial"/>
                <w:sz w:val="18"/>
                <w:szCs w:val="18"/>
                <w:color w:val="auto"/>
              </w:rPr>
              <w:t xml:space="preserve">Barry N. Wish </w:t>
            </w:r>
            <w:r>
              <w:rPr>
                <w:rFonts w:ascii="Arial" w:cs="Arial" w:eastAsia="Arial" w:hAnsi="Arial"/>
                <w:sz w:val="29"/>
                <w:szCs w:val="29"/>
                <w:color w:val="auto"/>
                <w:vertAlign w:val="superscript"/>
              </w:rPr>
              <w:t>(11)</w:t>
            </w:r>
          </w:p>
        </w:tc>
        <w:tc>
          <w:tcPr>
            <w:tcW w:w="5220" w:type="dxa"/>
            <w:vAlign w:val="bottom"/>
          </w:tcPr>
          <w:p>
            <w:pPr>
              <w:jc w:val="right"/>
              <w:ind w:right="152"/>
              <w:spacing w:after="0"/>
              <w:rPr>
                <w:sz w:val="20"/>
                <w:szCs w:val="20"/>
                <w:color w:val="auto"/>
              </w:rPr>
            </w:pPr>
            <w:r>
              <w:rPr>
                <w:rFonts w:ascii="Arial" w:cs="Arial" w:eastAsia="Arial" w:hAnsi="Arial"/>
                <w:sz w:val="18"/>
                <w:szCs w:val="18"/>
                <w:color w:val="auto"/>
              </w:rPr>
              <w:t>6,061,237</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David J. Gunter </w:t>
            </w:r>
            <w:r>
              <w:rPr>
                <w:rFonts w:ascii="Arial" w:cs="Arial" w:eastAsia="Arial" w:hAnsi="Arial"/>
                <w:sz w:val="29"/>
                <w:szCs w:val="29"/>
                <w:color w:val="auto"/>
                <w:vertAlign w:val="superscript"/>
              </w:rPr>
              <w:t>(12)</w:t>
            </w:r>
          </w:p>
        </w:tc>
        <w:tc>
          <w:tcPr>
            <w:tcW w:w="52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8,674</w:t>
            </w:r>
          </w:p>
        </w:tc>
        <w:tc>
          <w:tcPr>
            <w:tcW w:w="1180" w:type="dxa"/>
            <w:vAlign w:val="bottom"/>
            <w:shd w:val="clear" w:color="auto" w:fill="EAF9E8"/>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Paul A. Koches</w:t>
            </w:r>
          </w:p>
        </w:tc>
        <w:tc>
          <w:tcPr>
            <w:tcW w:w="5220" w:type="dxa"/>
            <w:vAlign w:val="bottom"/>
          </w:tcPr>
          <w:p>
            <w:pPr>
              <w:jc w:val="right"/>
              <w:ind w:right="152"/>
              <w:spacing w:after="0"/>
              <w:rPr>
                <w:sz w:val="20"/>
                <w:szCs w:val="20"/>
                <w:color w:val="auto"/>
              </w:rPr>
            </w:pPr>
            <w:r>
              <w:rPr>
                <w:rFonts w:ascii="Arial" w:cs="Arial" w:eastAsia="Arial" w:hAnsi="Arial"/>
                <w:sz w:val="18"/>
                <w:szCs w:val="18"/>
                <w:color w:val="auto"/>
              </w:rPr>
              <w:t>2,105</w:t>
            </w: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Daniel C. O’Keefe </w:t>
            </w:r>
            <w:r>
              <w:rPr>
                <w:rFonts w:ascii="Arial" w:cs="Arial" w:eastAsia="Arial" w:hAnsi="Arial"/>
                <w:sz w:val="29"/>
                <w:szCs w:val="29"/>
                <w:color w:val="auto"/>
                <w:vertAlign w:val="superscript"/>
              </w:rPr>
              <w:t>(13)</w:t>
            </w:r>
          </w:p>
        </w:tc>
        <w:tc>
          <w:tcPr>
            <w:tcW w:w="52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2,636</w:t>
            </w:r>
          </w:p>
        </w:tc>
        <w:tc>
          <w:tcPr>
            <w:tcW w:w="1180" w:type="dxa"/>
            <w:vAlign w:val="bottom"/>
            <w:shd w:val="clear" w:color="auto" w:fill="EAF9E8"/>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 xml:space="preserve">William B. Shepro </w:t>
            </w:r>
            <w:r>
              <w:rPr>
                <w:rFonts w:ascii="Arial" w:cs="Arial" w:eastAsia="Arial" w:hAnsi="Arial"/>
                <w:sz w:val="29"/>
                <w:szCs w:val="29"/>
                <w:color w:val="auto"/>
                <w:vertAlign w:val="superscript"/>
              </w:rPr>
              <w:t>(14)</w:t>
            </w:r>
          </w:p>
        </w:tc>
        <w:tc>
          <w:tcPr>
            <w:tcW w:w="5220" w:type="dxa"/>
            <w:vAlign w:val="bottom"/>
          </w:tcPr>
          <w:p>
            <w:pPr>
              <w:jc w:val="right"/>
              <w:ind w:right="152"/>
              <w:spacing w:after="0"/>
              <w:rPr>
                <w:sz w:val="20"/>
                <w:szCs w:val="20"/>
                <w:color w:val="auto"/>
              </w:rPr>
            </w:pPr>
            <w:r>
              <w:rPr>
                <w:rFonts w:ascii="Arial" w:cs="Arial" w:eastAsia="Arial" w:hAnsi="Arial"/>
                <w:sz w:val="18"/>
                <w:szCs w:val="18"/>
                <w:color w:val="auto"/>
              </w:rPr>
              <w:t>299,203</w:t>
            </w: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AF9E8"/>
          </w:tcPr>
          <w:p>
            <w:pPr>
              <w:spacing w:after="0"/>
              <w:rPr>
                <w:sz w:val="20"/>
                <w:szCs w:val="20"/>
                <w:color w:val="auto"/>
              </w:rPr>
            </w:pPr>
            <w:r>
              <w:rPr>
                <w:rFonts w:ascii="Arial" w:cs="Arial" w:eastAsia="Arial" w:hAnsi="Arial"/>
                <w:sz w:val="18"/>
                <w:szCs w:val="18"/>
                <w:color w:val="auto"/>
              </w:rPr>
              <w:t>All Directors and Executive Officers as a Group (12 persons)</w:t>
            </w:r>
          </w:p>
        </w:tc>
        <w:tc>
          <w:tcPr>
            <w:tcW w:w="52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27,089,523</w:t>
            </w:r>
          </w:p>
        </w:tc>
        <w:tc>
          <w:tcPr>
            <w:tcW w:w="1180" w:type="dxa"/>
            <w:vAlign w:val="bottom"/>
            <w:shd w:val="clear" w:color="auto" w:fill="EAF9E8"/>
          </w:tcPr>
          <w:p>
            <w:pPr>
              <w:jc w:val="right"/>
              <w:ind w:right="232"/>
              <w:spacing w:after="0"/>
              <w:rPr>
                <w:sz w:val="20"/>
                <w:szCs w:val="20"/>
                <w:color w:val="auto"/>
              </w:rPr>
            </w:pPr>
            <w:r>
              <w:rPr>
                <w:rFonts w:ascii="Arial" w:cs="Arial" w:eastAsia="Arial" w:hAnsi="Arial"/>
                <w:sz w:val="18"/>
                <w:szCs w:val="18"/>
                <w:color w:val="auto"/>
              </w:rPr>
              <w:t>41.94%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02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5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220" w:type="dxa"/>
            <w:vAlign w:val="bottom"/>
          </w:tcPr>
          <w:p>
            <w:pPr>
              <w:jc w:val="right"/>
              <w:ind w:right="4352"/>
              <w:spacing w:after="0"/>
              <w:rPr>
                <w:sz w:val="20"/>
                <w:szCs w:val="20"/>
                <w:color w:val="auto"/>
              </w:rPr>
            </w:pPr>
            <w:r>
              <w:rPr>
                <w:rFonts w:ascii="Arial" w:cs="Arial" w:eastAsia="Arial" w:hAnsi="Arial"/>
                <w:sz w:val="18"/>
                <w:szCs w:val="18"/>
                <w:color w:val="auto"/>
              </w:rPr>
              <w:t>12</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ind w:left="572" w:hanging="572"/>
        <w:spacing w:after="0" w:line="218" w:lineRule="auto"/>
        <w:tabs>
          <w:tab w:leader="none" w:pos="572"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directors or director nominees.</w:t>
      </w:r>
    </w:p>
    <w:p>
      <w:pPr>
        <w:spacing w:after="0" w:line="172" w:lineRule="exact"/>
        <w:rPr>
          <w:rFonts w:ascii="Arial" w:cs="Arial" w:eastAsia="Arial" w:hAnsi="Arial"/>
          <w:sz w:val="29"/>
          <w:szCs w:val="29"/>
          <w:color w:val="auto"/>
          <w:vertAlign w:val="superscript"/>
        </w:rPr>
      </w:pPr>
    </w:p>
    <w:p>
      <w:pPr>
        <w:ind w:left="572" w:right="360" w:hanging="572"/>
        <w:spacing w:after="0" w:line="210" w:lineRule="auto"/>
        <w:tabs>
          <w:tab w:leader="none" w:pos="572"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Securities and Exchange Commission on February 6, 2008 by Altus Capital, Inc. Includes 3,690,763 shares as to which sole voting power and sole dispositive power is claimed. Includes 2,860,948 shares as to which shared voting power and shared dispositive power is claimed.</w:t>
      </w:r>
    </w:p>
    <w:p>
      <w:pPr>
        <w:spacing w:after="0" w:line="169" w:lineRule="exact"/>
        <w:rPr>
          <w:rFonts w:ascii="Arial" w:cs="Arial" w:eastAsia="Arial" w:hAnsi="Arial"/>
          <w:sz w:val="29"/>
          <w:szCs w:val="29"/>
          <w:color w:val="auto"/>
          <w:vertAlign w:val="superscript"/>
        </w:rPr>
      </w:pPr>
    </w:p>
    <w:p>
      <w:pPr>
        <w:ind w:left="572" w:right="160" w:hanging="572"/>
        <w:spacing w:after="0" w:line="220" w:lineRule="auto"/>
        <w:tabs>
          <w:tab w:leader="none" w:pos="572"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13D filed with the Securities and Exchange Commission on January 24, 2008 by Angelo, Gordon &amp; Co., L.P. Angelo, Gordon &amp; Co. may be deemed to have sole voting and sole dispositive power over all 2,150,000 shares. John M. Angelo and Michael L. Gordon also may be deemed to have shared voting and shared dispositive power over all 2,150,000 shares.</w:t>
      </w:r>
    </w:p>
    <w:p>
      <w:pPr>
        <w:spacing w:after="0" w:line="170" w:lineRule="exact"/>
        <w:rPr>
          <w:rFonts w:ascii="Arial" w:cs="Arial" w:eastAsia="Arial" w:hAnsi="Arial"/>
          <w:sz w:val="28"/>
          <w:szCs w:val="28"/>
          <w:color w:val="auto"/>
          <w:vertAlign w:val="superscript"/>
        </w:rPr>
      </w:pPr>
    </w:p>
    <w:p>
      <w:pPr>
        <w:ind w:left="572" w:right="340" w:hanging="572"/>
        <w:spacing w:after="0" w:line="210" w:lineRule="auto"/>
        <w:tabs>
          <w:tab w:leader="none" w:pos="572"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 filed with the Securities and Exchange Commission on February 6, 2008 by Dimensional Fund Advisors LP, an investment advisor registered under Section 203 of the Investment Advisors Act of 1940. Includes 3,121,891 shares as to which sole voting power and sole dispositive power is claimed.</w:t>
      </w:r>
    </w:p>
    <w:p>
      <w:pPr>
        <w:spacing w:after="0" w:line="169" w:lineRule="exact"/>
        <w:rPr>
          <w:rFonts w:ascii="Arial" w:cs="Arial" w:eastAsia="Arial" w:hAnsi="Arial"/>
          <w:sz w:val="29"/>
          <w:szCs w:val="29"/>
          <w:color w:val="auto"/>
          <w:vertAlign w:val="superscript"/>
        </w:rPr>
      </w:pPr>
    </w:p>
    <w:p>
      <w:pPr>
        <w:ind w:left="572" w:right="100" w:hanging="572"/>
        <w:spacing w:after="0" w:line="259" w:lineRule="auto"/>
        <w:tabs>
          <w:tab w:leader="none" w:pos="572"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13D filed with the Securities and Exchange Commission on February 15, 2008, by (1) Steven Tannenbaum, (2) Greenwood Investments, Inc. (“Greenwood”), (3) Greenwood Investors Limited Partnership (“Investors”), (4) Greenwood Capital Limited Partnership (“Capital”), (5) Madaket Limited Partnership (“Madaket”), (6) Seth W. Hamot, (7) Costa Brava Partnership III L.P. (“Costa Brava”) and (8) Roark, Rearden and Hamot, LLC (“RRH”), a Delaware limited liability company. Mr. Tannenbaum is the President of Greenwood, which is the sole general partner of each of Capital, Investors and Madaket. Mr. Hamot is the Managing Member of RRH, which is the sole general partner of Costa Brava. Includes 3,438,300 shares as to which sole voting power is claimed and 3,454,800 as to which sole dispositive power is claimed.</w:t>
      </w:r>
    </w:p>
    <w:p>
      <w:pPr>
        <w:spacing w:after="0" w:line="156" w:lineRule="exact"/>
        <w:rPr>
          <w:rFonts w:ascii="Arial" w:cs="Arial" w:eastAsia="Arial" w:hAnsi="Arial"/>
          <w:sz w:val="26"/>
          <w:szCs w:val="26"/>
          <w:color w:val="auto"/>
          <w:vertAlign w:val="superscript"/>
        </w:rPr>
      </w:pPr>
    </w:p>
    <w:p>
      <w:pPr>
        <w:ind w:left="572" w:right="240" w:hanging="572"/>
        <w:spacing w:after="0" w:line="210" w:lineRule="auto"/>
        <w:tabs>
          <w:tab w:leader="none" w:pos="572"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Securities and Exchange Commission on February 8, 2008, by Perry Corp., an investment advisor registered under Section 203 of the Investment Advisors Act of 1940. Includes 3,613,888 shares as to which sole voting power and sole dispositive power is claimed.</w:t>
      </w:r>
    </w:p>
    <w:p>
      <w:pPr>
        <w:spacing w:after="0" w:line="169" w:lineRule="exact"/>
        <w:rPr>
          <w:rFonts w:ascii="Arial" w:cs="Arial" w:eastAsia="Arial" w:hAnsi="Arial"/>
          <w:sz w:val="29"/>
          <w:szCs w:val="29"/>
          <w:color w:val="auto"/>
          <w:vertAlign w:val="superscript"/>
        </w:rPr>
      </w:pPr>
    </w:p>
    <w:p>
      <w:pPr>
        <w:ind w:left="572" w:right="120" w:hanging="572"/>
        <w:spacing w:after="0" w:line="247" w:lineRule="auto"/>
        <w:tabs>
          <w:tab w:leader="none" w:pos="572"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Includes 13,319,823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and options to acquire 657,380 shares, which are exercisable on or within 60 days after March 31, 2008.</w:t>
      </w:r>
    </w:p>
    <w:p>
      <w:pPr>
        <w:spacing w:after="0" w:line="164" w:lineRule="exact"/>
        <w:rPr>
          <w:rFonts w:ascii="Arial" w:cs="Arial" w:eastAsia="Arial" w:hAnsi="Arial"/>
          <w:sz w:val="26"/>
          <w:szCs w:val="26"/>
          <w:color w:val="auto"/>
          <w:vertAlign w:val="superscript"/>
        </w:rPr>
      </w:pPr>
    </w:p>
    <w:p>
      <w:pPr>
        <w:ind w:left="572" w:right="200" w:hanging="572"/>
        <w:spacing w:after="0" w:line="194" w:lineRule="auto"/>
        <w:tabs>
          <w:tab w:leader="none" w:pos="572"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Includes 16,260 shares held jointly with Mr. Faris’ spouse. Also includes options to acquire 760,588 shares, which are exercisable on or within 60 days after March 31, 2008.</w:t>
      </w:r>
    </w:p>
    <w:p>
      <w:pPr>
        <w:spacing w:after="0" w:line="170" w:lineRule="exact"/>
        <w:rPr>
          <w:rFonts w:ascii="Arial" w:cs="Arial" w:eastAsia="Arial" w:hAnsi="Arial"/>
          <w:sz w:val="29"/>
          <w:szCs w:val="29"/>
          <w:color w:val="auto"/>
          <w:vertAlign w:val="superscript"/>
        </w:rPr>
      </w:pPr>
    </w:p>
    <w:p>
      <w:pPr>
        <w:ind w:left="572" w:right="300" w:hanging="572"/>
        <w:spacing w:after="0" w:line="210" w:lineRule="auto"/>
        <w:tabs>
          <w:tab w:leader="none" w:pos="572"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Includes 6,000 shares held by William M. Linn, II Et Al Trust, of which Mr. Linn is the custodian for his minor children and 18,000 shares held by Brown’s Valley Development, a company owned by Mr. Linn. Also includes options to acquire 284,842 shares, which are exercisable on or within 60 days after March 31, 2008.</w:t>
      </w:r>
    </w:p>
    <w:p>
      <w:pPr>
        <w:spacing w:after="0" w:line="58" w:lineRule="exact"/>
        <w:rPr>
          <w:rFonts w:ascii="Arial" w:cs="Arial" w:eastAsia="Arial" w:hAnsi="Arial"/>
          <w:sz w:val="29"/>
          <w:szCs w:val="29"/>
          <w:color w:val="auto"/>
          <w:vertAlign w:val="superscript"/>
        </w:rPr>
      </w:pPr>
    </w:p>
    <w:p>
      <w:pPr>
        <w:ind w:left="572" w:hanging="572"/>
        <w:spacing w:after="0"/>
        <w:tabs>
          <w:tab w:leader="none" w:pos="572"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Includes 5,110 shares held by Martin &amp; Associates Defined Contribution Pension Plan &amp; Trust.</w:t>
      </w:r>
    </w:p>
    <w:p>
      <w:pPr>
        <w:spacing w:after="0" w:line="169" w:lineRule="exact"/>
        <w:rPr>
          <w:rFonts w:ascii="Arial" w:cs="Arial" w:eastAsia="Arial" w:hAnsi="Arial"/>
          <w:sz w:val="29"/>
          <w:szCs w:val="29"/>
          <w:color w:val="auto"/>
          <w:vertAlign w:val="superscript"/>
        </w:rPr>
      </w:pPr>
    </w:p>
    <w:p>
      <w:pPr>
        <w:ind w:left="572" w:right="500" w:hanging="572"/>
        <w:spacing w:after="0" w:line="217" w:lineRule="auto"/>
        <w:tabs>
          <w:tab w:leader="none" w:pos="572"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Includes 5,814,242 shares held by Wishco, Inc., a corporation controlled by Barry N. Wish pursuant to his ownership of 93% of the common stock thereof and 37,000 shares held by the Barry Wish Family Foundation, Inc., a charitable foundation of which Mr. Wish is a director.</w:t>
      </w:r>
    </w:p>
    <w:p>
      <w:pPr>
        <w:spacing w:after="0" w:line="60" w:lineRule="exact"/>
        <w:rPr>
          <w:rFonts w:ascii="Arial" w:cs="Arial" w:eastAsia="Arial" w:hAnsi="Arial"/>
          <w:sz w:val="26"/>
          <w:szCs w:val="26"/>
          <w:color w:val="auto"/>
          <w:vertAlign w:val="superscript"/>
        </w:rPr>
      </w:pPr>
    </w:p>
    <w:p>
      <w:pPr>
        <w:ind w:left="572" w:hanging="572"/>
        <w:spacing w:after="0"/>
        <w:tabs>
          <w:tab w:leader="none" w:pos="572"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6,744 shares, which are exercisable on or within 60 days after March 31, 2008.</w:t>
      </w:r>
    </w:p>
    <w:p>
      <w:pPr>
        <w:spacing w:after="0" w:line="106" w:lineRule="exact"/>
        <w:rPr>
          <w:rFonts w:ascii="Arial" w:cs="Arial" w:eastAsia="Arial" w:hAnsi="Arial"/>
          <w:sz w:val="29"/>
          <w:szCs w:val="29"/>
          <w:color w:val="auto"/>
          <w:vertAlign w:val="superscript"/>
        </w:rPr>
      </w:pPr>
    </w:p>
    <w:p>
      <w:pPr>
        <w:ind w:left="572" w:hanging="572"/>
        <w:spacing w:after="0" w:line="205" w:lineRule="auto"/>
        <w:tabs>
          <w:tab w:leader="none" w:pos="572"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2,050 shares, which are exercisable on or within 60 days after March 31, 2008.</w:t>
      </w:r>
    </w:p>
    <w:p>
      <w:pPr>
        <w:spacing w:after="0" w:line="106" w:lineRule="exact"/>
        <w:rPr>
          <w:rFonts w:ascii="Arial" w:cs="Arial" w:eastAsia="Arial" w:hAnsi="Arial"/>
          <w:sz w:val="29"/>
          <w:szCs w:val="29"/>
          <w:color w:val="auto"/>
          <w:vertAlign w:val="superscript"/>
        </w:rPr>
      </w:pPr>
    </w:p>
    <w:p>
      <w:pPr>
        <w:ind w:left="572" w:hanging="572"/>
        <w:spacing w:after="0" w:line="205" w:lineRule="auto"/>
        <w:tabs>
          <w:tab w:leader="none" w:pos="572"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228,149 shares, which are exercisable on or within 60 days after March 31, 2008.</w:t>
      </w:r>
    </w:p>
    <w:p>
      <w:pPr>
        <w:spacing w:after="0" w:line="21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92"/>
          </w:cols>
          <w:pgMar w:left="248" w:top="172"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000" w:type="dxa"/>
            <w:vAlign w:val="bottom"/>
          </w:tcPr>
          <w:p>
            <w:pPr>
              <w:jc w:val="right"/>
              <w:ind w:right="132"/>
              <w:spacing w:after="0"/>
              <w:rPr>
                <w:sz w:val="20"/>
                <w:szCs w:val="20"/>
                <w:color w:val="auto"/>
              </w:rPr>
            </w:pPr>
            <w:r>
              <w:rPr>
                <w:rFonts w:ascii="Arial" w:cs="Arial" w:eastAsia="Arial" w:hAnsi="Arial"/>
                <w:sz w:val="18"/>
                <w:szCs w:val="18"/>
                <w:b w:val="1"/>
                <w:bCs w:val="1"/>
                <w:color w:val="auto"/>
                <w:w w:val="95"/>
              </w:rPr>
              <w:t>Number of securities to be issued</w:t>
            </w:r>
          </w:p>
        </w:tc>
        <w:tc>
          <w:tcPr>
            <w:tcW w:w="2640" w:type="dxa"/>
            <w:vAlign w:val="bottom"/>
            <w:gridSpan w:val="2"/>
          </w:tcPr>
          <w:p>
            <w:pPr>
              <w:jc w:val="center"/>
              <w:ind w:right="12"/>
              <w:spacing w:after="0"/>
              <w:rPr>
                <w:sz w:val="20"/>
                <w:szCs w:val="20"/>
                <w:color w:val="auto"/>
              </w:rPr>
            </w:pPr>
            <w:r>
              <w:rPr>
                <w:rFonts w:ascii="Arial" w:cs="Arial" w:eastAsia="Arial" w:hAnsi="Arial"/>
                <w:sz w:val="18"/>
                <w:szCs w:val="18"/>
                <w:b w:val="1"/>
                <w:bCs w:val="1"/>
                <w:color w:val="auto"/>
                <w:w w:val="85"/>
              </w:rPr>
              <w:t>Weighted average exercise</w:t>
            </w:r>
          </w:p>
        </w:tc>
        <w:tc>
          <w:tcPr>
            <w:tcW w:w="2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000" w:type="dxa"/>
            <w:vAlign w:val="bottom"/>
          </w:tcPr>
          <w:p>
            <w:pPr>
              <w:jc w:val="right"/>
              <w:ind w:right="292"/>
              <w:spacing w:after="0"/>
              <w:rPr>
                <w:sz w:val="20"/>
                <w:szCs w:val="20"/>
                <w:color w:val="auto"/>
              </w:rPr>
            </w:pPr>
            <w:r>
              <w:rPr>
                <w:rFonts w:ascii="Arial" w:cs="Arial" w:eastAsia="Arial" w:hAnsi="Arial"/>
                <w:sz w:val="18"/>
                <w:szCs w:val="18"/>
                <w:b w:val="1"/>
                <w:bCs w:val="1"/>
                <w:color w:val="auto"/>
              </w:rPr>
              <w:t>upon exercise of outstanding</w:t>
            </w:r>
          </w:p>
        </w:tc>
        <w:tc>
          <w:tcPr>
            <w:tcW w:w="2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price of outstanding options,</w:t>
            </w:r>
          </w:p>
        </w:tc>
        <w:tc>
          <w:tcPr>
            <w:tcW w:w="2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remaining available for</w:t>
            </w:r>
          </w:p>
        </w:tc>
        <w:tc>
          <w:tcPr>
            <w:tcW w:w="0" w:type="dxa"/>
            <w:vAlign w:val="bottom"/>
          </w:tcPr>
          <w:p>
            <w:pPr>
              <w:spacing w:after="0"/>
              <w:rPr>
                <w:sz w:val="1"/>
                <w:szCs w:val="1"/>
                <w:color w:val="auto"/>
              </w:rPr>
            </w:pPr>
          </w:p>
        </w:tc>
      </w:tr>
      <w:tr>
        <w:trPr>
          <w:trHeight w:val="228"/>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3000" w:type="dxa"/>
            <w:vAlign w:val="bottom"/>
          </w:tcPr>
          <w:p>
            <w:pPr>
              <w:jc w:val="right"/>
              <w:ind w:right="292"/>
              <w:spacing w:after="0"/>
              <w:rPr>
                <w:sz w:val="20"/>
                <w:szCs w:val="20"/>
                <w:color w:val="auto"/>
              </w:rPr>
            </w:pPr>
            <w:r>
              <w:rPr>
                <w:rFonts w:ascii="Arial" w:cs="Arial" w:eastAsia="Arial" w:hAnsi="Arial"/>
                <w:sz w:val="18"/>
                <w:szCs w:val="18"/>
                <w:b w:val="1"/>
                <w:bCs w:val="1"/>
                <w:color w:val="auto"/>
              </w:rPr>
              <w:t>options, warrants and rights</w:t>
            </w:r>
          </w:p>
        </w:tc>
        <w:tc>
          <w:tcPr>
            <w:tcW w:w="2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warrants and rights</w:t>
            </w:r>
          </w:p>
        </w:tc>
        <w:tc>
          <w:tcPr>
            <w:tcW w:w="2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future issuance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Equity compensation plans approved by</w:t>
            </w:r>
          </w:p>
        </w:tc>
        <w:tc>
          <w:tcPr>
            <w:tcW w:w="30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23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security holders</w:t>
            </w:r>
          </w:p>
        </w:tc>
        <w:tc>
          <w:tcPr>
            <w:tcW w:w="3000" w:type="dxa"/>
            <w:vAlign w:val="bottom"/>
            <w:shd w:val="clear" w:color="auto" w:fill="EAF9E8"/>
          </w:tcPr>
          <w:p>
            <w:pPr>
              <w:jc w:val="right"/>
              <w:ind w:right="672"/>
              <w:spacing w:after="0"/>
              <w:rPr>
                <w:sz w:val="20"/>
                <w:szCs w:val="20"/>
                <w:color w:val="auto"/>
              </w:rPr>
            </w:pPr>
            <w:r>
              <w:rPr>
                <w:rFonts w:ascii="Arial" w:cs="Arial" w:eastAsia="Arial" w:hAnsi="Arial"/>
                <w:sz w:val="18"/>
                <w:szCs w:val="18"/>
                <w:color w:val="auto"/>
              </w:rPr>
              <w:t>3,230,526</w:t>
            </w:r>
          </w:p>
        </w:tc>
        <w:tc>
          <w:tcPr>
            <w:tcW w:w="10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1560" w:type="dxa"/>
            <w:vAlign w:val="bottom"/>
            <w:shd w:val="clear" w:color="auto" w:fill="EAF9E8"/>
          </w:tcPr>
          <w:p>
            <w:pPr>
              <w:jc w:val="right"/>
              <w:ind w:right="992"/>
              <w:spacing w:after="0"/>
              <w:rPr>
                <w:sz w:val="20"/>
                <w:szCs w:val="20"/>
                <w:color w:val="auto"/>
              </w:rPr>
            </w:pPr>
            <w:r>
              <w:rPr>
                <w:rFonts w:ascii="Arial" w:cs="Arial" w:eastAsia="Arial" w:hAnsi="Arial"/>
                <w:sz w:val="18"/>
                <w:szCs w:val="18"/>
                <w:color w:val="auto"/>
              </w:rPr>
              <w:t>9.50</w:t>
            </w:r>
          </w:p>
        </w:tc>
        <w:tc>
          <w:tcPr>
            <w:tcW w:w="2360" w:type="dxa"/>
            <w:vAlign w:val="bottom"/>
            <w:shd w:val="clear" w:color="auto" w:fill="EAF9E8"/>
          </w:tcPr>
          <w:p>
            <w:pPr>
              <w:jc w:val="right"/>
              <w:ind w:right="672"/>
              <w:spacing w:after="0"/>
              <w:rPr>
                <w:sz w:val="20"/>
                <w:szCs w:val="20"/>
                <w:color w:val="auto"/>
              </w:rPr>
            </w:pPr>
            <w:r>
              <w:rPr>
                <w:rFonts w:ascii="Arial" w:cs="Arial" w:eastAsia="Arial" w:hAnsi="Arial"/>
                <w:sz w:val="18"/>
                <w:szCs w:val="18"/>
                <w:color w:val="auto"/>
              </w:rPr>
              <w:t>18,086,256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6"/>
              </w:rPr>
              <w:t>Equity compensation plans not approved by</w:t>
            </w:r>
          </w:p>
        </w:tc>
        <w:tc>
          <w:tcPr>
            <w:tcW w:w="3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security holders</w:t>
            </w:r>
          </w:p>
        </w:tc>
        <w:tc>
          <w:tcPr>
            <w:tcW w:w="300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4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w:t>
            </w:r>
          </w:p>
        </w:tc>
        <w:tc>
          <w:tcPr>
            <w:tcW w:w="3000" w:type="dxa"/>
            <w:vAlign w:val="bottom"/>
            <w:shd w:val="clear" w:color="auto" w:fill="EAF9E8"/>
          </w:tcPr>
          <w:p>
            <w:pPr>
              <w:jc w:val="right"/>
              <w:ind w:right="672"/>
              <w:spacing w:after="0"/>
              <w:rPr>
                <w:sz w:val="20"/>
                <w:szCs w:val="20"/>
                <w:color w:val="auto"/>
              </w:rPr>
            </w:pPr>
            <w:r>
              <w:rPr>
                <w:rFonts w:ascii="Arial" w:cs="Arial" w:eastAsia="Arial" w:hAnsi="Arial"/>
                <w:sz w:val="18"/>
                <w:szCs w:val="18"/>
                <w:color w:val="auto"/>
              </w:rPr>
              <w:t>3,230,526</w:t>
            </w:r>
          </w:p>
        </w:tc>
        <w:tc>
          <w:tcPr>
            <w:tcW w:w="10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1560" w:type="dxa"/>
            <w:vAlign w:val="bottom"/>
            <w:shd w:val="clear" w:color="auto" w:fill="EAF9E8"/>
          </w:tcPr>
          <w:p>
            <w:pPr>
              <w:jc w:val="right"/>
              <w:ind w:right="992"/>
              <w:spacing w:after="0"/>
              <w:rPr>
                <w:sz w:val="20"/>
                <w:szCs w:val="20"/>
                <w:color w:val="auto"/>
              </w:rPr>
            </w:pPr>
            <w:r>
              <w:rPr>
                <w:rFonts w:ascii="Arial" w:cs="Arial" w:eastAsia="Arial" w:hAnsi="Arial"/>
                <w:sz w:val="18"/>
                <w:szCs w:val="18"/>
                <w:color w:val="auto"/>
              </w:rPr>
              <w:t>9.50</w:t>
            </w:r>
          </w:p>
        </w:tc>
        <w:tc>
          <w:tcPr>
            <w:tcW w:w="2360" w:type="dxa"/>
            <w:vAlign w:val="bottom"/>
            <w:shd w:val="clear" w:color="auto" w:fill="EAF9E8"/>
          </w:tcPr>
          <w:p>
            <w:pPr>
              <w:jc w:val="right"/>
              <w:ind w:right="672"/>
              <w:spacing w:after="0"/>
              <w:rPr>
                <w:sz w:val="20"/>
                <w:szCs w:val="20"/>
                <w:color w:val="auto"/>
              </w:rPr>
            </w:pPr>
            <w:r>
              <w:rPr>
                <w:rFonts w:ascii="Arial" w:cs="Arial" w:eastAsia="Arial" w:hAnsi="Arial"/>
                <w:sz w:val="18"/>
                <w:szCs w:val="18"/>
                <w:color w:val="auto"/>
              </w:rPr>
              <w:t>18,086,256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Section 16(a) of the Securities Exchange Act of 1934, as amended,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16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To our knowledge, based solely upon review of the copies of such reports furnished to us and written representations that no other reports were required, we believe that all of our executive officers, Directors and 10% shareholders complied with all of the filing requirements applicable to them with respect to their reporting obligations under Section 16(a).</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section provides information regarding the following:</w:t>
      </w:r>
    </w:p>
    <w:p>
      <w:pPr>
        <w:spacing w:after="0" w:line="239"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compensation programs for our Chief Executive Officer, Chief Financial Officer and three other most highly compensated executive officers;</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element of compensation that we provide;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these individuals.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2007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360" w:type="dxa"/>
            <w:vAlign w:val="bottom"/>
            <w:gridSpan w:val="2"/>
          </w:tcPr>
          <w:p>
            <w:pPr>
              <w:ind w:left="72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110"/>
        </w:trPr>
        <w:tc>
          <w:tcPr>
            <w:tcW w:w="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9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9340" w:type="dxa"/>
            <w:vAlign w:val="bottom"/>
            <w:shd w:val="clear" w:color="auto" w:fill="EAF9E8"/>
          </w:tcPr>
          <w:p>
            <w:pPr>
              <w:ind w:left="720"/>
              <w:spacing w:after="0"/>
              <w:rPr>
                <w:sz w:val="20"/>
                <w:szCs w:val="20"/>
                <w:color w:val="auto"/>
              </w:rPr>
            </w:pPr>
            <w:r>
              <w:rPr>
                <w:rFonts w:ascii="Arial" w:cs="Arial" w:eastAsia="Arial" w:hAnsi="Arial"/>
                <w:sz w:val="18"/>
                <w:szCs w:val="18"/>
                <w:color w:val="auto"/>
              </w:rPr>
              <w:t>Chairman and Chief Executive Officer</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Ronald M. Faris</w:t>
            </w:r>
          </w:p>
        </w:tc>
        <w:tc>
          <w:tcPr>
            <w:tcW w:w="9340" w:type="dxa"/>
            <w:vAlign w:val="bottom"/>
          </w:tcPr>
          <w:p>
            <w:pPr>
              <w:ind w:left="720"/>
              <w:spacing w:after="0"/>
              <w:rPr>
                <w:sz w:val="20"/>
                <w:szCs w:val="20"/>
                <w:color w:val="auto"/>
              </w:rPr>
            </w:pPr>
            <w:r>
              <w:rPr>
                <w:rFonts w:ascii="Arial" w:cs="Arial" w:eastAsia="Arial" w:hAnsi="Arial"/>
                <w:sz w:val="18"/>
                <w:szCs w:val="18"/>
                <w:color w:val="auto"/>
              </w:rPr>
              <w:t>President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AF9E8"/>
          </w:tcPr>
          <w:p>
            <w:pPr>
              <w:spacing w:after="0"/>
              <w:rPr>
                <w:sz w:val="20"/>
                <w:szCs w:val="20"/>
                <w:color w:val="auto"/>
              </w:rPr>
            </w:pPr>
            <w:r>
              <w:rPr>
                <w:rFonts w:ascii="Arial" w:cs="Arial" w:eastAsia="Arial" w:hAnsi="Arial"/>
                <w:sz w:val="18"/>
                <w:szCs w:val="18"/>
                <w:color w:val="auto"/>
              </w:rPr>
              <w:t>David J. Gunter</w:t>
            </w:r>
          </w:p>
        </w:tc>
        <w:tc>
          <w:tcPr>
            <w:tcW w:w="9340" w:type="dxa"/>
            <w:vAlign w:val="bottom"/>
            <w:shd w:val="clear" w:color="auto" w:fill="EAF9E8"/>
          </w:tcPr>
          <w:p>
            <w:pPr>
              <w:ind w:left="720"/>
              <w:spacing w:after="0"/>
              <w:rPr>
                <w:sz w:val="20"/>
                <w:szCs w:val="20"/>
                <w:color w:val="auto"/>
              </w:rPr>
            </w:pPr>
            <w:r>
              <w:rPr>
                <w:rFonts w:ascii="Arial" w:cs="Arial" w:eastAsia="Arial" w:hAnsi="Arial"/>
                <w:sz w:val="18"/>
                <w:szCs w:val="18"/>
                <w:color w:val="auto"/>
              </w:rPr>
              <w:t>Senior Vice President, Chief Financial Officer and Treasurer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Paul A. Koches</w:t>
            </w:r>
          </w:p>
        </w:tc>
        <w:tc>
          <w:tcPr>
            <w:tcW w:w="9340" w:type="dxa"/>
            <w:vAlign w:val="bottom"/>
          </w:tcPr>
          <w:p>
            <w:pPr>
              <w:ind w:left="720"/>
              <w:spacing w:after="0"/>
              <w:rPr>
                <w:sz w:val="20"/>
                <w:szCs w:val="20"/>
                <w:color w:val="auto"/>
              </w:rPr>
            </w:pPr>
            <w:r>
              <w:rPr>
                <w:rFonts w:ascii="Arial" w:cs="Arial" w:eastAsia="Arial" w:hAnsi="Arial"/>
                <w:sz w:val="18"/>
                <w:szCs w:val="18"/>
                <w:color w:val="auto"/>
              </w:rPr>
              <w:t>Senior Vice President and General Counsel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W. Michael Linn</w:t>
            </w:r>
            <w:r>
              <w:rPr>
                <w:rFonts w:ascii="Arial" w:cs="Arial" w:eastAsia="Arial" w:hAnsi="Arial"/>
                <w:sz w:val="29"/>
                <w:szCs w:val="29"/>
                <w:color w:val="auto"/>
                <w:vertAlign w:val="superscript"/>
              </w:rPr>
              <w:t>(1)</w:t>
            </w:r>
          </w:p>
        </w:tc>
        <w:tc>
          <w:tcPr>
            <w:tcW w:w="9340" w:type="dxa"/>
            <w:vAlign w:val="bottom"/>
            <w:shd w:val="clear" w:color="auto" w:fill="EAF9E8"/>
          </w:tcPr>
          <w:p>
            <w:pPr>
              <w:ind w:left="720"/>
              <w:spacing w:after="0"/>
              <w:rPr>
                <w:sz w:val="20"/>
                <w:szCs w:val="20"/>
                <w:color w:val="auto"/>
              </w:rPr>
            </w:pPr>
            <w:r>
              <w:rPr>
                <w:rFonts w:ascii="Arial" w:cs="Arial" w:eastAsia="Arial" w:hAnsi="Arial"/>
                <w:sz w:val="18"/>
                <w:szCs w:val="18"/>
                <w:color w:val="auto"/>
              </w:rPr>
              <w:t>Executive Vice President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William B. Shepro</w:t>
            </w:r>
          </w:p>
        </w:tc>
        <w:tc>
          <w:tcPr>
            <w:tcW w:w="9340" w:type="dxa"/>
            <w:vAlign w:val="bottom"/>
          </w:tcPr>
          <w:p>
            <w:pPr>
              <w:ind w:left="720"/>
              <w:spacing w:after="0"/>
              <w:rPr>
                <w:sz w:val="20"/>
                <w:szCs w:val="20"/>
                <w:color w:val="auto"/>
              </w:rPr>
            </w:pPr>
            <w:r>
              <w:rPr>
                <w:rFonts w:ascii="Arial" w:cs="Arial" w:eastAsia="Arial" w:hAnsi="Arial"/>
                <w:sz w:val="18"/>
                <w:szCs w:val="18"/>
                <w:color w:val="auto"/>
              </w:rPr>
              <w:t>President of Global Servicing Solutions LLC and Senior Vice President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Mr. Linn retired from this position in May 2007.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believe that the most effective executive compensation program is one that aligns executives’ interests with those of our shareholders by rewarding performance that achieves or exceeds specific annual, long-term and strategic goals, with the ultimate objective of improving shareholder value. We seek to promote individual service longevity and to provide our executives with long-term wealth accumulation opportunities, to the extent Ocwen has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comparison companies. To achieve these objectives, we believe executive compensation packages should include both cash and equity-based compensation that rewards performance as measured against established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Compensation Committee of the Board of Directors oversees our executive compensation and benefit plans and practices, while establishing management compensation policies and procedures to be reflected in the compensation program offered to our executive officers. The Compensation Committee also evaluates and makes recommendations to the Board of Directors for human resource and compensation matters relating to our executive officers.</w:t>
      </w:r>
    </w:p>
    <w:p>
      <w:pPr>
        <w:spacing w:after="0" w:line="16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Compensation Committee is comprised of three directors, Messrs. Martin, Korn and Wish, each of whom served throughout 2007. The members of the Committee are elected annually, and Mr. Martin serves as the chairman of the Committee. Each member of the Compensation Committee is independent as defined in the listing standards of the New York Stock Exchange. While we have no specific qualification requirements for members of the Compensation Committee, our members have knowledge and experience regarding compensation matters that has been developed through their respective business experience in both management and advisory roles, including</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ind w:right="180"/>
        <w:spacing w:after="0" w:line="268" w:lineRule="auto"/>
        <w:rPr>
          <w:sz w:val="20"/>
          <w:szCs w:val="20"/>
          <w:color w:val="auto"/>
        </w:rPr>
      </w:pPr>
      <w:r>
        <w:rPr>
          <w:rFonts w:ascii="Arial" w:cs="Arial" w:eastAsia="Arial" w:hAnsi="Arial"/>
          <w:sz w:val="18"/>
          <w:szCs w:val="18"/>
          <w:color w:val="auto"/>
        </w:rPr>
        <w:t>general business management, executive compensation and employee benefits experience. We feel that their collective achievements and knowledge provide us with extensive diversity in experience, culture and viewpoints.</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Compensation Committee operates under a written charter approved by the entire Board of Directors, a copy of which is available on our website at www.ocwen.com. On an annual basis, the Compensation Committee evaluates its performance under the charter to ensure that it appropriately addresses the matters that are within the scope of Committee responsibility. When necessary, the Compensation Committee recommends amendments to its charter to the Board of Directors for approval. The charter was last reviewed by the Compensation Committee in March 2008.</w:t>
      </w:r>
    </w:p>
    <w:p>
      <w:pPr>
        <w:spacing w:after="0" w:line="16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Corporate Secretary develops the meeting calendar for the year based on Committee member availability and other relevant events within our corporate calendar. Compensation Committee meeting agendas are generally developed by our Corporate Secretary and our Compensation Committee Chairman. The Compensation Committee generally meets in executive session at each scheduled meeting. In 2007, the Compensation Committee approved the incentive compensation awards, including awards of restricted stock and stock options to eligible employees for service in 2006, as well as the compensation of the Chief Executive Officer. Additionally, the Committee reviewed the overall performance of the Chief Executive Officer in 2006 and approved an incentive award of cash, stock options and restricted stock for his performance. The Committee also approved the incentive compensation plan’s components, including the corporate scorecard setting forth the corporate key performance indicators and targeted levels of achievement for the 2007 year. The Committee also reviewed and discussed guidance issued by the Securities and Exchange Commission in 2007 with respect to the 2006 amendments to the Securities and Exchange Commission’s executive compensation disclosure. Thus far in 2008, the Compensation Committee has reviewed the performance of the Chief Executive Officer for service in 2007 and approved the incentive compensation for our executive officers.</w:t>
      </w:r>
    </w:p>
    <w:p>
      <w:pPr>
        <w:spacing w:after="0" w:line="1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Compensation Committee has the authority to retain independent counsel, consultants or other advisers as it deems necessary in connection with its responsibilities at our expense; however, the Compensation Committee did not engage an outside compensation consultant in 2007. The Compensation Committee may request that any of our Directors, officers or employees, or other persons attend its meetings to provide advice, counsel or pertinent information as the Committee requests.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Senior Vice President of Human Resources,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Senior Vice President of Human Resources for development and execution.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Based on the performance evaluations and a review of our goals and strategic initiatives, the Committee approves and submits to the Board of Directors for approval base salary and annual incentive compensation targets and amounts for the Chief Executive Officer. In addition, the Compensation Committee reviews management’s recommendations with regard to incentive compensation for the prior year. The Committee’s approval generally occurs during the first quarter of the year, and the Committee makes its presentation to the Board of Directors at the next regularly scheduled meeting, which occurred on March 11, 2008 for 2007 incentive compensation. All equity awards are granted on the date the Compensation Committee approves the awards using the fair market value of the company’s common stock at the close of that business day.</w:t>
      </w:r>
    </w:p>
    <w:p>
      <w:pPr>
        <w:spacing w:after="0" w:line="174"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Generally at the first Board of Directors meeting of the year, the Compensation Committee approves the annual incentive components including the corporate scorecard for the upcoming year. For 2007, the key performance indicators for the company included achieving a pre-tax net income target, achievement of a revenue target and successful completion of ten strategic initiatives established to enhance long-term corporate and shareholder value.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These 2007 corporate strategic initiatives included:</w:t>
      </w:r>
    </w:p>
    <w:p>
      <w:pPr>
        <w:spacing w:after="0" w:line="239" w:lineRule="exact"/>
        <w:rPr>
          <w:sz w:val="20"/>
          <w:szCs w:val="20"/>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an asset management company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Improving financial structure and clarity with rating agencies to increase debt ratings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 specified operating expense to revenue target ratio</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Improving sigma level of customer survey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Improving the resolution rates for both first and second liens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Educating the market on a brand story that communicates our competitive strength and potential</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Contributing to revenue increases through acquisitions and/or organic growth</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target revenue in Refinance and Statement Marketing programs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Hiring top tier talent to enhance modeling and analytics capabilities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certain investment income and funding targets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Reviews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Each of our executive officers performs a self-assessment as to his performance against his goals for the previous year. Our Chief Executive Officer utilizes these assessments, as well as his own observations and consultations with the Senior Vice President of Human Resources, to prepare a written performance appraisal for each of the other executive officers. He conducts performance evaluations of each of the executive officers, presents the appraisal scores to the Compensation Committee and makes recommendations as to the incentive compensation for each executive officer. The Committee conducts an annual performance evaluation of our Chief Executive Officer and evaluates his recommendations as to other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current compensation package for our executive officers consists of base salary and annual incentive compensation. This compensation structure was developed in order to provide each executive officer with a competitive salary, while emphasizing an incentive compensation element that is tied to the achievement of strategic corporate goals and initiatives as well as individual performance. We have no employment agreements with our executive officers. We believe that the following elements of compensation are appropriate in light of our performance, industry, current challenges and environment.</w:t>
      </w:r>
    </w:p>
    <w:p>
      <w:pPr>
        <w:spacing w:after="0" w:line="16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of the executive officers are reviewed annually during the performance review process. Base salaries for our executive officers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based on individual qualifications and job responsibilities, while taking into account compensation levels at similarly situated companies for similar positions referred to as benchmarking. We use benchmarking as a point of reference for measurement, and the Compensation Committee has discretion in determining how much weight to place on the benchmarking analysis. Benchmarking helps the Committee assess whether our level of executive pay is appropriate when compared to industry standards. In setting 2007 compensation, the Compensation Committee established a comparison group of companies: Accredited Home Lenders Holding Co., AmeriCredit Corp., Clayton Holdings, Inc., Delta Financial Corporation, Equifax, Inc., First Horizon National Corp., Friedman, Billings, Ramsey REIT, Indymac Bancorp, Inc., R.H. Donnelley Corp., Sovereign Bancorp, Inc. and Zions Bancorp. We believe that this comparison group is representative of companies within our industry, companies of similar size and complexity to us or companies within our geographic proximity with whom we compete for talented employees. The information gathered from this comparison group included base salary, cash incentive compensation and equity incentive compensation.</w:t>
      </w:r>
    </w:p>
    <w:p>
      <w:pPr>
        <w:spacing w:after="0" w:line="177"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In addition to benchmarking, the Committee reviews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Chief Executive Officer, the base salaries for all other executive officers are established and reviewed by the Chief Executive Officer and the Senior Vice President of Human Resources. In 2007, Messrs. Erbey, Faris, Koches, Shepro and Gunter received salary increases of</w:t>
      </w:r>
    </w:p>
    <w:p>
      <w:pPr>
        <w:spacing w:after="0" w:line="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38.9%, 4.5%, 9.0%, 4.5% and 5.0%, respectively. Mr. Erbey’s salary increase consisted of a market adjustment based on the benchmarking analysis discussed above, as well as a merit increase based on the overall performance of the company. While Mr. Erbey’s incentive percentage increased five percent in 2005, his base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ind w:right="100"/>
        <w:spacing w:after="0" w:line="298" w:lineRule="auto"/>
        <w:rPr>
          <w:sz w:val="20"/>
          <w:szCs w:val="20"/>
          <w:color w:val="auto"/>
        </w:rPr>
      </w:pPr>
      <w:r>
        <w:rPr>
          <w:rFonts w:ascii="Arial" w:cs="Arial" w:eastAsia="Arial" w:hAnsi="Arial"/>
          <w:sz w:val="16"/>
          <w:szCs w:val="16"/>
          <w:color w:val="auto"/>
        </w:rPr>
        <w:t>salary had not been increased in seven years. A review of the compensation of the companies in our comparison group indicated that our Chief Executive Officer ranked tenth with regard to base salary and total compensation, eighth on the cash bonus portion and seventh for the equity compensation award. Accordingly, a market adjustment was made to Mr. Erbey’s salary to place him within the middle range of the comparison group. The other executive officers received merit increases based on each officer’s respective performance against his established goals.</w:t>
      </w:r>
    </w:p>
    <w:p>
      <w:pPr>
        <w:spacing w:after="0" w:line="16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 xml:space="preserve">Annual Incentive Compensation. </w:t>
      </w:r>
      <w:r>
        <w:rPr>
          <w:rFonts w:ascii="Arial" w:cs="Arial" w:eastAsia="Arial" w:hAnsi="Arial"/>
          <w:sz w:val="18"/>
          <w:szCs w:val="18"/>
          <w:color w:val="auto"/>
        </w:rPr>
        <w:t>Ocwen’s primary incentive compensation plan for executives is the 1998 Annual Incentive Plan, as amended, and the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Incentive Plan, which was approved by our shareholders. Pursuant to the plan, a participant can earn cash, restricted stock and stock option awards as determined by the Compensation Committee. The plan provides the Compensation Committee and our management with the authority to establish incentive award guidelines, which are further discussed below.</w:t>
      </w:r>
    </w:p>
    <w:p>
      <w:pPr>
        <w:spacing w:after="0" w:line="19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Each executive officer has a targeted annual incentive award that is expressed as a percentage of total target compensation for each executive officer. At the executive level in 2007, 30-65% of total target compensation was payable only upon achievement of certain minimum company and individual performance levels. The percentage varies depending on the nature and scope of each executive officer’s responsibilities. For executives responsible for business units, a greater percentage of total compensation is allocated to the achievement of financial goals and performance levels, since these executives are more likely to have a direct impact on the financial performance of the company. While support unit executives also have their compensation allocated between base salary and incentive compensation tied to performance against the company scorecard, their base salary represents a greater percentage of their compensation, since they are generally not in direct control of the company’s financial performance. We believe that emphasizing incentive pay helps our executives to focus on the financial and strategic goals that create profitability and value for our shareholders. Thus, a significant portion of our named executive officers’ pay is at risk or subject to our future performance in an effort to align their interests with that of our shareholders.</w:t>
      </w:r>
    </w:p>
    <w:p>
      <w:pPr>
        <w:spacing w:after="0" w:line="17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table below reflects the percentage of each executive officer’s total target compensation that was allocated to base salary and incentive compensation in 2007 and each executive officer’s actual total compensation that was allocated to base salary and incentive compensation in 2007: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Base Salary % of</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Compensation %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20" w:type="dxa"/>
            <w:vAlign w:val="bottom"/>
          </w:tcPr>
          <w:p>
            <w:pPr>
              <w:jc w:val="center"/>
              <w:ind w:left="612"/>
              <w:spacing w:after="0"/>
              <w:rPr>
                <w:sz w:val="20"/>
                <w:szCs w:val="20"/>
                <w:color w:val="auto"/>
              </w:rPr>
            </w:pPr>
            <w:r>
              <w:rPr>
                <w:rFonts w:ascii="Arial" w:cs="Arial" w:eastAsia="Arial" w:hAnsi="Arial"/>
                <w:sz w:val="18"/>
                <w:szCs w:val="18"/>
                <w:b w:val="1"/>
                <w:bCs w:val="1"/>
                <w:color w:val="auto"/>
                <w:w w:val="89"/>
              </w:rPr>
              <w:t>Base Salary % of</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7"/>
              </w:rPr>
              <w:t>Incentive Compensation</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9"/>
              </w:rPr>
              <w:t>Actual Total</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Actual 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20" w:type="dxa"/>
            <w:vAlign w:val="bottom"/>
          </w:tcPr>
          <w:p>
            <w:pPr>
              <w:jc w:val="center"/>
              <w:ind w:left="592"/>
              <w:spacing w:after="0"/>
              <w:rPr>
                <w:sz w:val="20"/>
                <w:szCs w:val="20"/>
                <w:color w:val="auto"/>
              </w:rPr>
            </w:pPr>
            <w:r>
              <w:rPr>
                <w:rFonts w:ascii="Arial" w:cs="Arial" w:eastAsia="Arial" w:hAnsi="Arial"/>
                <w:sz w:val="18"/>
                <w:szCs w:val="18"/>
                <w:b w:val="1"/>
                <w:bCs w:val="1"/>
                <w:color w:val="auto"/>
                <w:w w:val="89"/>
              </w:rPr>
              <w:t>Target Total</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 of Target Total</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in</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 in</w:t>
            </w:r>
          </w:p>
        </w:tc>
        <w:tc>
          <w:tcPr>
            <w:tcW w:w="0" w:type="dxa"/>
            <w:vAlign w:val="bottom"/>
          </w:tcPr>
          <w:p>
            <w:pPr>
              <w:spacing w:after="0"/>
              <w:rPr>
                <w:sz w:val="1"/>
                <w:szCs w:val="1"/>
                <w:color w:val="auto"/>
              </w:rPr>
            </w:pPr>
          </w:p>
        </w:tc>
      </w:tr>
      <w:tr>
        <w:trPr>
          <w:trHeight w:val="228"/>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920" w:type="dxa"/>
            <w:vAlign w:val="bottom"/>
          </w:tcPr>
          <w:p>
            <w:pPr>
              <w:jc w:val="center"/>
              <w:ind w:left="612"/>
              <w:spacing w:after="0"/>
              <w:rPr>
                <w:sz w:val="20"/>
                <w:szCs w:val="20"/>
                <w:color w:val="auto"/>
              </w:rPr>
            </w:pPr>
            <w:r>
              <w:rPr>
                <w:rFonts w:ascii="Arial" w:cs="Arial" w:eastAsia="Arial" w:hAnsi="Arial"/>
                <w:sz w:val="18"/>
                <w:szCs w:val="18"/>
                <w:b w:val="1"/>
                <w:bCs w:val="1"/>
                <w:color w:val="auto"/>
                <w:w w:val="86"/>
              </w:rPr>
              <w:t>Compensation in 2007</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in 2007</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2920" w:type="dxa"/>
            <w:vAlign w:val="bottom"/>
            <w:shd w:val="clear" w:color="auto" w:fill="EAF9E8"/>
          </w:tcPr>
          <w:p>
            <w:pPr>
              <w:jc w:val="center"/>
              <w:ind w:left="552"/>
              <w:spacing w:after="0"/>
              <w:rPr>
                <w:sz w:val="20"/>
                <w:szCs w:val="20"/>
                <w:color w:val="auto"/>
              </w:rPr>
            </w:pPr>
            <w:r>
              <w:rPr>
                <w:rFonts w:ascii="Arial" w:cs="Arial" w:eastAsia="Arial" w:hAnsi="Arial"/>
                <w:sz w:val="18"/>
                <w:szCs w:val="18"/>
                <w:color w:val="auto"/>
                <w:w w:val="88"/>
              </w:rPr>
              <w:t>35%</w:t>
            </w:r>
          </w:p>
        </w:tc>
        <w:tc>
          <w:tcPr>
            <w:tcW w:w="2340" w:type="dxa"/>
            <w:vAlign w:val="bottom"/>
            <w:shd w:val="clear" w:color="auto" w:fill="EAF9E8"/>
          </w:tcPr>
          <w:p>
            <w:pPr>
              <w:jc w:val="right"/>
              <w:ind w:right="772"/>
              <w:spacing w:after="0"/>
              <w:rPr>
                <w:sz w:val="20"/>
                <w:szCs w:val="20"/>
                <w:color w:val="auto"/>
              </w:rPr>
            </w:pPr>
            <w:r>
              <w:rPr>
                <w:rFonts w:ascii="Arial" w:cs="Arial" w:eastAsia="Arial" w:hAnsi="Arial"/>
                <w:sz w:val="18"/>
                <w:szCs w:val="18"/>
                <w:color w:val="auto"/>
              </w:rPr>
              <w:t>65%</w:t>
            </w:r>
          </w:p>
        </w:tc>
        <w:tc>
          <w:tcPr>
            <w:tcW w:w="1740" w:type="dxa"/>
            <w:vAlign w:val="bottom"/>
            <w:shd w:val="clear" w:color="auto" w:fill="EAF9E8"/>
          </w:tcPr>
          <w:p>
            <w:pPr>
              <w:jc w:val="right"/>
              <w:ind w:right="552"/>
              <w:spacing w:after="0"/>
              <w:rPr>
                <w:sz w:val="20"/>
                <w:szCs w:val="20"/>
                <w:color w:val="auto"/>
              </w:rPr>
            </w:pPr>
            <w:r>
              <w:rPr>
                <w:rFonts w:ascii="Arial" w:cs="Arial" w:eastAsia="Arial" w:hAnsi="Arial"/>
                <w:sz w:val="18"/>
                <w:szCs w:val="18"/>
                <w:color w:val="auto"/>
              </w:rPr>
              <w:t>33%</w:t>
            </w:r>
          </w:p>
        </w:tc>
        <w:tc>
          <w:tcPr>
            <w:tcW w:w="2040" w:type="dxa"/>
            <w:vAlign w:val="bottom"/>
            <w:shd w:val="clear" w:color="auto" w:fill="EAF9E8"/>
          </w:tcPr>
          <w:p>
            <w:pPr>
              <w:jc w:val="right"/>
              <w:ind w:right="772"/>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Ronald M. Faris</w:t>
            </w:r>
          </w:p>
        </w:tc>
        <w:tc>
          <w:tcPr>
            <w:tcW w:w="2920" w:type="dxa"/>
            <w:vAlign w:val="bottom"/>
          </w:tcPr>
          <w:p>
            <w:pPr>
              <w:jc w:val="center"/>
              <w:ind w:left="552"/>
              <w:spacing w:after="0"/>
              <w:rPr>
                <w:sz w:val="20"/>
                <w:szCs w:val="20"/>
                <w:color w:val="auto"/>
              </w:rPr>
            </w:pPr>
            <w:r>
              <w:rPr>
                <w:rFonts w:ascii="Arial" w:cs="Arial" w:eastAsia="Arial" w:hAnsi="Arial"/>
                <w:sz w:val="18"/>
                <w:szCs w:val="18"/>
                <w:color w:val="auto"/>
                <w:w w:val="88"/>
              </w:rPr>
              <w:t>40%</w:t>
            </w:r>
          </w:p>
        </w:tc>
        <w:tc>
          <w:tcPr>
            <w:tcW w:w="2340" w:type="dxa"/>
            <w:vAlign w:val="bottom"/>
          </w:tcPr>
          <w:p>
            <w:pPr>
              <w:jc w:val="right"/>
              <w:ind w:right="772"/>
              <w:spacing w:after="0"/>
              <w:rPr>
                <w:sz w:val="20"/>
                <w:szCs w:val="20"/>
                <w:color w:val="auto"/>
              </w:rPr>
            </w:pPr>
            <w:r>
              <w:rPr>
                <w:rFonts w:ascii="Arial" w:cs="Arial" w:eastAsia="Arial" w:hAnsi="Arial"/>
                <w:sz w:val="18"/>
                <w:szCs w:val="18"/>
                <w:color w:val="auto"/>
              </w:rPr>
              <w:t>60%</w:t>
            </w:r>
          </w:p>
        </w:tc>
        <w:tc>
          <w:tcPr>
            <w:tcW w:w="1740" w:type="dxa"/>
            <w:vAlign w:val="bottom"/>
          </w:tcPr>
          <w:p>
            <w:pPr>
              <w:jc w:val="right"/>
              <w:ind w:right="552"/>
              <w:spacing w:after="0"/>
              <w:rPr>
                <w:sz w:val="20"/>
                <w:szCs w:val="20"/>
                <w:color w:val="auto"/>
              </w:rPr>
            </w:pPr>
            <w:r>
              <w:rPr>
                <w:rFonts w:ascii="Arial" w:cs="Arial" w:eastAsia="Arial" w:hAnsi="Arial"/>
                <w:sz w:val="18"/>
                <w:szCs w:val="18"/>
                <w:color w:val="auto"/>
              </w:rPr>
              <w:t>38%</w:t>
            </w:r>
          </w:p>
        </w:tc>
        <w:tc>
          <w:tcPr>
            <w:tcW w:w="2040" w:type="dxa"/>
            <w:vAlign w:val="bottom"/>
          </w:tcPr>
          <w:p>
            <w:pPr>
              <w:jc w:val="right"/>
              <w:ind w:right="772"/>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AF9E8"/>
          </w:tcPr>
          <w:p>
            <w:pPr>
              <w:spacing w:after="0"/>
              <w:rPr>
                <w:sz w:val="20"/>
                <w:szCs w:val="20"/>
                <w:color w:val="auto"/>
              </w:rPr>
            </w:pPr>
            <w:r>
              <w:rPr>
                <w:rFonts w:ascii="Arial" w:cs="Arial" w:eastAsia="Arial" w:hAnsi="Arial"/>
                <w:sz w:val="18"/>
                <w:szCs w:val="18"/>
                <w:color w:val="auto"/>
              </w:rPr>
              <w:t>David J. Gunter</w:t>
            </w:r>
          </w:p>
        </w:tc>
        <w:tc>
          <w:tcPr>
            <w:tcW w:w="2920" w:type="dxa"/>
            <w:vAlign w:val="bottom"/>
            <w:shd w:val="clear" w:color="auto" w:fill="EAF9E8"/>
          </w:tcPr>
          <w:p>
            <w:pPr>
              <w:jc w:val="center"/>
              <w:ind w:left="552"/>
              <w:spacing w:after="0"/>
              <w:rPr>
                <w:sz w:val="20"/>
                <w:szCs w:val="20"/>
                <w:color w:val="auto"/>
              </w:rPr>
            </w:pPr>
            <w:r>
              <w:rPr>
                <w:rFonts w:ascii="Arial" w:cs="Arial" w:eastAsia="Arial" w:hAnsi="Arial"/>
                <w:sz w:val="18"/>
                <w:szCs w:val="18"/>
                <w:color w:val="auto"/>
                <w:w w:val="88"/>
              </w:rPr>
              <w:t>60%</w:t>
            </w:r>
          </w:p>
        </w:tc>
        <w:tc>
          <w:tcPr>
            <w:tcW w:w="2340" w:type="dxa"/>
            <w:vAlign w:val="bottom"/>
            <w:shd w:val="clear" w:color="auto" w:fill="EAF9E8"/>
          </w:tcPr>
          <w:p>
            <w:pPr>
              <w:jc w:val="right"/>
              <w:ind w:right="772"/>
              <w:spacing w:after="0"/>
              <w:rPr>
                <w:sz w:val="20"/>
                <w:szCs w:val="20"/>
                <w:color w:val="auto"/>
              </w:rPr>
            </w:pPr>
            <w:r>
              <w:rPr>
                <w:rFonts w:ascii="Arial" w:cs="Arial" w:eastAsia="Arial" w:hAnsi="Arial"/>
                <w:sz w:val="18"/>
                <w:szCs w:val="18"/>
                <w:color w:val="auto"/>
              </w:rPr>
              <w:t>40%</w:t>
            </w:r>
          </w:p>
        </w:tc>
        <w:tc>
          <w:tcPr>
            <w:tcW w:w="1740" w:type="dxa"/>
            <w:vAlign w:val="bottom"/>
            <w:shd w:val="clear" w:color="auto" w:fill="EAF9E8"/>
          </w:tcPr>
          <w:p>
            <w:pPr>
              <w:jc w:val="right"/>
              <w:ind w:right="552"/>
              <w:spacing w:after="0"/>
              <w:rPr>
                <w:sz w:val="20"/>
                <w:szCs w:val="20"/>
                <w:color w:val="auto"/>
              </w:rPr>
            </w:pPr>
            <w:r>
              <w:rPr>
                <w:rFonts w:ascii="Arial" w:cs="Arial" w:eastAsia="Arial" w:hAnsi="Arial"/>
                <w:sz w:val="18"/>
                <w:szCs w:val="18"/>
                <w:color w:val="auto"/>
              </w:rPr>
              <w:t>58%</w:t>
            </w:r>
          </w:p>
        </w:tc>
        <w:tc>
          <w:tcPr>
            <w:tcW w:w="2040" w:type="dxa"/>
            <w:vAlign w:val="bottom"/>
            <w:shd w:val="clear" w:color="auto" w:fill="EAF9E8"/>
          </w:tcPr>
          <w:p>
            <w:pPr>
              <w:jc w:val="right"/>
              <w:ind w:right="772"/>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Paul A. Koches</w:t>
            </w:r>
          </w:p>
        </w:tc>
        <w:tc>
          <w:tcPr>
            <w:tcW w:w="2920" w:type="dxa"/>
            <w:vAlign w:val="bottom"/>
          </w:tcPr>
          <w:p>
            <w:pPr>
              <w:jc w:val="center"/>
              <w:ind w:left="552"/>
              <w:spacing w:after="0"/>
              <w:rPr>
                <w:sz w:val="20"/>
                <w:szCs w:val="20"/>
                <w:color w:val="auto"/>
              </w:rPr>
            </w:pPr>
            <w:r>
              <w:rPr>
                <w:rFonts w:ascii="Arial" w:cs="Arial" w:eastAsia="Arial" w:hAnsi="Arial"/>
                <w:sz w:val="18"/>
                <w:szCs w:val="18"/>
                <w:color w:val="auto"/>
                <w:w w:val="88"/>
              </w:rPr>
              <w:t>55%</w:t>
            </w:r>
          </w:p>
        </w:tc>
        <w:tc>
          <w:tcPr>
            <w:tcW w:w="2340" w:type="dxa"/>
            <w:vAlign w:val="bottom"/>
          </w:tcPr>
          <w:p>
            <w:pPr>
              <w:jc w:val="right"/>
              <w:ind w:right="772"/>
              <w:spacing w:after="0"/>
              <w:rPr>
                <w:sz w:val="20"/>
                <w:szCs w:val="20"/>
                <w:color w:val="auto"/>
              </w:rPr>
            </w:pPr>
            <w:r>
              <w:rPr>
                <w:rFonts w:ascii="Arial" w:cs="Arial" w:eastAsia="Arial" w:hAnsi="Arial"/>
                <w:sz w:val="18"/>
                <w:szCs w:val="18"/>
                <w:color w:val="auto"/>
              </w:rPr>
              <w:t>45%</w:t>
            </w:r>
          </w:p>
        </w:tc>
        <w:tc>
          <w:tcPr>
            <w:tcW w:w="1740" w:type="dxa"/>
            <w:vAlign w:val="bottom"/>
          </w:tcPr>
          <w:p>
            <w:pPr>
              <w:jc w:val="right"/>
              <w:ind w:right="552"/>
              <w:spacing w:after="0"/>
              <w:rPr>
                <w:sz w:val="20"/>
                <w:szCs w:val="20"/>
                <w:color w:val="auto"/>
              </w:rPr>
            </w:pPr>
            <w:r>
              <w:rPr>
                <w:rFonts w:ascii="Arial" w:cs="Arial" w:eastAsia="Arial" w:hAnsi="Arial"/>
                <w:sz w:val="18"/>
                <w:szCs w:val="18"/>
                <w:color w:val="auto"/>
              </w:rPr>
              <w:t>47%</w:t>
            </w:r>
          </w:p>
        </w:tc>
        <w:tc>
          <w:tcPr>
            <w:tcW w:w="2040" w:type="dxa"/>
            <w:vAlign w:val="bottom"/>
          </w:tcPr>
          <w:p>
            <w:pPr>
              <w:jc w:val="right"/>
              <w:ind w:right="772"/>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60" w:type="dxa"/>
            <w:vAlign w:val="bottom"/>
            <w:shd w:val="clear" w:color="auto" w:fill="EAF9E8"/>
          </w:tcPr>
          <w:p>
            <w:pPr>
              <w:spacing w:after="0" w:line="256" w:lineRule="exact"/>
              <w:rPr>
                <w:sz w:val="20"/>
                <w:szCs w:val="20"/>
                <w:color w:val="auto"/>
              </w:rPr>
            </w:pPr>
            <w:r>
              <w:rPr>
                <w:rFonts w:ascii="Arial" w:cs="Arial" w:eastAsia="Arial" w:hAnsi="Arial"/>
                <w:sz w:val="18"/>
                <w:szCs w:val="18"/>
                <w:color w:val="auto"/>
              </w:rPr>
              <w:t xml:space="preserve">W. Michael Linn </w:t>
            </w:r>
            <w:r>
              <w:rPr>
                <w:rFonts w:ascii="Arial" w:cs="Arial" w:eastAsia="Arial" w:hAnsi="Arial"/>
                <w:sz w:val="29"/>
                <w:szCs w:val="29"/>
                <w:color w:val="auto"/>
                <w:vertAlign w:val="superscript"/>
              </w:rPr>
              <w:t>(1)</w:t>
            </w:r>
          </w:p>
        </w:tc>
        <w:tc>
          <w:tcPr>
            <w:tcW w:w="2920" w:type="dxa"/>
            <w:vAlign w:val="bottom"/>
            <w:shd w:val="clear" w:color="auto" w:fill="EAF9E8"/>
          </w:tcPr>
          <w:p>
            <w:pPr>
              <w:jc w:val="center"/>
              <w:ind w:left="552"/>
              <w:spacing w:after="0"/>
              <w:rPr>
                <w:sz w:val="20"/>
                <w:szCs w:val="20"/>
                <w:color w:val="auto"/>
              </w:rPr>
            </w:pPr>
            <w:r>
              <w:rPr>
                <w:rFonts w:ascii="Arial" w:cs="Arial" w:eastAsia="Arial" w:hAnsi="Arial"/>
                <w:sz w:val="18"/>
                <w:szCs w:val="18"/>
                <w:color w:val="auto"/>
                <w:w w:val="88"/>
              </w:rPr>
              <w:t>55%</w:t>
            </w:r>
          </w:p>
        </w:tc>
        <w:tc>
          <w:tcPr>
            <w:tcW w:w="2340" w:type="dxa"/>
            <w:vAlign w:val="bottom"/>
            <w:shd w:val="clear" w:color="auto" w:fill="EAF9E8"/>
          </w:tcPr>
          <w:p>
            <w:pPr>
              <w:jc w:val="right"/>
              <w:ind w:right="772"/>
              <w:spacing w:after="0"/>
              <w:rPr>
                <w:sz w:val="20"/>
                <w:szCs w:val="20"/>
                <w:color w:val="auto"/>
              </w:rPr>
            </w:pPr>
            <w:r>
              <w:rPr>
                <w:rFonts w:ascii="Arial" w:cs="Arial" w:eastAsia="Arial" w:hAnsi="Arial"/>
                <w:sz w:val="18"/>
                <w:szCs w:val="18"/>
                <w:color w:val="auto"/>
              </w:rPr>
              <w:t>45%</w:t>
            </w:r>
          </w:p>
        </w:tc>
        <w:tc>
          <w:tcPr>
            <w:tcW w:w="1740" w:type="dxa"/>
            <w:vAlign w:val="bottom"/>
            <w:shd w:val="clear" w:color="auto" w:fill="EAF9E8"/>
          </w:tcPr>
          <w:p>
            <w:pPr>
              <w:jc w:val="right"/>
              <w:ind w:right="552"/>
              <w:spacing w:after="0"/>
              <w:rPr>
                <w:sz w:val="20"/>
                <w:szCs w:val="20"/>
                <w:color w:val="auto"/>
              </w:rPr>
            </w:pPr>
            <w:r>
              <w:rPr>
                <w:rFonts w:ascii="Arial" w:cs="Arial" w:eastAsia="Arial" w:hAnsi="Arial"/>
                <w:sz w:val="18"/>
                <w:szCs w:val="18"/>
                <w:color w:val="auto"/>
              </w:rPr>
              <w:t>100%</w:t>
            </w:r>
          </w:p>
        </w:tc>
        <w:tc>
          <w:tcPr>
            <w:tcW w:w="2040" w:type="dxa"/>
            <w:vAlign w:val="bottom"/>
            <w:shd w:val="clear" w:color="auto" w:fill="EAF9E8"/>
          </w:tcPr>
          <w:p>
            <w:pPr>
              <w:jc w:val="right"/>
              <w:ind w:right="772"/>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William B. Shepro</w:t>
            </w:r>
          </w:p>
        </w:tc>
        <w:tc>
          <w:tcPr>
            <w:tcW w:w="2920" w:type="dxa"/>
            <w:vAlign w:val="bottom"/>
          </w:tcPr>
          <w:p>
            <w:pPr>
              <w:jc w:val="center"/>
              <w:ind w:left="552"/>
              <w:spacing w:after="0"/>
              <w:rPr>
                <w:sz w:val="20"/>
                <w:szCs w:val="20"/>
                <w:color w:val="auto"/>
              </w:rPr>
            </w:pPr>
            <w:r>
              <w:rPr>
                <w:rFonts w:ascii="Arial" w:cs="Arial" w:eastAsia="Arial" w:hAnsi="Arial"/>
                <w:sz w:val="18"/>
                <w:szCs w:val="18"/>
                <w:color w:val="auto"/>
                <w:w w:val="88"/>
              </w:rPr>
              <w:t>40%</w:t>
            </w:r>
          </w:p>
        </w:tc>
        <w:tc>
          <w:tcPr>
            <w:tcW w:w="2340" w:type="dxa"/>
            <w:vAlign w:val="bottom"/>
          </w:tcPr>
          <w:p>
            <w:pPr>
              <w:jc w:val="right"/>
              <w:ind w:right="772"/>
              <w:spacing w:after="0"/>
              <w:rPr>
                <w:sz w:val="20"/>
                <w:szCs w:val="20"/>
                <w:color w:val="auto"/>
              </w:rPr>
            </w:pPr>
            <w:r>
              <w:rPr>
                <w:rFonts w:ascii="Arial" w:cs="Arial" w:eastAsia="Arial" w:hAnsi="Arial"/>
                <w:sz w:val="18"/>
                <w:szCs w:val="18"/>
                <w:color w:val="auto"/>
              </w:rPr>
              <w:t>60%</w:t>
            </w:r>
          </w:p>
        </w:tc>
        <w:tc>
          <w:tcPr>
            <w:tcW w:w="1740" w:type="dxa"/>
            <w:vAlign w:val="bottom"/>
          </w:tcPr>
          <w:p>
            <w:pPr>
              <w:jc w:val="right"/>
              <w:ind w:right="552"/>
              <w:spacing w:after="0"/>
              <w:rPr>
                <w:sz w:val="20"/>
                <w:szCs w:val="20"/>
                <w:color w:val="auto"/>
              </w:rPr>
            </w:pPr>
            <w:r>
              <w:rPr>
                <w:rFonts w:ascii="Arial" w:cs="Arial" w:eastAsia="Arial" w:hAnsi="Arial"/>
                <w:sz w:val="18"/>
                <w:szCs w:val="18"/>
                <w:color w:val="auto"/>
              </w:rPr>
              <w:t>40%</w:t>
            </w:r>
          </w:p>
        </w:tc>
        <w:tc>
          <w:tcPr>
            <w:tcW w:w="2040" w:type="dxa"/>
            <w:vAlign w:val="bottom"/>
          </w:tcPr>
          <w:p>
            <w:pPr>
              <w:jc w:val="right"/>
              <w:ind w:right="772"/>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Since Mr. Linn retired from his position as Executive Vice President in May 2007, the actual numbers only reflect a partial year of Base Salary.</w:t>
      </w:r>
    </w:p>
    <w:p>
      <w:pPr>
        <w:spacing w:after="0" w:line="21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annual incentive-based cash and non-cash executive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corporate performance and long-term shareholder value. This corporate scorecard is approved annually by the Compensation Committee and/or the full Board of Directors and is utilized as a factor by the Compensation Committee to determine the appropriate amount of incentive compensation to be paid to the Chief Executive Officer.</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0" w:name="page21"/>
    <w:bookmarkEnd w:id="20"/>
    <w:p>
      <w:pPr>
        <w:ind w:right="100"/>
        <w:spacing w:after="0" w:line="290" w:lineRule="auto"/>
        <w:rPr>
          <w:sz w:val="20"/>
          <w:szCs w:val="20"/>
          <w:color w:val="auto"/>
        </w:rPr>
      </w:pPr>
      <w:r>
        <w:rPr>
          <w:rFonts w:ascii="Arial" w:cs="Arial" w:eastAsia="Arial" w:hAnsi="Arial"/>
          <w:sz w:val="16"/>
          <w:szCs w:val="16"/>
          <w:color w:val="auto"/>
        </w:rPr>
        <w:t>With regard to the Chief Executive Officer’s incentive compensation for 2007, the Compensation Committee reviewed the profitability and overall performance of the company against the corporate scorecard for 2007. In addition, the Compensation Committee took into consideration the Chief Executive Officer’s extraordinary efforts in leading the company through the downturn in the mortgage market, the company’s performance relative to other companies within the mortgage industry and the additional value created through the company’s outstanding achievement on the strategic initiatives. Much of this achievement can be attributed to the focus maintained by senior management, through the leadership of our Chief Executive Officer, despite the poor market conditions. Not only did our company survive, when many others in our industry did not, but the company was profitable, grew revenue and grew its portfolio of serviced loans. As a result, the Compensation Committee determined that the Chief Executive Officer achieved above target performance level.</w:t>
      </w:r>
    </w:p>
    <w:p>
      <w:pPr>
        <w:spacing w:after="0" w:line="17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incentive awards of our other executive officers are structured so that the compensation opportunities are related to (i) the performance levels on the corporate key performance indicators and initiatives, (ii) the performance within the business or support unit, as expressed on each executive officer’s scorecard, and (iii) the performance appraisal of the executive officer. For the 2007 service year, the applicable percentage weight assigned to each component of each executive officer’s incentive compensation is detailed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8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Corporate</w:t>
            </w:r>
          </w:p>
        </w:tc>
        <w:tc>
          <w:tcPr>
            <w:tcW w:w="1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40" w:type="dxa"/>
            <w:vAlign w:val="bottom"/>
          </w:tcPr>
          <w:p>
            <w:pPr>
              <w:jc w:val="center"/>
              <w:ind w:left="852"/>
              <w:spacing w:after="0"/>
              <w:rPr>
                <w:sz w:val="20"/>
                <w:szCs w:val="20"/>
                <w:color w:val="auto"/>
              </w:rPr>
            </w:pPr>
            <w:r>
              <w:rPr>
                <w:rFonts w:ascii="Arial" w:cs="Arial" w:eastAsia="Arial" w:hAnsi="Arial"/>
                <w:sz w:val="18"/>
                <w:szCs w:val="18"/>
                <w:b w:val="1"/>
                <w:bCs w:val="1"/>
                <w:color w:val="auto"/>
                <w:w w:val="90"/>
              </w:rPr>
              <w:t>Corporate</w:t>
            </w:r>
          </w:p>
        </w:tc>
        <w:tc>
          <w:tcPr>
            <w:tcW w:w="2020" w:type="dxa"/>
            <w:vAlign w:val="bottom"/>
          </w:tcPr>
          <w:p>
            <w:pPr>
              <w:spacing w:after="0"/>
              <w:rPr>
                <w:sz w:val="18"/>
                <w:szCs w:val="18"/>
                <w:color w:val="auto"/>
              </w:rPr>
            </w:pPr>
          </w:p>
        </w:tc>
        <w:tc>
          <w:tcPr>
            <w:tcW w:w="138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Strategic</w:t>
            </w:r>
          </w:p>
        </w:tc>
        <w:tc>
          <w:tcPr>
            <w:tcW w:w="138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Performance</w:t>
            </w:r>
          </w:p>
        </w:tc>
        <w:tc>
          <w:tcPr>
            <w:tcW w:w="0" w:type="dxa"/>
            <w:vAlign w:val="bottom"/>
          </w:tcPr>
          <w:p>
            <w:pPr>
              <w:spacing w:after="0"/>
              <w:rPr>
                <w:sz w:val="1"/>
                <w:szCs w:val="1"/>
                <w:color w:val="auto"/>
              </w:rPr>
            </w:pPr>
          </w:p>
        </w:tc>
      </w:tr>
      <w:tr>
        <w:trPr>
          <w:trHeight w:val="228"/>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440" w:type="dxa"/>
            <w:vAlign w:val="bottom"/>
          </w:tcPr>
          <w:p>
            <w:pPr>
              <w:jc w:val="center"/>
              <w:ind w:left="852"/>
              <w:spacing w:after="0"/>
              <w:rPr>
                <w:sz w:val="20"/>
                <w:szCs w:val="20"/>
                <w:color w:val="auto"/>
              </w:rPr>
            </w:pPr>
            <w:r>
              <w:rPr>
                <w:rFonts w:ascii="Arial" w:cs="Arial" w:eastAsia="Arial" w:hAnsi="Arial"/>
                <w:sz w:val="18"/>
                <w:szCs w:val="18"/>
                <w:b w:val="1"/>
                <w:bCs w:val="1"/>
                <w:color w:val="auto"/>
                <w:w w:val="90"/>
              </w:rPr>
              <w:t>Profitability</w:t>
            </w:r>
          </w:p>
        </w:tc>
        <w:tc>
          <w:tcPr>
            <w:tcW w:w="2020" w:type="dxa"/>
            <w:vAlign w:val="bottom"/>
          </w:tcPr>
          <w:p>
            <w:pPr>
              <w:ind w:left="300"/>
              <w:spacing w:after="0"/>
              <w:rPr>
                <w:sz w:val="20"/>
                <w:szCs w:val="20"/>
                <w:color w:val="auto"/>
              </w:rPr>
            </w:pPr>
            <w:r>
              <w:rPr>
                <w:rFonts w:ascii="Arial" w:cs="Arial" w:eastAsia="Arial" w:hAnsi="Arial"/>
                <w:sz w:val="18"/>
                <w:szCs w:val="18"/>
                <w:b w:val="1"/>
                <w:bCs w:val="1"/>
                <w:color w:val="auto"/>
              </w:rPr>
              <w:t>Corporate Revenue</w:t>
            </w:r>
          </w:p>
        </w:tc>
        <w:tc>
          <w:tcPr>
            <w:tcW w:w="138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Initiatives</w:t>
            </w:r>
          </w:p>
        </w:tc>
        <w:tc>
          <w:tcPr>
            <w:tcW w:w="1380" w:type="dxa"/>
            <w:vAlign w:val="bottom"/>
          </w:tcPr>
          <w:p>
            <w:pPr>
              <w:jc w:val="right"/>
              <w:ind w:right="192"/>
              <w:spacing w:after="0"/>
              <w:rPr>
                <w:sz w:val="20"/>
                <w:szCs w:val="20"/>
                <w:color w:val="auto"/>
              </w:rPr>
            </w:pPr>
            <w:r>
              <w:rPr>
                <w:rFonts w:ascii="Arial" w:cs="Arial" w:eastAsia="Arial" w:hAnsi="Arial"/>
                <w:sz w:val="18"/>
                <w:szCs w:val="18"/>
                <w:b w:val="1"/>
                <w:bCs w:val="1"/>
                <w:color w:val="auto"/>
              </w:rPr>
              <w:t>Scorecard</w:t>
            </w: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Appraisal</w:t>
            </w:r>
          </w:p>
        </w:tc>
        <w:tc>
          <w:tcPr>
            <w:tcW w:w="0" w:type="dxa"/>
            <w:vAlign w:val="bottom"/>
          </w:tcPr>
          <w:p>
            <w:pPr>
              <w:spacing w:after="0"/>
              <w:rPr>
                <w:sz w:val="1"/>
                <w:szCs w:val="1"/>
                <w:color w:val="auto"/>
              </w:rPr>
            </w:pPr>
          </w:p>
        </w:tc>
      </w:tr>
      <w:tr>
        <w:trPr>
          <w:trHeight w:val="110"/>
        </w:trPr>
        <w:tc>
          <w:tcPr>
            <w:tcW w:w="2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AF9E8"/>
          </w:tcPr>
          <w:p>
            <w:pPr>
              <w:spacing w:after="0"/>
              <w:rPr>
                <w:sz w:val="20"/>
                <w:szCs w:val="20"/>
                <w:color w:val="auto"/>
              </w:rPr>
            </w:pPr>
            <w:r>
              <w:rPr>
                <w:rFonts w:ascii="Arial" w:cs="Arial" w:eastAsia="Arial" w:hAnsi="Arial"/>
                <w:sz w:val="18"/>
                <w:szCs w:val="18"/>
                <w:color w:val="auto"/>
              </w:rPr>
              <w:t>Ronald M. Faris</w:t>
            </w:r>
          </w:p>
        </w:tc>
        <w:tc>
          <w:tcPr>
            <w:tcW w:w="2440" w:type="dxa"/>
            <w:vAlign w:val="bottom"/>
            <w:shd w:val="clear" w:color="auto" w:fill="EAF9E8"/>
          </w:tcPr>
          <w:p>
            <w:pPr>
              <w:jc w:val="center"/>
              <w:ind w:left="832"/>
              <w:spacing w:after="0"/>
              <w:rPr>
                <w:sz w:val="20"/>
                <w:szCs w:val="20"/>
                <w:color w:val="auto"/>
              </w:rPr>
            </w:pPr>
            <w:r>
              <w:rPr>
                <w:rFonts w:ascii="Arial" w:cs="Arial" w:eastAsia="Arial" w:hAnsi="Arial"/>
                <w:sz w:val="18"/>
                <w:szCs w:val="18"/>
                <w:color w:val="auto"/>
                <w:w w:val="88"/>
              </w:rPr>
              <w:t>10%</w:t>
            </w:r>
          </w:p>
        </w:tc>
        <w:tc>
          <w:tcPr>
            <w:tcW w:w="2020" w:type="dxa"/>
            <w:vAlign w:val="bottom"/>
            <w:shd w:val="clear" w:color="auto" w:fill="EAF9E8"/>
          </w:tcPr>
          <w:p>
            <w:pPr>
              <w:jc w:val="right"/>
              <w:ind w:right="692"/>
              <w:spacing w:after="0"/>
              <w:rPr>
                <w:sz w:val="20"/>
                <w:szCs w:val="20"/>
                <w:color w:val="auto"/>
              </w:rPr>
            </w:pPr>
            <w:r>
              <w:rPr>
                <w:rFonts w:ascii="Arial" w:cs="Arial" w:eastAsia="Arial" w:hAnsi="Arial"/>
                <w:sz w:val="18"/>
                <w:szCs w:val="18"/>
                <w:color w:val="auto"/>
              </w:rPr>
              <w:t>10%</w:t>
            </w:r>
          </w:p>
        </w:tc>
        <w:tc>
          <w:tcPr>
            <w:tcW w:w="13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N/A</w:t>
            </w:r>
          </w:p>
        </w:tc>
        <w:tc>
          <w:tcPr>
            <w:tcW w:w="138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50%</w:t>
            </w:r>
          </w:p>
        </w:tc>
        <w:tc>
          <w:tcPr>
            <w:tcW w:w="1640" w:type="dxa"/>
            <w:vAlign w:val="bottom"/>
            <w:shd w:val="clear" w:color="auto" w:fill="EAF9E8"/>
          </w:tcPr>
          <w:p>
            <w:pPr>
              <w:jc w:val="center"/>
              <w:ind w:right="72"/>
              <w:spacing w:after="0"/>
              <w:rPr>
                <w:sz w:val="20"/>
                <w:szCs w:val="20"/>
                <w:color w:val="auto"/>
              </w:rPr>
            </w:pPr>
            <w:r>
              <w:rPr>
                <w:rFonts w:ascii="Arial" w:cs="Arial" w:eastAsia="Arial" w:hAnsi="Arial"/>
                <w:sz w:val="18"/>
                <w:szCs w:val="18"/>
                <w:color w:val="auto"/>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David J. Gunter</w:t>
            </w:r>
          </w:p>
        </w:tc>
        <w:tc>
          <w:tcPr>
            <w:tcW w:w="2440" w:type="dxa"/>
            <w:vAlign w:val="bottom"/>
          </w:tcPr>
          <w:p>
            <w:pPr>
              <w:jc w:val="center"/>
              <w:ind w:left="832"/>
              <w:spacing w:after="0"/>
              <w:rPr>
                <w:sz w:val="20"/>
                <w:szCs w:val="20"/>
                <w:color w:val="auto"/>
              </w:rPr>
            </w:pPr>
            <w:r>
              <w:rPr>
                <w:rFonts w:ascii="Arial" w:cs="Arial" w:eastAsia="Arial" w:hAnsi="Arial"/>
                <w:sz w:val="18"/>
                <w:szCs w:val="18"/>
                <w:color w:val="auto"/>
                <w:w w:val="88"/>
              </w:rPr>
              <w:t>10%</w:t>
            </w:r>
          </w:p>
        </w:tc>
        <w:tc>
          <w:tcPr>
            <w:tcW w:w="2020" w:type="dxa"/>
            <w:vAlign w:val="bottom"/>
          </w:tcPr>
          <w:p>
            <w:pPr>
              <w:ind w:left="800"/>
              <w:spacing w:after="0"/>
              <w:rPr>
                <w:sz w:val="20"/>
                <w:szCs w:val="20"/>
                <w:color w:val="auto"/>
              </w:rPr>
            </w:pPr>
            <w:r>
              <w:rPr>
                <w:rFonts w:ascii="Arial" w:cs="Arial" w:eastAsia="Arial" w:hAnsi="Arial"/>
                <w:sz w:val="18"/>
                <w:szCs w:val="18"/>
                <w:color w:val="auto"/>
              </w:rPr>
              <w:t>N/A</w:t>
            </w:r>
          </w:p>
        </w:tc>
        <w:tc>
          <w:tcPr>
            <w:tcW w:w="1380" w:type="dxa"/>
            <w:vAlign w:val="bottom"/>
          </w:tcPr>
          <w:p>
            <w:pPr>
              <w:jc w:val="right"/>
              <w:ind w:right="452"/>
              <w:spacing w:after="0"/>
              <w:rPr>
                <w:sz w:val="20"/>
                <w:szCs w:val="20"/>
                <w:color w:val="auto"/>
              </w:rPr>
            </w:pPr>
            <w:r>
              <w:rPr>
                <w:rFonts w:ascii="Arial" w:cs="Arial" w:eastAsia="Arial" w:hAnsi="Arial"/>
                <w:sz w:val="18"/>
                <w:szCs w:val="18"/>
                <w:color w:val="auto"/>
              </w:rPr>
              <w:t>10%</w:t>
            </w:r>
          </w:p>
        </w:tc>
        <w:tc>
          <w:tcPr>
            <w:tcW w:w="1380" w:type="dxa"/>
            <w:vAlign w:val="bottom"/>
          </w:tcPr>
          <w:p>
            <w:pPr>
              <w:jc w:val="right"/>
              <w:ind w:right="352"/>
              <w:spacing w:after="0"/>
              <w:rPr>
                <w:sz w:val="20"/>
                <w:szCs w:val="20"/>
                <w:color w:val="auto"/>
              </w:rPr>
            </w:pPr>
            <w:r>
              <w:rPr>
                <w:rFonts w:ascii="Arial" w:cs="Arial" w:eastAsia="Arial" w:hAnsi="Arial"/>
                <w:sz w:val="18"/>
                <w:szCs w:val="18"/>
                <w:color w:val="auto"/>
              </w:rPr>
              <w:t>50%</w:t>
            </w:r>
          </w:p>
        </w:tc>
        <w:tc>
          <w:tcPr>
            <w:tcW w:w="1640" w:type="dxa"/>
            <w:vAlign w:val="bottom"/>
          </w:tcPr>
          <w:p>
            <w:pPr>
              <w:jc w:val="center"/>
              <w:ind w:right="72"/>
              <w:spacing w:after="0"/>
              <w:rPr>
                <w:sz w:val="20"/>
                <w:szCs w:val="20"/>
                <w:color w:val="auto"/>
              </w:rPr>
            </w:pPr>
            <w:r>
              <w:rPr>
                <w:rFonts w:ascii="Arial" w:cs="Arial" w:eastAsia="Arial" w:hAnsi="Arial"/>
                <w:sz w:val="18"/>
                <w:szCs w:val="18"/>
                <w:color w:val="auto"/>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AF9E8"/>
          </w:tcPr>
          <w:p>
            <w:pPr>
              <w:spacing w:after="0"/>
              <w:rPr>
                <w:sz w:val="20"/>
                <w:szCs w:val="20"/>
                <w:color w:val="auto"/>
              </w:rPr>
            </w:pPr>
            <w:r>
              <w:rPr>
                <w:rFonts w:ascii="Arial" w:cs="Arial" w:eastAsia="Arial" w:hAnsi="Arial"/>
                <w:sz w:val="18"/>
                <w:szCs w:val="18"/>
                <w:color w:val="auto"/>
              </w:rPr>
              <w:t>Paul A. Koches</w:t>
            </w:r>
          </w:p>
        </w:tc>
        <w:tc>
          <w:tcPr>
            <w:tcW w:w="2440" w:type="dxa"/>
            <w:vAlign w:val="bottom"/>
            <w:shd w:val="clear" w:color="auto" w:fill="EAF9E8"/>
          </w:tcPr>
          <w:p>
            <w:pPr>
              <w:jc w:val="center"/>
              <w:ind w:left="832"/>
              <w:spacing w:after="0"/>
              <w:rPr>
                <w:sz w:val="20"/>
                <w:szCs w:val="20"/>
                <w:color w:val="auto"/>
              </w:rPr>
            </w:pPr>
            <w:r>
              <w:rPr>
                <w:rFonts w:ascii="Arial" w:cs="Arial" w:eastAsia="Arial" w:hAnsi="Arial"/>
                <w:sz w:val="18"/>
                <w:szCs w:val="18"/>
                <w:color w:val="auto"/>
                <w:w w:val="88"/>
              </w:rPr>
              <w:t>10%</w:t>
            </w:r>
          </w:p>
        </w:tc>
        <w:tc>
          <w:tcPr>
            <w:tcW w:w="2020" w:type="dxa"/>
            <w:vAlign w:val="bottom"/>
            <w:shd w:val="clear" w:color="auto" w:fill="EAF9E8"/>
          </w:tcPr>
          <w:p>
            <w:pPr>
              <w:ind w:left="800"/>
              <w:spacing w:after="0"/>
              <w:rPr>
                <w:sz w:val="20"/>
                <w:szCs w:val="20"/>
                <w:color w:val="auto"/>
              </w:rPr>
            </w:pPr>
            <w:r>
              <w:rPr>
                <w:rFonts w:ascii="Arial" w:cs="Arial" w:eastAsia="Arial" w:hAnsi="Arial"/>
                <w:sz w:val="18"/>
                <w:szCs w:val="18"/>
                <w:color w:val="auto"/>
              </w:rPr>
              <w:t>N/A</w:t>
            </w:r>
          </w:p>
        </w:tc>
        <w:tc>
          <w:tcPr>
            <w:tcW w:w="1380" w:type="dxa"/>
            <w:vAlign w:val="bottom"/>
            <w:shd w:val="clear" w:color="auto" w:fill="EAF9E8"/>
          </w:tcPr>
          <w:p>
            <w:pPr>
              <w:jc w:val="right"/>
              <w:ind w:right="452"/>
              <w:spacing w:after="0"/>
              <w:rPr>
                <w:sz w:val="20"/>
                <w:szCs w:val="20"/>
                <w:color w:val="auto"/>
              </w:rPr>
            </w:pPr>
            <w:r>
              <w:rPr>
                <w:rFonts w:ascii="Arial" w:cs="Arial" w:eastAsia="Arial" w:hAnsi="Arial"/>
                <w:sz w:val="18"/>
                <w:szCs w:val="18"/>
                <w:color w:val="auto"/>
              </w:rPr>
              <w:t>10%</w:t>
            </w:r>
          </w:p>
        </w:tc>
        <w:tc>
          <w:tcPr>
            <w:tcW w:w="138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50%</w:t>
            </w:r>
          </w:p>
        </w:tc>
        <w:tc>
          <w:tcPr>
            <w:tcW w:w="1640" w:type="dxa"/>
            <w:vAlign w:val="bottom"/>
            <w:shd w:val="clear" w:color="auto" w:fill="EAF9E8"/>
          </w:tcPr>
          <w:p>
            <w:pPr>
              <w:jc w:val="center"/>
              <w:ind w:right="72"/>
              <w:spacing w:after="0"/>
              <w:rPr>
                <w:sz w:val="20"/>
                <w:szCs w:val="20"/>
                <w:color w:val="auto"/>
              </w:rPr>
            </w:pPr>
            <w:r>
              <w:rPr>
                <w:rFonts w:ascii="Arial" w:cs="Arial" w:eastAsia="Arial" w:hAnsi="Arial"/>
                <w:sz w:val="18"/>
                <w:szCs w:val="18"/>
                <w:color w:val="auto"/>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W. Michael Linn</w:t>
            </w:r>
          </w:p>
        </w:tc>
        <w:tc>
          <w:tcPr>
            <w:tcW w:w="2440" w:type="dxa"/>
            <w:vAlign w:val="bottom"/>
          </w:tcPr>
          <w:p>
            <w:pPr>
              <w:ind w:left="1380"/>
              <w:spacing w:after="0"/>
              <w:rPr>
                <w:sz w:val="20"/>
                <w:szCs w:val="20"/>
                <w:color w:val="auto"/>
              </w:rPr>
            </w:pPr>
            <w:r>
              <w:rPr>
                <w:rFonts w:ascii="Arial" w:cs="Arial" w:eastAsia="Arial" w:hAnsi="Arial"/>
                <w:sz w:val="18"/>
                <w:szCs w:val="18"/>
                <w:color w:val="auto"/>
              </w:rPr>
              <w:t>N/A</w:t>
            </w:r>
          </w:p>
        </w:tc>
        <w:tc>
          <w:tcPr>
            <w:tcW w:w="2020" w:type="dxa"/>
            <w:vAlign w:val="bottom"/>
          </w:tcPr>
          <w:p>
            <w:pPr>
              <w:ind w:left="800"/>
              <w:spacing w:after="0"/>
              <w:rPr>
                <w:sz w:val="20"/>
                <w:szCs w:val="20"/>
                <w:color w:val="auto"/>
              </w:rPr>
            </w:pPr>
            <w:r>
              <w:rPr>
                <w:rFonts w:ascii="Arial" w:cs="Arial" w:eastAsia="Arial" w:hAnsi="Arial"/>
                <w:sz w:val="18"/>
                <w:szCs w:val="18"/>
                <w:color w:val="auto"/>
              </w:rPr>
              <w:t>N/A</w:t>
            </w:r>
          </w:p>
        </w:tc>
        <w:tc>
          <w:tcPr>
            <w:tcW w:w="1380" w:type="dxa"/>
            <w:vAlign w:val="bottom"/>
          </w:tcPr>
          <w:p>
            <w:pPr>
              <w:ind w:left="380"/>
              <w:spacing w:after="0"/>
              <w:rPr>
                <w:sz w:val="20"/>
                <w:szCs w:val="20"/>
                <w:color w:val="auto"/>
              </w:rPr>
            </w:pPr>
            <w:r>
              <w:rPr>
                <w:rFonts w:ascii="Arial" w:cs="Arial" w:eastAsia="Arial" w:hAnsi="Arial"/>
                <w:sz w:val="18"/>
                <w:szCs w:val="18"/>
                <w:color w:val="auto"/>
              </w:rPr>
              <w:t>N/A</w:t>
            </w:r>
          </w:p>
        </w:tc>
        <w:tc>
          <w:tcPr>
            <w:tcW w:w="1380" w:type="dxa"/>
            <w:vAlign w:val="bottom"/>
          </w:tcPr>
          <w:p>
            <w:pPr>
              <w:jc w:val="right"/>
              <w:ind w:right="492"/>
              <w:spacing w:after="0"/>
              <w:rPr>
                <w:sz w:val="20"/>
                <w:szCs w:val="20"/>
                <w:color w:val="auto"/>
              </w:rPr>
            </w:pPr>
            <w:r>
              <w:rPr>
                <w:rFonts w:ascii="Arial" w:cs="Arial" w:eastAsia="Arial" w:hAnsi="Arial"/>
                <w:sz w:val="18"/>
                <w:szCs w:val="18"/>
                <w:color w:val="auto"/>
              </w:rPr>
              <w:t>N/A</w:t>
            </w:r>
          </w:p>
        </w:tc>
        <w:tc>
          <w:tcPr>
            <w:tcW w:w="1640" w:type="dxa"/>
            <w:vAlign w:val="bottom"/>
          </w:tcPr>
          <w:p>
            <w:pPr>
              <w:ind w:left="4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AF9E8"/>
          </w:tcPr>
          <w:p>
            <w:pPr>
              <w:spacing w:after="0"/>
              <w:rPr>
                <w:sz w:val="20"/>
                <w:szCs w:val="20"/>
                <w:color w:val="auto"/>
              </w:rPr>
            </w:pPr>
            <w:r>
              <w:rPr>
                <w:rFonts w:ascii="Arial" w:cs="Arial" w:eastAsia="Arial" w:hAnsi="Arial"/>
                <w:sz w:val="18"/>
                <w:szCs w:val="18"/>
                <w:color w:val="auto"/>
              </w:rPr>
              <w:t>William B. Shepro</w:t>
            </w:r>
          </w:p>
        </w:tc>
        <w:tc>
          <w:tcPr>
            <w:tcW w:w="2440" w:type="dxa"/>
            <w:vAlign w:val="bottom"/>
            <w:shd w:val="clear" w:color="auto" w:fill="EAF9E8"/>
          </w:tcPr>
          <w:p>
            <w:pPr>
              <w:jc w:val="center"/>
              <w:ind w:left="832"/>
              <w:spacing w:after="0"/>
              <w:rPr>
                <w:sz w:val="20"/>
                <w:szCs w:val="20"/>
                <w:color w:val="auto"/>
              </w:rPr>
            </w:pPr>
            <w:r>
              <w:rPr>
                <w:rFonts w:ascii="Arial" w:cs="Arial" w:eastAsia="Arial" w:hAnsi="Arial"/>
                <w:sz w:val="18"/>
                <w:szCs w:val="18"/>
                <w:color w:val="auto"/>
                <w:w w:val="88"/>
              </w:rPr>
              <w:t>10%</w:t>
            </w:r>
          </w:p>
        </w:tc>
        <w:tc>
          <w:tcPr>
            <w:tcW w:w="2020" w:type="dxa"/>
            <w:vAlign w:val="bottom"/>
            <w:shd w:val="clear" w:color="auto" w:fill="EAF9E8"/>
          </w:tcPr>
          <w:p>
            <w:pPr>
              <w:jc w:val="right"/>
              <w:ind w:right="692"/>
              <w:spacing w:after="0"/>
              <w:rPr>
                <w:sz w:val="20"/>
                <w:szCs w:val="20"/>
                <w:color w:val="auto"/>
              </w:rPr>
            </w:pPr>
            <w:r>
              <w:rPr>
                <w:rFonts w:ascii="Arial" w:cs="Arial" w:eastAsia="Arial" w:hAnsi="Arial"/>
                <w:sz w:val="18"/>
                <w:szCs w:val="18"/>
                <w:color w:val="auto"/>
              </w:rPr>
              <w:t>10%</w:t>
            </w:r>
          </w:p>
        </w:tc>
        <w:tc>
          <w:tcPr>
            <w:tcW w:w="13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N/A</w:t>
            </w:r>
          </w:p>
        </w:tc>
        <w:tc>
          <w:tcPr>
            <w:tcW w:w="1380" w:type="dxa"/>
            <w:vAlign w:val="bottom"/>
            <w:shd w:val="clear" w:color="auto" w:fill="EAF9E8"/>
          </w:tcPr>
          <w:p>
            <w:pPr>
              <w:jc w:val="right"/>
              <w:ind w:right="352"/>
              <w:spacing w:after="0"/>
              <w:rPr>
                <w:sz w:val="20"/>
                <w:szCs w:val="20"/>
                <w:color w:val="auto"/>
              </w:rPr>
            </w:pPr>
            <w:r>
              <w:rPr>
                <w:rFonts w:ascii="Arial" w:cs="Arial" w:eastAsia="Arial" w:hAnsi="Arial"/>
                <w:sz w:val="18"/>
                <w:szCs w:val="18"/>
                <w:color w:val="auto"/>
              </w:rPr>
              <w:t>50%</w:t>
            </w:r>
          </w:p>
        </w:tc>
        <w:tc>
          <w:tcPr>
            <w:tcW w:w="1640" w:type="dxa"/>
            <w:vAlign w:val="bottom"/>
            <w:shd w:val="clear" w:color="auto" w:fill="EAF9E8"/>
          </w:tcPr>
          <w:p>
            <w:pPr>
              <w:jc w:val="center"/>
              <w:ind w:right="72"/>
              <w:spacing w:after="0"/>
              <w:rPr>
                <w:sz w:val="20"/>
                <w:szCs w:val="20"/>
                <w:color w:val="auto"/>
              </w:rPr>
            </w:pPr>
            <w:r>
              <w:rPr>
                <w:rFonts w:ascii="Arial" w:cs="Arial" w:eastAsia="Arial" w:hAnsi="Arial"/>
                <w:sz w:val="18"/>
                <w:szCs w:val="18"/>
                <w:color w:val="auto"/>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All executive officers have 10% of their incentive compensation determined by objective performance related to the corporate profitability key performance indicator established as part of the corporate scorecard. Business unit executives have an additional 10% of their incentive compensation derived from the key performance indicator tied to revenue. Support unit executives also have 10% of their incentive compensation determined by our performance related to our completion of strategic initiatives as set forth in the corporate scorecard.</w:t>
      </w:r>
    </w:p>
    <w:p>
      <w:pPr>
        <w:spacing w:after="0" w:line="19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performance portion of the incentive compensation awards is also based on objective performance criteria set forth in a scorecard for each of our executive officers. For executive officers responsible for oversight of a business unit, incentive compensation is allocated 50% to business unit performance levels set forth in the executive officer’s scorecard and actually achieved. For executive officers that oversee a support unit, incentive compensation is allocated 50% to actual support unit performance based on the levels of achievement set forth in the executive officer’s scorecard. The individual scorecard component is comprised of key elements of our strategic initiatives for the year related to the executive officer’s respective business or support unit. All executive officers have 30% of their incentive compensation related to their performance appraisal for the service year. We believe that weighting incentive compensation most heavily toward business unit and personal performance focuses our executives on their particular area of responsibility within Ocwen and holds them directly accountable for successes or failures that are within their control. Thus, the executive cannot solely rely on the company as a whole having a good year despite the shortcomings of his business unit.</w:t>
      </w:r>
    </w:p>
    <w:p>
      <w:pPr>
        <w:spacing w:after="0" w:line="17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responsibility for achieving our key performance indicators and initiatives in our corporate scorecard is cascaded to our executive officers in their personal scorecards and then to all of our incentive-eligible employees in their personal scorecards. Within this program, all other incentive-eligible employees of the organization are tied to a personal or business unit scorecard from which to measure performance against goals that are directly linked to the corporate profitability and strategy.</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1" w:name="page22"/>
    <w:bookmarkEnd w:id="21"/>
    <w:p>
      <w:pPr>
        <w:ind w:right="80"/>
        <w:spacing w:after="0" w:line="289" w:lineRule="auto"/>
        <w:rPr>
          <w:sz w:val="20"/>
          <w:szCs w:val="20"/>
          <w:color w:val="auto"/>
        </w:rPr>
      </w:pPr>
      <w:r>
        <w:rPr>
          <w:rFonts w:ascii="Arial" w:cs="Arial" w:eastAsia="Arial" w:hAnsi="Arial"/>
          <w:sz w:val="16"/>
          <w:szCs w:val="16"/>
          <w:color w:val="auto"/>
        </w:rPr>
        <w:t>The components in each scorecard are weighted individually based on relevance to the ultimate financial performance of the company and achievement of the strategic initiatives. Within each component of the scorecard, there are three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 goal will earn the executive officer 50% of the target incentive compensation tied to such goal; the Target level of a goal will earn the executive officer 100% of the target incentive compensation tied to such goal; and the Outstanding level of achievement will earn the executive officer 150% of the target incentive compensation tied to such goal. The Target levels of performance are set at levels that the Compensation Committee believes to be challenging, yet reasonably attainable. For the last three service years, the average overall performance of our executive officers’ against their incentive goals is at 105% of Target performance.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Our corporate scorecard for 2007 was as follows: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600" w:type="dxa"/>
            <w:vAlign w:val="bottom"/>
          </w:tcPr>
          <w:p>
            <w:pPr>
              <w:spacing w:after="0"/>
              <w:rPr>
                <w:sz w:val="20"/>
                <w:szCs w:val="20"/>
                <w:color w:val="auto"/>
              </w:rPr>
            </w:pPr>
            <w:r>
              <w:rPr>
                <w:rFonts w:ascii="Arial" w:cs="Arial" w:eastAsia="Arial" w:hAnsi="Arial"/>
                <w:sz w:val="18"/>
                <w:szCs w:val="18"/>
                <w:b w:val="1"/>
                <w:bCs w:val="1"/>
                <w:color w:val="auto"/>
              </w:rPr>
              <w:t>Goals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Level of Achievement</w:t>
            </w:r>
          </w:p>
        </w:tc>
        <w:tc>
          <w:tcPr>
            <w:tcW w:w="0" w:type="dxa"/>
            <w:vAlign w:val="bottom"/>
          </w:tcPr>
          <w:p>
            <w:pPr>
              <w:spacing w:after="0"/>
              <w:rPr>
                <w:sz w:val="1"/>
                <w:szCs w:val="1"/>
                <w:color w:val="auto"/>
              </w:rPr>
            </w:pPr>
          </w:p>
        </w:tc>
      </w:tr>
      <w:tr>
        <w:trPr>
          <w:trHeight w:val="137"/>
        </w:trPr>
        <w:tc>
          <w:tcPr>
            <w:tcW w:w="4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Threshold</w:t>
            </w:r>
          </w:p>
        </w:tc>
        <w:tc>
          <w:tcPr>
            <w:tcW w:w="100" w:type="dxa"/>
            <w:vAlign w:val="bottom"/>
            <w:shd w:val="clear" w:color="auto" w:fill="EAF9E8"/>
          </w:tcPr>
          <w:p>
            <w:pPr>
              <w:spacing w:after="0"/>
              <w:rPr>
                <w:sz w:val="18"/>
                <w:szCs w:val="18"/>
                <w:color w:val="auto"/>
              </w:rPr>
            </w:pPr>
          </w:p>
        </w:tc>
        <w:tc>
          <w:tcPr>
            <w:tcW w:w="2220" w:type="dxa"/>
            <w:vAlign w:val="bottom"/>
            <w:shd w:val="clear" w:color="auto" w:fill="EAF9E8"/>
          </w:tcPr>
          <w:p>
            <w:pPr>
              <w:jc w:val="center"/>
              <w:ind w:right="12"/>
              <w:spacing w:after="0"/>
              <w:rPr>
                <w:sz w:val="20"/>
                <w:szCs w:val="20"/>
                <w:color w:val="auto"/>
              </w:rPr>
            </w:pPr>
            <w:r>
              <w:rPr>
                <w:rFonts w:ascii="Arial" w:cs="Arial" w:eastAsia="Arial" w:hAnsi="Arial"/>
                <w:sz w:val="18"/>
                <w:szCs w:val="18"/>
                <w:color w:val="auto"/>
                <w:w w:val="93"/>
              </w:rPr>
              <w:t>$472.6 million</w:t>
            </w:r>
          </w:p>
        </w:tc>
        <w:tc>
          <w:tcPr>
            <w:tcW w:w="29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600" w:type="dxa"/>
            <w:vAlign w:val="bottom"/>
            <w:shd w:val="clear" w:color="auto" w:fill="EAF9E8"/>
          </w:tcPr>
          <w:p>
            <w:pPr>
              <w:spacing w:after="0"/>
              <w:rPr>
                <w:sz w:val="20"/>
                <w:szCs w:val="20"/>
                <w:color w:val="auto"/>
              </w:rPr>
            </w:pPr>
            <w:r>
              <w:rPr>
                <w:rFonts w:ascii="Arial" w:cs="Arial" w:eastAsia="Arial" w:hAnsi="Arial"/>
                <w:sz w:val="18"/>
                <w:szCs w:val="18"/>
                <w:color w:val="auto"/>
              </w:rPr>
              <w:t>Achieve revenue of $497.5 million</w:t>
            </w:r>
          </w:p>
        </w:tc>
        <w:tc>
          <w:tcPr>
            <w:tcW w:w="100" w:type="dxa"/>
            <w:vAlign w:val="bottom"/>
            <w:shd w:val="clear" w:color="auto" w:fill="EAF9E8"/>
          </w:tcPr>
          <w:p>
            <w:pPr>
              <w:spacing w:after="0"/>
              <w:rPr>
                <w:sz w:val="24"/>
                <w:szCs w:val="24"/>
                <w:color w:val="auto"/>
              </w:rPr>
            </w:pPr>
          </w:p>
        </w:tc>
        <w:tc>
          <w:tcPr>
            <w:tcW w:w="1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Target</w:t>
            </w:r>
          </w:p>
        </w:tc>
        <w:tc>
          <w:tcPr>
            <w:tcW w:w="100" w:type="dxa"/>
            <w:vAlign w:val="bottom"/>
            <w:shd w:val="clear" w:color="auto" w:fill="EAF9E8"/>
          </w:tcPr>
          <w:p>
            <w:pPr>
              <w:spacing w:after="0"/>
              <w:rPr>
                <w:sz w:val="24"/>
                <w:szCs w:val="24"/>
                <w:color w:val="auto"/>
              </w:rPr>
            </w:pPr>
          </w:p>
        </w:tc>
        <w:tc>
          <w:tcPr>
            <w:tcW w:w="2220" w:type="dxa"/>
            <w:vAlign w:val="bottom"/>
            <w:shd w:val="clear" w:color="auto" w:fill="EAF9E8"/>
          </w:tcPr>
          <w:p>
            <w:pPr>
              <w:jc w:val="center"/>
              <w:ind w:right="12"/>
              <w:spacing w:after="0"/>
              <w:rPr>
                <w:sz w:val="20"/>
                <w:szCs w:val="20"/>
                <w:color w:val="auto"/>
              </w:rPr>
            </w:pPr>
            <w:r>
              <w:rPr>
                <w:rFonts w:ascii="Arial" w:cs="Arial" w:eastAsia="Arial" w:hAnsi="Arial"/>
                <w:sz w:val="18"/>
                <w:szCs w:val="18"/>
                <w:color w:val="auto"/>
                <w:w w:val="93"/>
              </w:rPr>
              <w:t>$497.5 million</w:t>
            </w:r>
          </w:p>
        </w:tc>
        <w:tc>
          <w:tcPr>
            <w:tcW w:w="29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Threshold – $480.7 million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EAF9E8"/>
          </w:tcPr>
          <w:p>
            <w:pPr>
              <w:spacing w:after="0"/>
              <w:rPr>
                <w:sz w:val="24"/>
                <w:szCs w:val="24"/>
                <w:color w:val="auto"/>
              </w:rPr>
            </w:pPr>
          </w:p>
        </w:tc>
        <w:tc>
          <w:tcPr>
            <w:tcW w:w="2220" w:type="dxa"/>
            <w:vAlign w:val="bottom"/>
            <w:shd w:val="clear" w:color="auto" w:fill="EAF9E8"/>
          </w:tcPr>
          <w:p>
            <w:pPr>
              <w:jc w:val="center"/>
              <w:ind w:right="12"/>
              <w:spacing w:after="0"/>
              <w:rPr>
                <w:sz w:val="20"/>
                <w:szCs w:val="20"/>
                <w:color w:val="auto"/>
              </w:rPr>
            </w:pPr>
            <w:r>
              <w:rPr>
                <w:rFonts w:ascii="Arial" w:cs="Arial" w:eastAsia="Arial" w:hAnsi="Arial"/>
                <w:sz w:val="18"/>
                <w:szCs w:val="18"/>
                <w:color w:val="auto"/>
                <w:w w:val="93"/>
              </w:rPr>
              <w:t>$522.4 million</w:t>
            </w:r>
          </w:p>
        </w:tc>
        <w:tc>
          <w:tcPr>
            <w:tcW w:w="2980" w:type="dxa"/>
            <w:vAlign w:val="bottom"/>
            <w:shd w:val="clear" w:color="auto" w:fill="EAF9E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Threshold</w:t>
            </w:r>
          </w:p>
        </w:tc>
        <w:tc>
          <w:tcPr>
            <w:tcW w:w="100" w:type="dxa"/>
            <w:vAlign w:val="bottom"/>
          </w:tcPr>
          <w:p>
            <w:pPr>
              <w:spacing w:after="0"/>
              <w:rPr>
                <w:sz w:val="24"/>
                <w:szCs w:val="24"/>
                <w:color w:val="auto"/>
              </w:rPr>
            </w:pPr>
          </w:p>
        </w:tc>
        <w:tc>
          <w:tcPr>
            <w:tcW w:w="2220" w:type="dxa"/>
            <w:vAlign w:val="bottom"/>
          </w:tcPr>
          <w:p>
            <w:pPr>
              <w:jc w:val="center"/>
              <w:ind w:right="12"/>
              <w:spacing w:after="0"/>
              <w:rPr>
                <w:sz w:val="20"/>
                <w:szCs w:val="20"/>
                <w:color w:val="auto"/>
              </w:rPr>
            </w:pPr>
            <w:r>
              <w:rPr>
                <w:rFonts w:ascii="Arial" w:cs="Arial" w:eastAsia="Arial" w:hAnsi="Arial"/>
                <w:sz w:val="18"/>
                <w:szCs w:val="18"/>
                <w:color w:val="auto"/>
                <w:w w:val="94"/>
              </w:rPr>
              <w:t>$93.0 million</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w w:val="92"/>
              </w:rPr>
              <w:t>Achieve pre-tax income (before taxes and extraordinary items)</w:t>
            </w:r>
          </w:p>
        </w:tc>
        <w:tc>
          <w:tcPr>
            <w:tcW w:w="100" w:type="dxa"/>
            <w:vAlign w:val="bottom"/>
          </w:tcPr>
          <w:p>
            <w:pPr>
              <w:spacing w:after="0"/>
              <w:rPr>
                <w:sz w:val="21"/>
                <w:szCs w:val="21"/>
                <w:color w:val="auto"/>
              </w:rPr>
            </w:pPr>
          </w:p>
        </w:tc>
        <w:tc>
          <w:tcPr>
            <w:tcW w:w="1420" w:type="dxa"/>
            <w:vAlign w:val="bottom"/>
            <w:vMerge w:val="restart"/>
          </w:tcPr>
          <w:p>
            <w:pPr>
              <w:ind w:left="160"/>
              <w:spacing w:after="0"/>
              <w:rPr>
                <w:sz w:val="20"/>
                <w:szCs w:val="20"/>
                <w:color w:val="auto"/>
              </w:rPr>
            </w:pPr>
            <w:r>
              <w:rPr>
                <w:rFonts w:ascii="Arial" w:cs="Arial" w:eastAsia="Arial" w:hAnsi="Arial"/>
                <w:sz w:val="18"/>
                <w:szCs w:val="18"/>
                <w:color w:val="auto"/>
              </w:rPr>
              <w:t>Target</w:t>
            </w:r>
          </w:p>
        </w:tc>
        <w:tc>
          <w:tcPr>
            <w:tcW w:w="100" w:type="dxa"/>
            <w:vAlign w:val="bottom"/>
          </w:tcPr>
          <w:p>
            <w:pPr>
              <w:spacing w:after="0"/>
              <w:rPr>
                <w:sz w:val="21"/>
                <w:szCs w:val="21"/>
                <w:color w:val="auto"/>
              </w:rPr>
            </w:pPr>
          </w:p>
        </w:tc>
        <w:tc>
          <w:tcPr>
            <w:tcW w:w="2220" w:type="dxa"/>
            <w:vAlign w:val="bottom"/>
            <w:vMerge w:val="restart"/>
          </w:tcPr>
          <w:p>
            <w:pPr>
              <w:jc w:val="center"/>
              <w:ind w:right="12"/>
              <w:spacing w:after="0"/>
              <w:rPr>
                <w:sz w:val="20"/>
                <w:szCs w:val="20"/>
                <w:color w:val="auto"/>
              </w:rPr>
            </w:pPr>
            <w:r>
              <w:rPr>
                <w:rFonts w:ascii="Arial" w:cs="Arial" w:eastAsia="Arial" w:hAnsi="Arial"/>
                <w:sz w:val="18"/>
                <w:szCs w:val="18"/>
                <w:color w:val="auto"/>
                <w:w w:val="93"/>
              </w:rPr>
              <w:t>$109.4 million</w:t>
            </w:r>
          </w:p>
        </w:tc>
        <w:tc>
          <w:tcPr>
            <w:tcW w:w="300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1"/>
              </w:rPr>
              <w:t>Below Threshold – $58.4 million</w:t>
            </w:r>
          </w:p>
        </w:tc>
        <w:tc>
          <w:tcPr>
            <w:tcW w:w="0" w:type="dxa"/>
            <w:vAlign w:val="bottom"/>
          </w:tcPr>
          <w:p>
            <w:pPr>
              <w:spacing w:after="0"/>
              <w:rPr>
                <w:sz w:val="1"/>
                <w:szCs w:val="1"/>
                <w:color w:val="auto"/>
              </w:rPr>
            </w:pPr>
          </w:p>
        </w:tc>
      </w:tr>
      <w:tr>
        <w:trPr>
          <w:trHeight w:val="114"/>
        </w:trPr>
        <w:tc>
          <w:tcPr>
            <w:tcW w:w="4600" w:type="dxa"/>
            <w:vAlign w:val="bottom"/>
            <w:vMerge w:val="restart"/>
          </w:tcPr>
          <w:p>
            <w:pPr>
              <w:spacing w:after="0"/>
              <w:rPr>
                <w:sz w:val="20"/>
                <w:szCs w:val="20"/>
                <w:color w:val="auto"/>
              </w:rPr>
            </w:pPr>
            <w:r>
              <w:rPr>
                <w:rFonts w:ascii="Arial" w:cs="Arial" w:eastAsia="Arial" w:hAnsi="Arial"/>
                <w:sz w:val="18"/>
                <w:szCs w:val="18"/>
                <w:color w:val="auto"/>
              </w:rPr>
              <w:t>of $109.4 million</w:t>
            </w: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3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2"/>
                <w:szCs w:val="22"/>
                <w:color w:val="auto"/>
              </w:rPr>
            </w:pPr>
          </w:p>
        </w:tc>
        <w:tc>
          <w:tcPr>
            <w:tcW w:w="2220" w:type="dxa"/>
            <w:vAlign w:val="bottom"/>
          </w:tcPr>
          <w:p>
            <w:pPr>
              <w:jc w:val="center"/>
              <w:ind w:right="12"/>
              <w:spacing w:after="0"/>
              <w:rPr>
                <w:sz w:val="20"/>
                <w:szCs w:val="20"/>
                <w:color w:val="auto"/>
              </w:rPr>
            </w:pPr>
            <w:r>
              <w:rPr>
                <w:rFonts w:ascii="Arial" w:cs="Arial" w:eastAsia="Arial" w:hAnsi="Arial"/>
                <w:sz w:val="18"/>
                <w:szCs w:val="18"/>
                <w:color w:val="auto"/>
                <w:w w:val="93"/>
              </w:rPr>
              <w:t>$125.8 million</w:t>
            </w:r>
          </w:p>
        </w:tc>
        <w:tc>
          <w:tcPr>
            <w:tcW w:w="2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Threshold</w:t>
            </w:r>
          </w:p>
        </w:tc>
        <w:tc>
          <w:tcPr>
            <w:tcW w:w="100" w:type="dxa"/>
            <w:vAlign w:val="bottom"/>
            <w:shd w:val="clear" w:color="auto" w:fill="EAF9E8"/>
          </w:tcPr>
          <w:p>
            <w:pPr>
              <w:spacing w:after="0"/>
              <w:rPr>
                <w:sz w:val="18"/>
                <w:szCs w:val="18"/>
                <w:color w:val="auto"/>
              </w:rPr>
            </w:pPr>
          </w:p>
        </w:tc>
        <w:tc>
          <w:tcPr>
            <w:tcW w:w="2220" w:type="dxa"/>
            <w:vAlign w:val="bottom"/>
            <w:shd w:val="clear" w:color="auto" w:fill="EAF9E8"/>
          </w:tcPr>
          <w:p>
            <w:pPr>
              <w:jc w:val="center"/>
              <w:ind w:right="12"/>
              <w:spacing w:after="0"/>
              <w:rPr>
                <w:sz w:val="20"/>
                <w:szCs w:val="20"/>
                <w:color w:val="auto"/>
              </w:rPr>
            </w:pPr>
            <w:r>
              <w:rPr>
                <w:rFonts w:ascii="Arial" w:cs="Arial" w:eastAsia="Arial" w:hAnsi="Arial"/>
                <w:sz w:val="18"/>
                <w:szCs w:val="18"/>
                <w:color w:val="auto"/>
                <w:w w:val="87"/>
              </w:rPr>
              <w:t>5 of 10</w:t>
            </w:r>
          </w:p>
        </w:tc>
        <w:tc>
          <w:tcPr>
            <w:tcW w:w="29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00" w:type="dxa"/>
            <w:vAlign w:val="bottom"/>
            <w:shd w:val="clear" w:color="auto" w:fill="EAF9E8"/>
          </w:tcPr>
          <w:p>
            <w:pPr>
              <w:spacing w:after="0"/>
              <w:rPr>
                <w:sz w:val="20"/>
                <w:szCs w:val="20"/>
                <w:color w:val="auto"/>
              </w:rPr>
            </w:pPr>
            <w:r>
              <w:rPr>
                <w:rFonts w:ascii="Arial" w:cs="Arial" w:eastAsia="Arial" w:hAnsi="Arial"/>
                <w:sz w:val="18"/>
                <w:szCs w:val="18"/>
                <w:color w:val="auto"/>
              </w:rPr>
              <w:t>Successfully complete the key strategic initiatives of the</w:t>
            </w:r>
          </w:p>
        </w:tc>
        <w:tc>
          <w:tcPr>
            <w:tcW w:w="100" w:type="dxa"/>
            <w:vAlign w:val="bottom"/>
            <w:shd w:val="clear" w:color="auto" w:fill="EAF9E8"/>
          </w:tcPr>
          <w:p>
            <w:pPr>
              <w:spacing w:after="0"/>
              <w:rPr>
                <w:sz w:val="21"/>
                <w:szCs w:val="21"/>
                <w:color w:val="auto"/>
              </w:rPr>
            </w:pPr>
          </w:p>
        </w:tc>
        <w:tc>
          <w:tcPr>
            <w:tcW w:w="142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Target</w:t>
            </w:r>
          </w:p>
        </w:tc>
        <w:tc>
          <w:tcPr>
            <w:tcW w:w="100" w:type="dxa"/>
            <w:vAlign w:val="bottom"/>
            <w:shd w:val="clear" w:color="auto" w:fill="EAF9E8"/>
          </w:tcPr>
          <w:p>
            <w:pPr>
              <w:spacing w:after="0"/>
              <w:rPr>
                <w:sz w:val="21"/>
                <w:szCs w:val="21"/>
                <w:color w:val="auto"/>
              </w:rPr>
            </w:pPr>
          </w:p>
        </w:tc>
        <w:tc>
          <w:tcPr>
            <w:tcW w:w="2220" w:type="dxa"/>
            <w:vAlign w:val="bottom"/>
            <w:vMerge w:val="restart"/>
            <w:shd w:val="clear" w:color="auto" w:fill="EAF9E8"/>
          </w:tcPr>
          <w:p>
            <w:pPr>
              <w:jc w:val="center"/>
              <w:ind w:right="12"/>
              <w:spacing w:after="0"/>
              <w:rPr>
                <w:sz w:val="20"/>
                <w:szCs w:val="20"/>
                <w:color w:val="auto"/>
              </w:rPr>
            </w:pPr>
            <w:r>
              <w:rPr>
                <w:rFonts w:ascii="Arial" w:cs="Arial" w:eastAsia="Arial" w:hAnsi="Arial"/>
                <w:sz w:val="18"/>
                <w:szCs w:val="18"/>
                <w:color w:val="auto"/>
                <w:w w:val="87"/>
              </w:rPr>
              <w:t>6 of 10</w:t>
            </w:r>
          </w:p>
        </w:tc>
        <w:tc>
          <w:tcPr>
            <w:tcW w:w="298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89"/>
              </w:rPr>
              <w:t>Outstanding – 7 of 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460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company</w:t>
            </w:r>
          </w:p>
        </w:tc>
        <w:tc>
          <w:tcPr>
            <w:tcW w:w="100" w:type="dxa"/>
            <w:vAlign w:val="bottom"/>
            <w:shd w:val="clear" w:color="auto" w:fill="EAF9E8"/>
          </w:tcPr>
          <w:p>
            <w:pPr>
              <w:spacing w:after="0"/>
              <w:rPr>
                <w:sz w:val="9"/>
                <w:szCs w:val="9"/>
                <w:color w:val="auto"/>
              </w:rPr>
            </w:pPr>
          </w:p>
        </w:tc>
        <w:tc>
          <w:tcPr>
            <w:tcW w:w="1420" w:type="dxa"/>
            <w:vAlign w:val="bottom"/>
            <w:vMerge w:val="continue"/>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2220" w:type="dxa"/>
            <w:vAlign w:val="bottom"/>
            <w:vMerge w:val="continue"/>
            <w:shd w:val="clear" w:color="auto" w:fill="EAF9E8"/>
          </w:tcPr>
          <w:p>
            <w:pPr>
              <w:spacing w:after="0"/>
              <w:rPr>
                <w:sz w:val="9"/>
                <w:szCs w:val="9"/>
                <w:color w:val="auto"/>
              </w:rPr>
            </w:pPr>
          </w:p>
        </w:tc>
        <w:tc>
          <w:tcPr>
            <w:tcW w:w="2980" w:type="dxa"/>
            <w:vAlign w:val="bottom"/>
            <w:vMerge w:val="continue"/>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vMerge w:val="continue"/>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2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EAF9E8"/>
          </w:tcPr>
          <w:p>
            <w:pPr>
              <w:spacing w:after="0"/>
              <w:rPr>
                <w:sz w:val="9"/>
                <w:szCs w:val="9"/>
                <w:color w:val="auto"/>
              </w:rPr>
            </w:pPr>
          </w:p>
        </w:tc>
        <w:tc>
          <w:tcPr>
            <w:tcW w:w="2220" w:type="dxa"/>
            <w:vAlign w:val="bottom"/>
            <w:vMerge w:val="restart"/>
            <w:shd w:val="clear" w:color="auto" w:fill="EAF9E8"/>
          </w:tcPr>
          <w:p>
            <w:pPr>
              <w:jc w:val="center"/>
              <w:ind w:right="12"/>
              <w:spacing w:after="0"/>
              <w:rPr>
                <w:sz w:val="20"/>
                <w:szCs w:val="20"/>
                <w:color w:val="auto"/>
              </w:rPr>
            </w:pPr>
            <w:r>
              <w:rPr>
                <w:rFonts w:ascii="Arial" w:cs="Arial" w:eastAsia="Arial" w:hAnsi="Arial"/>
                <w:sz w:val="18"/>
                <w:szCs w:val="18"/>
                <w:color w:val="auto"/>
                <w:w w:val="87"/>
              </w:rPr>
              <w:t>7 of 10</w:t>
            </w:r>
          </w:p>
        </w:tc>
        <w:tc>
          <w:tcPr>
            <w:tcW w:w="2980" w:type="dxa"/>
            <w:vAlign w:val="bottom"/>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46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420" w:type="dxa"/>
            <w:vAlign w:val="bottom"/>
            <w:vMerge w:val="continue"/>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220" w:type="dxa"/>
            <w:vAlign w:val="bottom"/>
            <w:vMerge w:val="continue"/>
            <w:shd w:val="clear" w:color="auto" w:fill="EAF9E8"/>
          </w:tcPr>
          <w:p>
            <w:pPr>
              <w:spacing w:after="0"/>
              <w:rPr>
                <w:sz w:val="22"/>
                <w:szCs w:val="22"/>
                <w:color w:val="auto"/>
              </w:rPr>
            </w:pPr>
          </w:p>
        </w:tc>
        <w:tc>
          <w:tcPr>
            <w:tcW w:w="2980" w:type="dxa"/>
            <w:vAlign w:val="bottom"/>
            <w:shd w:val="clear" w:color="auto" w:fill="EAF9E8"/>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600" w:type="dxa"/>
            <w:vAlign w:val="bottom"/>
          </w:tcPr>
          <w:p>
            <w:pPr>
              <w:spacing w:after="0"/>
              <w:rPr>
                <w:sz w:val="20"/>
                <w:szCs w:val="20"/>
                <w:color w:val="auto"/>
              </w:rPr>
            </w:pPr>
            <w:r>
              <w:rPr>
                <w:rFonts w:ascii="Arial" w:cs="Arial" w:eastAsia="Arial" w:hAnsi="Arial"/>
                <w:sz w:val="18"/>
                <w:szCs w:val="18"/>
                <w:color w:val="auto"/>
              </w:rPr>
              <w:t>Our key strategic initiatives for 2007 were as follows: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600" w:type="dxa"/>
            <w:vAlign w:val="bottom"/>
          </w:tcPr>
          <w:p>
            <w:pPr>
              <w:spacing w:after="0"/>
              <w:rPr>
                <w:sz w:val="20"/>
                <w:szCs w:val="20"/>
                <w:color w:val="auto"/>
              </w:rPr>
            </w:pPr>
            <w:r>
              <w:rPr>
                <w:rFonts w:ascii="Arial" w:cs="Arial" w:eastAsia="Arial" w:hAnsi="Arial"/>
                <w:sz w:val="18"/>
                <w:szCs w:val="18"/>
                <w:b w:val="1"/>
                <w:bCs w:val="1"/>
                <w:color w:val="auto"/>
              </w:rPr>
              <w:t>Goals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Level of Achievement</w:t>
            </w:r>
          </w:p>
        </w:tc>
        <w:tc>
          <w:tcPr>
            <w:tcW w:w="0" w:type="dxa"/>
            <w:vAlign w:val="bottom"/>
          </w:tcPr>
          <w:p>
            <w:pPr>
              <w:spacing w:after="0"/>
              <w:rPr>
                <w:sz w:val="1"/>
                <w:szCs w:val="1"/>
                <w:color w:val="auto"/>
              </w:rPr>
            </w:pPr>
          </w:p>
        </w:tc>
      </w:tr>
      <w:tr>
        <w:trPr>
          <w:trHeight w:val="137"/>
        </w:trPr>
        <w:tc>
          <w:tcPr>
            <w:tcW w:w="4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2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Threshold</w:t>
            </w:r>
          </w:p>
        </w:tc>
        <w:tc>
          <w:tcPr>
            <w:tcW w:w="100" w:type="dxa"/>
            <w:vAlign w:val="bottom"/>
            <w:shd w:val="clear" w:color="auto" w:fill="EAF9E8"/>
          </w:tcPr>
          <w:p>
            <w:pPr>
              <w:spacing w:after="0"/>
              <w:rPr>
                <w:sz w:val="18"/>
                <w:szCs w:val="18"/>
                <w:color w:val="auto"/>
              </w:rPr>
            </w:pPr>
          </w:p>
        </w:tc>
        <w:tc>
          <w:tcPr>
            <w:tcW w:w="2220" w:type="dxa"/>
            <w:vAlign w:val="bottom"/>
            <w:shd w:val="clear" w:color="auto" w:fill="EAF9E8"/>
          </w:tcPr>
          <w:p>
            <w:pPr>
              <w:jc w:val="center"/>
              <w:ind w:right="12"/>
              <w:spacing w:after="0"/>
              <w:rPr>
                <w:sz w:val="20"/>
                <w:szCs w:val="20"/>
                <w:color w:val="auto"/>
              </w:rPr>
            </w:pPr>
            <w:r>
              <w:rPr>
                <w:rFonts w:ascii="Arial" w:cs="Arial" w:eastAsia="Arial" w:hAnsi="Arial"/>
                <w:sz w:val="18"/>
                <w:szCs w:val="18"/>
                <w:color w:val="auto"/>
                <w:w w:val="90"/>
              </w:rPr>
              <w:t>First investment by</w:t>
            </w:r>
          </w:p>
        </w:tc>
        <w:tc>
          <w:tcPr>
            <w:tcW w:w="29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460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20" w:type="dxa"/>
            <w:vAlign w:val="bottom"/>
            <w:vMerge w:val="continue"/>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2220" w:type="dxa"/>
            <w:vAlign w:val="bottom"/>
            <w:vMerge w:val="restart"/>
            <w:shd w:val="clear" w:color="auto" w:fill="EAF9E8"/>
          </w:tcPr>
          <w:p>
            <w:pPr>
              <w:jc w:val="center"/>
              <w:ind w:right="12"/>
              <w:spacing w:after="0"/>
              <w:rPr>
                <w:sz w:val="20"/>
                <w:szCs w:val="20"/>
                <w:color w:val="auto"/>
              </w:rPr>
            </w:pPr>
            <w:r>
              <w:rPr>
                <w:rFonts w:ascii="Arial" w:cs="Arial" w:eastAsia="Arial" w:hAnsi="Arial"/>
                <w:sz w:val="18"/>
                <w:szCs w:val="18"/>
                <w:color w:val="auto"/>
                <w:w w:val="85"/>
              </w:rPr>
              <w:t>June 30th</w:t>
            </w:r>
          </w:p>
        </w:tc>
        <w:tc>
          <w:tcPr>
            <w:tcW w:w="2980" w:type="dxa"/>
            <w:vAlign w:val="bottom"/>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2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2220" w:type="dxa"/>
            <w:vAlign w:val="bottom"/>
            <w:vMerge w:val="continue"/>
            <w:shd w:val="clear" w:color="auto" w:fill="EAF9E8"/>
          </w:tcPr>
          <w:p>
            <w:pPr>
              <w:spacing w:after="0"/>
              <w:rPr>
                <w:sz w:val="9"/>
                <w:szCs w:val="9"/>
                <w:color w:val="auto"/>
              </w:rPr>
            </w:pPr>
          </w:p>
        </w:tc>
        <w:tc>
          <w:tcPr>
            <w:tcW w:w="2980" w:type="dxa"/>
            <w:vAlign w:val="bottom"/>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600" w:type="dxa"/>
            <w:vAlign w:val="bottom"/>
            <w:vMerge w:val="restart"/>
            <w:shd w:val="clear" w:color="auto" w:fill="EAF9E8"/>
          </w:tcPr>
          <w:p>
            <w:pPr>
              <w:spacing w:after="0"/>
              <w:rPr>
                <w:sz w:val="20"/>
                <w:szCs w:val="20"/>
                <w:color w:val="auto"/>
              </w:rPr>
            </w:pPr>
            <w:r>
              <w:rPr>
                <w:rFonts w:ascii="Arial" w:cs="Arial" w:eastAsia="Arial" w:hAnsi="Arial"/>
                <w:sz w:val="18"/>
                <w:szCs w:val="18"/>
                <w:color w:val="auto"/>
                <w:w w:val="94"/>
              </w:rPr>
              <w:t>Launch an asset management company with funding of $150</w:t>
            </w:r>
          </w:p>
        </w:tc>
        <w:tc>
          <w:tcPr>
            <w:tcW w:w="100" w:type="dxa"/>
            <w:vAlign w:val="bottom"/>
            <w:shd w:val="clear" w:color="auto" w:fill="EAF9E8"/>
          </w:tcPr>
          <w:p>
            <w:pPr>
              <w:spacing w:after="0"/>
              <w:rPr>
                <w:sz w:val="19"/>
                <w:szCs w:val="19"/>
                <w:color w:val="auto"/>
              </w:rPr>
            </w:pPr>
          </w:p>
        </w:tc>
        <w:tc>
          <w:tcPr>
            <w:tcW w:w="1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20" w:type="dxa"/>
            <w:vAlign w:val="bottom"/>
            <w:vMerge w:val="restart"/>
            <w:shd w:val="clear" w:color="auto" w:fill="EAF9E8"/>
          </w:tcPr>
          <w:p>
            <w:pPr>
              <w:ind w:left="360"/>
              <w:spacing w:after="0"/>
              <w:rPr>
                <w:sz w:val="20"/>
                <w:szCs w:val="20"/>
                <w:color w:val="auto"/>
              </w:rPr>
            </w:pPr>
            <w:r>
              <w:rPr>
                <w:rFonts w:ascii="Arial" w:cs="Arial" w:eastAsia="Arial" w:hAnsi="Arial"/>
                <w:sz w:val="18"/>
                <w:szCs w:val="18"/>
                <w:color w:val="auto"/>
              </w:rPr>
              <w:t>First investment by</w:t>
            </w:r>
          </w:p>
        </w:tc>
        <w:tc>
          <w:tcPr>
            <w:tcW w:w="29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Target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600" w:type="dxa"/>
            <w:vAlign w:val="bottom"/>
            <w:vMerge w:val="continue"/>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2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Target</w:t>
            </w:r>
          </w:p>
        </w:tc>
        <w:tc>
          <w:tcPr>
            <w:tcW w:w="100" w:type="dxa"/>
            <w:vAlign w:val="bottom"/>
            <w:shd w:val="clear" w:color="auto" w:fill="EAF9E8"/>
          </w:tcPr>
          <w:p>
            <w:pPr>
              <w:spacing w:after="0"/>
              <w:rPr>
                <w:sz w:val="11"/>
                <w:szCs w:val="11"/>
                <w:color w:val="auto"/>
              </w:rPr>
            </w:pPr>
          </w:p>
        </w:tc>
        <w:tc>
          <w:tcPr>
            <w:tcW w:w="2220" w:type="dxa"/>
            <w:vAlign w:val="bottom"/>
            <w:vMerge w:val="continue"/>
            <w:shd w:val="clear" w:color="auto" w:fill="EAF9E8"/>
          </w:tcPr>
          <w:p>
            <w:pPr>
              <w:spacing w:after="0"/>
              <w:rPr>
                <w:sz w:val="11"/>
                <w:szCs w:val="11"/>
                <w:color w:val="auto"/>
              </w:rPr>
            </w:pPr>
          </w:p>
        </w:tc>
        <w:tc>
          <w:tcPr>
            <w:tcW w:w="298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89"/>
              </w:rPr>
              <w:t>First investment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60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million</w:t>
            </w:r>
          </w:p>
        </w:tc>
        <w:tc>
          <w:tcPr>
            <w:tcW w:w="100" w:type="dxa"/>
            <w:vAlign w:val="bottom"/>
            <w:shd w:val="clear" w:color="auto" w:fill="EAF9E8"/>
          </w:tcPr>
          <w:p>
            <w:pPr>
              <w:spacing w:after="0"/>
              <w:rPr>
                <w:sz w:val="7"/>
                <w:szCs w:val="7"/>
                <w:color w:val="auto"/>
              </w:rPr>
            </w:pPr>
          </w:p>
        </w:tc>
        <w:tc>
          <w:tcPr>
            <w:tcW w:w="1420" w:type="dxa"/>
            <w:vAlign w:val="bottom"/>
            <w:vMerge w:val="continue"/>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2220" w:type="dxa"/>
            <w:vAlign w:val="bottom"/>
            <w:vMerge w:val="restart"/>
            <w:shd w:val="clear" w:color="auto" w:fill="EAF9E8"/>
          </w:tcPr>
          <w:p>
            <w:pPr>
              <w:jc w:val="center"/>
              <w:ind w:right="12"/>
              <w:spacing w:after="0"/>
              <w:rPr>
                <w:sz w:val="20"/>
                <w:szCs w:val="20"/>
                <w:color w:val="auto"/>
              </w:rPr>
            </w:pPr>
            <w:r>
              <w:rPr>
                <w:rFonts w:ascii="Arial" w:cs="Arial" w:eastAsia="Arial" w:hAnsi="Arial"/>
                <w:sz w:val="18"/>
                <w:szCs w:val="18"/>
                <w:color w:val="auto"/>
                <w:w w:val="87"/>
              </w:rPr>
              <w:t>May 31st</w:t>
            </w:r>
          </w:p>
        </w:tc>
        <w:tc>
          <w:tcPr>
            <w:tcW w:w="2980" w:type="dxa"/>
            <w:vAlign w:val="bottom"/>
            <w:vMerge w:val="continue"/>
            <w:shd w:val="clear" w:color="auto" w:fill="EAF9E8"/>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600" w:type="dxa"/>
            <w:vAlign w:val="bottom"/>
            <w:vMerge w:val="continue"/>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20" w:type="dxa"/>
            <w:vAlign w:val="bottom"/>
            <w:vMerge w:val="continue"/>
            <w:shd w:val="clear" w:color="auto" w:fill="EAF9E8"/>
          </w:tcPr>
          <w:p>
            <w:pPr>
              <w:spacing w:after="0"/>
              <w:rPr>
                <w:sz w:val="12"/>
                <w:szCs w:val="12"/>
                <w:color w:val="auto"/>
              </w:rPr>
            </w:pPr>
          </w:p>
        </w:tc>
        <w:tc>
          <w:tcPr>
            <w:tcW w:w="2980" w:type="dxa"/>
            <w:vAlign w:val="bottom"/>
            <w:vMerge w:val="restart"/>
            <w:shd w:val="clear" w:color="auto" w:fill="EAF9E8"/>
          </w:tcPr>
          <w:p>
            <w:pPr>
              <w:jc w:val="center"/>
              <w:spacing w:after="0" w:line="291" w:lineRule="exact"/>
              <w:rPr>
                <w:sz w:val="20"/>
                <w:szCs w:val="20"/>
                <w:color w:val="auto"/>
              </w:rPr>
            </w:pPr>
            <w:r>
              <w:rPr>
                <w:rFonts w:ascii="Arial" w:cs="Arial" w:eastAsia="Arial" w:hAnsi="Arial"/>
                <w:sz w:val="18"/>
                <w:szCs w:val="18"/>
                <w:color w:val="auto"/>
                <w:w w:val="87"/>
              </w:rPr>
              <w:t>completed May 31</w:t>
            </w:r>
            <w:r>
              <w:rPr>
                <w:rFonts w:ascii="Arial" w:cs="Arial" w:eastAsia="Arial" w:hAnsi="Arial"/>
                <w:sz w:val="29"/>
                <w:szCs w:val="29"/>
                <w:color w:val="auto"/>
                <w:w w:val="87"/>
                <w:vertAlign w:val="superscript"/>
              </w:rPr>
              <w:t>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6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2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EAF9E8"/>
          </w:tcPr>
          <w:p>
            <w:pPr>
              <w:spacing w:after="0"/>
              <w:rPr>
                <w:sz w:val="13"/>
                <w:szCs w:val="13"/>
                <w:color w:val="auto"/>
              </w:rPr>
            </w:pPr>
          </w:p>
        </w:tc>
        <w:tc>
          <w:tcPr>
            <w:tcW w:w="2220" w:type="dxa"/>
            <w:vAlign w:val="bottom"/>
            <w:vMerge w:val="restart"/>
            <w:shd w:val="clear" w:color="auto" w:fill="EAF9E8"/>
          </w:tcPr>
          <w:p>
            <w:pPr>
              <w:ind w:left="360"/>
              <w:spacing w:after="0"/>
              <w:rPr>
                <w:sz w:val="20"/>
                <w:szCs w:val="20"/>
                <w:color w:val="auto"/>
              </w:rPr>
            </w:pPr>
            <w:r>
              <w:rPr>
                <w:rFonts w:ascii="Arial" w:cs="Arial" w:eastAsia="Arial" w:hAnsi="Arial"/>
                <w:sz w:val="18"/>
                <w:szCs w:val="18"/>
                <w:color w:val="auto"/>
              </w:rPr>
              <w:t>First investment by</w:t>
            </w:r>
          </w:p>
        </w:tc>
        <w:tc>
          <w:tcPr>
            <w:tcW w:w="2980" w:type="dxa"/>
            <w:vAlign w:val="bottom"/>
            <w:vMerge w:val="continue"/>
            <w:shd w:val="clear" w:color="auto" w:fill="EAF9E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20" w:type="dxa"/>
            <w:vAlign w:val="bottom"/>
            <w:vMerge w:val="continue"/>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20" w:type="dxa"/>
            <w:vAlign w:val="bottom"/>
            <w:vMerge w:val="continue"/>
            <w:shd w:val="clear" w:color="auto" w:fill="EAF9E8"/>
          </w:tcPr>
          <w:p>
            <w:pPr>
              <w:spacing w:after="0"/>
              <w:rPr>
                <w:sz w:val="18"/>
                <w:szCs w:val="18"/>
                <w:color w:val="auto"/>
              </w:rPr>
            </w:pPr>
          </w:p>
        </w:tc>
        <w:tc>
          <w:tcPr>
            <w:tcW w:w="29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460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20" w:type="dxa"/>
            <w:vAlign w:val="bottom"/>
            <w:vMerge w:val="continue"/>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2220" w:type="dxa"/>
            <w:vAlign w:val="bottom"/>
            <w:vMerge w:val="restart"/>
            <w:shd w:val="clear" w:color="auto" w:fill="EAF9E8"/>
          </w:tcPr>
          <w:p>
            <w:pPr>
              <w:jc w:val="center"/>
              <w:ind w:right="12"/>
              <w:spacing w:after="0"/>
              <w:rPr>
                <w:sz w:val="20"/>
                <w:szCs w:val="20"/>
                <w:color w:val="auto"/>
              </w:rPr>
            </w:pPr>
            <w:r>
              <w:rPr>
                <w:rFonts w:ascii="Arial" w:cs="Arial" w:eastAsia="Arial" w:hAnsi="Arial"/>
                <w:sz w:val="18"/>
                <w:szCs w:val="18"/>
                <w:color w:val="auto"/>
                <w:w w:val="94"/>
              </w:rPr>
              <w:t>April 30th</w:t>
            </w:r>
          </w:p>
        </w:tc>
        <w:tc>
          <w:tcPr>
            <w:tcW w:w="2980" w:type="dxa"/>
            <w:vAlign w:val="bottom"/>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60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2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2220" w:type="dxa"/>
            <w:vAlign w:val="bottom"/>
            <w:vMerge w:val="continue"/>
            <w:shd w:val="clear" w:color="auto" w:fill="EAF9E8"/>
          </w:tcPr>
          <w:p>
            <w:pPr>
              <w:spacing w:after="0"/>
              <w:rPr>
                <w:sz w:val="9"/>
                <w:szCs w:val="9"/>
                <w:color w:val="auto"/>
              </w:rPr>
            </w:pPr>
          </w:p>
        </w:tc>
        <w:tc>
          <w:tcPr>
            <w:tcW w:w="2980" w:type="dxa"/>
            <w:vAlign w:val="bottom"/>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Threshold</w:t>
            </w:r>
          </w:p>
        </w:tc>
        <w:tc>
          <w:tcPr>
            <w:tcW w:w="100" w:type="dxa"/>
            <w:vAlign w:val="bottom"/>
          </w:tcPr>
          <w:p>
            <w:pPr>
              <w:spacing w:after="0"/>
              <w:rPr>
                <w:sz w:val="24"/>
                <w:szCs w:val="24"/>
                <w:color w:val="auto"/>
              </w:rPr>
            </w:pPr>
          </w:p>
        </w:tc>
        <w:tc>
          <w:tcPr>
            <w:tcW w:w="2220" w:type="dxa"/>
            <w:vAlign w:val="bottom"/>
          </w:tcPr>
          <w:p>
            <w:pPr>
              <w:jc w:val="center"/>
              <w:ind w:right="12"/>
              <w:spacing w:after="0"/>
              <w:rPr>
                <w:sz w:val="20"/>
                <w:szCs w:val="20"/>
                <w:color w:val="auto"/>
              </w:rPr>
            </w:pPr>
            <w:r>
              <w:rPr>
                <w:rFonts w:ascii="Arial" w:cs="Arial" w:eastAsia="Arial" w:hAnsi="Arial"/>
                <w:sz w:val="18"/>
                <w:szCs w:val="18"/>
                <w:color w:val="auto"/>
                <w:w w:val="86"/>
              </w:rPr>
              <w:t>4.52 sigma</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vMerge w:val="restart"/>
          </w:tcPr>
          <w:p>
            <w:pPr>
              <w:spacing w:after="0"/>
              <w:rPr>
                <w:sz w:val="20"/>
                <w:szCs w:val="20"/>
                <w:color w:val="auto"/>
              </w:rPr>
            </w:pPr>
            <w:r>
              <w:rPr>
                <w:rFonts w:ascii="Arial" w:cs="Arial" w:eastAsia="Arial" w:hAnsi="Arial"/>
                <w:sz w:val="18"/>
                <w:szCs w:val="18"/>
                <w:color w:val="auto"/>
              </w:rPr>
              <w:t>Improve customer satisfaction</w:t>
            </w:r>
          </w:p>
        </w:tc>
        <w:tc>
          <w:tcPr>
            <w:tcW w:w="100" w:type="dxa"/>
            <w:vAlign w:val="bottom"/>
          </w:tcPr>
          <w:p>
            <w:pPr>
              <w:spacing w:after="0"/>
              <w:rPr>
                <w:sz w:val="21"/>
                <w:szCs w:val="21"/>
                <w:color w:val="auto"/>
              </w:rPr>
            </w:pPr>
          </w:p>
        </w:tc>
        <w:tc>
          <w:tcPr>
            <w:tcW w:w="1420" w:type="dxa"/>
            <w:vAlign w:val="bottom"/>
            <w:vMerge w:val="restart"/>
          </w:tcPr>
          <w:p>
            <w:pPr>
              <w:ind w:left="160"/>
              <w:spacing w:after="0"/>
              <w:rPr>
                <w:sz w:val="20"/>
                <w:szCs w:val="20"/>
                <w:color w:val="auto"/>
              </w:rPr>
            </w:pPr>
            <w:r>
              <w:rPr>
                <w:rFonts w:ascii="Arial" w:cs="Arial" w:eastAsia="Arial" w:hAnsi="Arial"/>
                <w:sz w:val="18"/>
                <w:szCs w:val="18"/>
                <w:color w:val="auto"/>
              </w:rPr>
              <w:t>Target</w:t>
            </w:r>
          </w:p>
        </w:tc>
        <w:tc>
          <w:tcPr>
            <w:tcW w:w="100" w:type="dxa"/>
            <w:vAlign w:val="bottom"/>
          </w:tcPr>
          <w:p>
            <w:pPr>
              <w:spacing w:after="0"/>
              <w:rPr>
                <w:sz w:val="21"/>
                <w:szCs w:val="21"/>
                <w:color w:val="auto"/>
              </w:rPr>
            </w:pPr>
          </w:p>
        </w:tc>
        <w:tc>
          <w:tcPr>
            <w:tcW w:w="2220" w:type="dxa"/>
            <w:vAlign w:val="bottom"/>
            <w:vMerge w:val="restart"/>
          </w:tcPr>
          <w:p>
            <w:pPr>
              <w:jc w:val="center"/>
              <w:ind w:right="12"/>
              <w:spacing w:after="0"/>
              <w:rPr>
                <w:sz w:val="20"/>
                <w:szCs w:val="20"/>
                <w:color w:val="auto"/>
              </w:rPr>
            </w:pPr>
            <w:r>
              <w:rPr>
                <w:rFonts w:ascii="Arial" w:cs="Arial" w:eastAsia="Arial" w:hAnsi="Arial"/>
                <w:sz w:val="18"/>
                <w:szCs w:val="18"/>
                <w:color w:val="auto"/>
                <w:w w:val="86"/>
              </w:rPr>
              <w:t>4.57 sigma</w:t>
            </w:r>
          </w:p>
        </w:tc>
        <w:tc>
          <w:tcPr>
            <w:tcW w:w="30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Outstanding –</w:t>
            </w:r>
          </w:p>
        </w:tc>
        <w:tc>
          <w:tcPr>
            <w:tcW w:w="0" w:type="dxa"/>
            <w:vAlign w:val="bottom"/>
          </w:tcPr>
          <w:p>
            <w:pPr>
              <w:spacing w:after="0"/>
              <w:rPr>
                <w:sz w:val="1"/>
                <w:szCs w:val="1"/>
                <w:color w:val="auto"/>
              </w:rPr>
            </w:pPr>
          </w:p>
        </w:tc>
      </w:tr>
      <w:tr>
        <w:trPr>
          <w:trHeight w:val="114"/>
        </w:trPr>
        <w:tc>
          <w:tcPr>
            <w:tcW w:w="4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300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89"/>
              </w:rPr>
              <w:t>Sigma Level = 4.62</w:t>
            </w: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2"/>
                <w:szCs w:val="22"/>
                <w:color w:val="auto"/>
              </w:rPr>
            </w:pPr>
          </w:p>
        </w:tc>
        <w:tc>
          <w:tcPr>
            <w:tcW w:w="2220" w:type="dxa"/>
            <w:vAlign w:val="bottom"/>
          </w:tcPr>
          <w:p>
            <w:pPr>
              <w:jc w:val="center"/>
              <w:ind w:right="12"/>
              <w:spacing w:after="0"/>
              <w:rPr>
                <w:sz w:val="20"/>
                <w:szCs w:val="20"/>
                <w:color w:val="auto"/>
              </w:rPr>
            </w:pPr>
            <w:r>
              <w:rPr>
                <w:rFonts w:ascii="Arial" w:cs="Arial" w:eastAsia="Arial" w:hAnsi="Arial"/>
                <w:sz w:val="18"/>
                <w:szCs w:val="18"/>
                <w:color w:val="auto"/>
                <w:w w:val="86"/>
              </w:rPr>
              <w:t>4.62 sigma</w:t>
            </w:r>
          </w:p>
        </w:tc>
        <w:tc>
          <w:tcPr>
            <w:tcW w:w="2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2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Threshold</w:t>
            </w:r>
          </w:p>
        </w:tc>
        <w:tc>
          <w:tcPr>
            <w:tcW w:w="100" w:type="dxa"/>
            <w:vAlign w:val="bottom"/>
            <w:shd w:val="clear" w:color="auto" w:fill="EAF9E8"/>
          </w:tcPr>
          <w:p>
            <w:pPr>
              <w:spacing w:after="0"/>
              <w:rPr>
                <w:sz w:val="18"/>
                <w:szCs w:val="18"/>
                <w:color w:val="auto"/>
              </w:rPr>
            </w:pPr>
          </w:p>
        </w:tc>
        <w:tc>
          <w:tcPr>
            <w:tcW w:w="2220" w:type="dxa"/>
            <w:vAlign w:val="bottom"/>
            <w:shd w:val="clear" w:color="auto" w:fill="EAF9E8"/>
          </w:tcPr>
          <w:p>
            <w:pPr>
              <w:jc w:val="center"/>
              <w:ind w:right="12"/>
              <w:spacing w:after="0"/>
              <w:rPr>
                <w:sz w:val="20"/>
                <w:szCs w:val="20"/>
                <w:color w:val="auto"/>
              </w:rPr>
            </w:pPr>
            <w:r>
              <w:rPr>
                <w:rFonts w:ascii="Arial" w:cs="Arial" w:eastAsia="Arial" w:hAnsi="Arial"/>
                <w:sz w:val="18"/>
                <w:szCs w:val="18"/>
                <w:color w:val="auto"/>
                <w:w w:val="89"/>
              </w:rPr>
              <w:t>1st liens: 0 points</w:t>
            </w:r>
          </w:p>
        </w:tc>
        <w:tc>
          <w:tcPr>
            <w:tcW w:w="29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60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20" w:type="dxa"/>
            <w:vAlign w:val="bottom"/>
            <w:vMerge w:val="continue"/>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2220" w:type="dxa"/>
            <w:vAlign w:val="bottom"/>
            <w:vMerge w:val="restart"/>
            <w:shd w:val="clear" w:color="auto" w:fill="EAF9E8"/>
          </w:tcPr>
          <w:p>
            <w:pPr>
              <w:jc w:val="center"/>
              <w:ind w:right="12"/>
              <w:spacing w:after="0"/>
              <w:rPr>
                <w:sz w:val="20"/>
                <w:szCs w:val="20"/>
                <w:color w:val="auto"/>
              </w:rPr>
            </w:pPr>
            <w:r>
              <w:rPr>
                <w:rFonts w:ascii="Arial" w:cs="Arial" w:eastAsia="Arial" w:hAnsi="Arial"/>
                <w:sz w:val="18"/>
                <w:szCs w:val="18"/>
                <w:color w:val="auto"/>
                <w:w w:val="88"/>
              </w:rPr>
              <w:t>2nd liens: 5 points</w:t>
            </w:r>
          </w:p>
        </w:tc>
        <w:tc>
          <w:tcPr>
            <w:tcW w:w="2980" w:type="dxa"/>
            <w:vAlign w:val="bottom"/>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60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2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2220" w:type="dxa"/>
            <w:vAlign w:val="bottom"/>
            <w:vMerge w:val="continue"/>
            <w:shd w:val="clear" w:color="auto" w:fill="EAF9E8"/>
          </w:tcPr>
          <w:p>
            <w:pPr>
              <w:spacing w:after="0"/>
              <w:rPr>
                <w:sz w:val="9"/>
                <w:szCs w:val="9"/>
                <w:color w:val="auto"/>
              </w:rPr>
            </w:pPr>
          </w:p>
        </w:tc>
        <w:tc>
          <w:tcPr>
            <w:tcW w:w="2980" w:type="dxa"/>
            <w:vAlign w:val="bottom"/>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46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20" w:type="dxa"/>
            <w:vAlign w:val="bottom"/>
            <w:vMerge w:val="restart"/>
            <w:shd w:val="clear" w:color="auto" w:fill="EAF9E8"/>
          </w:tcPr>
          <w:p>
            <w:pPr>
              <w:jc w:val="center"/>
              <w:ind w:right="12"/>
              <w:spacing w:after="0"/>
              <w:rPr>
                <w:sz w:val="20"/>
                <w:szCs w:val="20"/>
                <w:color w:val="auto"/>
              </w:rPr>
            </w:pPr>
            <w:r>
              <w:rPr>
                <w:rFonts w:ascii="Arial" w:cs="Arial" w:eastAsia="Arial" w:hAnsi="Arial"/>
                <w:sz w:val="18"/>
                <w:szCs w:val="18"/>
                <w:color w:val="auto"/>
                <w:w w:val="89"/>
              </w:rPr>
              <w:t>1st liens: 1 point</w:t>
            </w:r>
          </w:p>
        </w:tc>
        <w:tc>
          <w:tcPr>
            <w:tcW w:w="29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Below Threshold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460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Maintain superior loss mitigation</w:t>
            </w:r>
          </w:p>
        </w:tc>
        <w:tc>
          <w:tcPr>
            <w:tcW w:w="100" w:type="dxa"/>
            <w:vAlign w:val="bottom"/>
            <w:shd w:val="clear" w:color="auto" w:fill="EAF9E8"/>
          </w:tcPr>
          <w:p>
            <w:pPr>
              <w:spacing w:after="0"/>
              <w:rPr>
                <w:sz w:val="12"/>
                <w:szCs w:val="12"/>
                <w:color w:val="auto"/>
              </w:rPr>
            </w:pPr>
          </w:p>
        </w:tc>
        <w:tc>
          <w:tcPr>
            <w:tcW w:w="142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Target</w:t>
            </w:r>
          </w:p>
        </w:tc>
        <w:tc>
          <w:tcPr>
            <w:tcW w:w="100" w:type="dxa"/>
            <w:vAlign w:val="bottom"/>
            <w:shd w:val="clear" w:color="auto" w:fill="EAF9E8"/>
          </w:tcPr>
          <w:p>
            <w:pPr>
              <w:spacing w:after="0"/>
              <w:rPr>
                <w:sz w:val="12"/>
                <w:szCs w:val="12"/>
                <w:color w:val="auto"/>
              </w:rPr>
            </w:pPr>
          </w:p>
        </w:tc>
        <w:tc>
          <w:tcPr>
            <w:tcW w:w="2220" w:type="dxa"/>
            <w:vAlign w:val="bottom"/>
            <w:vMerge w:val="continue"/>
            <w:shd w:val="clear" w:color="auto" w:fill="EAF9E8"/>
          </w:tcPr>
          <w:p>
            <w:pPr>
              <w:spacing w:after="0"/>
              <w:rPr>
                <w:sz w:val="12"/>
                <w:szCs w:val="12"/>
                <w:color w:val="auto"/>
              </w:rPr>
            </w:pPr>
          </w:p>
        </w:tc>
        <w:tc>
          <w:tcPr>
            <w:tcW w:w="298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89"/>
              </w:rPr>
              <w:t>1st liens: -7 points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4600" w:type="dxa"/>
            <w:vAlign w:val="bottom"/>
            <w:vMerge w:val="continue"/>
            <w:shd w:val="clear" w:color="auto" w:fill="EAF9E8"/>
          </w:tcPr>
          <w:p>
            <w:pPr>
              <w:spacing w:after="0"/>
              <w:rPr>
                <w:sz w:val="6"/>
                <w:szCs w:val="6"/>
                <w:color w:val="auto"/>
              </w:rPr>
            </w:pPr>
          </w:p>
        </w:tc>
        <w:tc>
          <w:tcPr>
            <w:tcW w:w="100" w:type="dxa"/>
            <w:vAlign w:val="bottom"/>
            <w:shd w:val="clear" w:color="auto" w:fill="EAF9E8"/>
          </w:tcPr>
          <w:p>
            <w:pPr>
              <w:spacing w:after="0"/>
              <w:rPr>
                <w:sz w:val="6"/>
                <w:szCs w:val="6"/>
                <w:color w:val="auto"/>
              </w:rPr>
            </w:pPr>
          </w:p>
        </w:tc>
        <w:tc>
          <w:tcPr>
            <w:tcW w:w="1420" w:type="dxa"/>
            <w:vAlign w:val="bottom"/>
            <w:vMerge w:val="continue"/>
            <w:shd w:val="clear" w:color="auto" w:fill="EAF9E8"/>
          </w:tcPr>
          <w:p>
            <w:pPr>
              <w:spacing w:after="0"/>
              <w:rPr>
                <w:sz w:val="6"/>
                <w:szCs w:val="6"/>
                <w:color w:val="auto"/>
              </w:rPr>
            </w:pPr>
          </w:p>
        </w:tc>
        <w:tc>
          <w:tcPr>
            <w:tcW w:w="100" w:type="dxa"/>
            <w:vAlign w:val="bottom"/>
            <w:shd w:val="clear" w:color="auto" w:fill="EAF9E8"/>
          </w:tcPr>
          <w:p>
            <w:pPr>
              <w:spacing w:after="0"/>
              <w:rPr>
                <w:sz w:val="6"/>
                <w:szCs w:val="6"/>
                <w:color w:val="auto"/>
              </w:rPr>
            </w:pPr>
          </w:p>
        </w:tc>
        <w:tc>
          <w:tcPr>
            <w:tcW w:w="222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88"/>
              </w:rPr>
              <w:t>2nd liens: 10 points</w:t>
            </w:r>
          </w:p>
        </w:tc>
        <w:tc>
          <w:tcPr>
            <w:tcW w:w="2980" w:type="dxa"/>
            <w:vAlign w:val="bottom"/>
            <w:vMerge w:val="continue"/>
            <w:shd w:val="clear" w:color="auto" w:fill="EAF9E8"/>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20" w:type="dxa"/>
            <w:vAlign w:val="bottom"/>
            <w:vMerge w:val="continue"/>
            <w:shd w:val="clear" w:color="auto" w:fill="EAF9E8"/>
          </w:tcPr>
          <w:p>
            <w:pPr>
              <w:spacing w:after="0"/>
              <w:rPr>
                <w:sz w:val="12"/>
                <w:szCs w:val="12"/>
                <w:color w:val="auto"/>
              </w:rPr>
            </w:pPr>
          </w:p>
        </w:tc>
        <w:tc>
          <w:tcPr>
            <w:tcW w:w="2980" w:type="dxa"/>
            <w:vAlign w:val="bottom"/>
            <w:vMerge w:val="restart"/>
            <w:shd w:val="clear" w:color="auto" w:fill="EAF9E8"/>
          </w:tcPr>
          <w:p>
            <w:pPr>
              <w:jc w:val="center"/>
              <w:spacing w:after="0" w:line="291" w:lineRule="exact"/>
              <w:rPr>
                <w:sz w:val="20"/>
                <w:szCs w:val="20"/>
                <w:color w:val="auto"/>
              </w:rPr>
            </w:pPr>
            <w:r>
              <w:rPr>
                <w:rFonts w:ascii="Arial" w:cs="Arial" w:eastAsia="Arial" w:hAnsi="Arial"/>
                <w:sz w:val="18"/>
                <w:szCs w:val="18"/>
                <w:color w:val="auto"/>
                <w:w w:val="87"/>
              </w:rPr>
              <w:t>2</w:t>
            </w:r>
            <w:r>
              <w:rPr>
                <w:rFonts w:ascii="Arial" w:cs="Arial" w:eastAsia="Arial" w:hAnsi="Arial"/>
                <w:sz w:val="29"/>
                <w:szCs w:val="29"/>
                <w:color w:val="auto"/>
                <w:w w:val="87"/>
                <w:vertAlign w:val="superscript"/>
              </w:rPr>
              <w:t>nd</w:t>
            </w:r>
            <w:r>
              <w:rPr>
                <w:rFonts w:ascii="Arial" w:cs="Arial" w:eastAsia="Arial" w:hAnsi="Arial"/>
                <w:sz w:val="18"/>
                <w:szCs w:val="18"/>
                <w:color w:val="auto"/>
                <w:w w:val="87"/>
              </w:rPr>
              <w:t xml:space="preserve"> liens: -28 points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2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EAF9E8"/>
          </w:tcPr>
          <w:p>
            <w:pPr>
              <w:spacing w:after="0"/>
              <w:rPr>
                <w:sz w:val="12"/>
                <w:szCs w:val="12"/>
                <w:color w:val="auto"/>
              </w:rPr>
            </w:pPr>
          </w:p>
        </w:tc>
        <w:tc>
          <w:tcPr>
            <w:tcW w:w="2220" w:type="dxa"/>
            <w:vAlign w:val="bottom"/>
            <w:vMerge w:val="restart"/>
            <w:shd w:val="clear" w:color="auto" w:fill="EAF9E8"/>
          </w:tcPr>
          <w:p>
            <w:pPr>
              <w:jc w:val="center"/>
              <w:ind w:right="12"/>
              <w:spacing w:after="0"/>
              <w:rPr>
                <w:sz w:val="20"/>
                <w:szCs w:val="20"/>
                <w:color w:val="auto"/>
              </w:rPr>
            </w:pPr>
            <w:r>
              <w:rPr>
                <w:rFonts w:ascii="Arial" w:cs="Arial" w:eastAsia="Arial" w:hAnsi="Arial"/>
                <w:sz w:val="18"/>
                <w:szCs w:val="18"/>
                <w:color w:val="auto"/>
                <w:w w:val="88"/>
              </w:rPr>
              <w:t>1st liens: 1.5 points</w:t>
            </w:r>
          </w:p>
        </w:tc>
        <w:tc>
          <w:tcPr>
            <w:tcW w:w="2980" w:type="dxa"/>
            <w:vAlign w:val="bottom"/>
            <w:vMerge w:val="continue"/>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20" w:type="dxa"/>
            <w:vAlign w:val="bottom"/>
            <w:vMerge w:val="continue"/>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20" w:type="dxa"/>
            <w:vAlign w:val="bottom"/>
            <w:vMerge w:val="continue"/>
            <w:shd w:val="clear" w:color="auto" w:fill="EAF9E8"/>
          </w:tcPr>
          <w:p>
            <w:pPr>
              <w:spacing w:after="0"/>
              <w:rPr>
                <w:sz w:val="18"/>
                <w:szCs w:val="18"/>
                <w:color w:val="auto"/>
              </w:rPr>
            </w:pPr>
          </w:p>
        </w:tc>
        <w:tc>
          <w:tcPr>
            <w:tcW w:w="29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20" w:type="dxa"/>
            <w:vAlign w:val="bottom"/>
            <w:vMerge w:val="continue"/>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222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88"/>
              </w:rPr>
              <w:t>2nd liens: 15 points</w:t>
            </w:r>
          </w:p>
        </w:tc>
        <w:tc>
          <w:tcPr>
            <w:tcW w:w="2980" w:type="dxa"/>
            <w:vAlign w:val="bottom"/>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60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2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2220" w:type="dxa"/>
            <w:vAlign w:val="bottom"/>
            <w:vMerge w:val="continue"/>
            <w:shd w:val="clear" w:color="auto" w:fill="EAF9E8"/>
          </w:tcPr>
          <w:p>
            <w:pPr>
              <w:spacing w:after="0"/>
              <w:rPr>
                <w:sz w:val="9"/>
                <w:szCs w:val="9"/>
                <w:color w:val="auto"/>
              </w:rPr>
            </w:pPr>
          </w:p>
        </w:tc>
        <w:tc>
          <w:tcPr>
            <w:tcW w:w="2980" w:type="dxa"/>
            <w:vAlign w:val="bottom"/>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gridSpan w:val="3"/>
          </w:tcPr>
          <w:p>
            <w:pPr>
              <w:spacing w:after="0"/>
              <w:rPr>
                <w:sz w:val="9"/>
                <w:szCs w:val="9"/>
                <w:color w:val="auto"/>
              </w:rPr>
            </w:pPr>
          </w:p>
        </w:tc>
        <w:tc>
          <w:tcPr>
            <w:tcW w:w="300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spacing w:after="0"/>
              <w:rPr>
                <w:sz w:val="20"/>
                <w:szCs w:val="20"/>
                <w:color w:val="auto"/>
              </w:rPr>
            </w:pPr>
            <w:r>
              <w:rPr>
                <w:rFonts w:ascii="Arial" w:cs="Arial" w:eastAsia="Arial" w:hAnsi="Arial"/>
                <w:sz w:val="18"/>
                <w:szCs w:val="18"/>
                <w:color w:val="auto"/>
              </w:rPr>
              <w:t>Improve modeling / analytics</w:t>
            </w:r>
          </w:p>
        </w:tc>
        <w:tc>
          <w:tcPr>
            <w:tcW w:w="100" w:type="dxa"/>
            <w:vAlign w:val="bottom"/>
          </w:tcPr>
          <w:p>
            <w:pPr>
              <w:spacing w:after="0"/>
              <w:rPr>
                <w:sz w:val="24"/>
                <w:szCs w:val="24"/>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At the discretion of the Board of Directors</w:t>
            </w:r>
          </w:p>
        </w:tc>
        <w:tc>
          <w:tcPr>
            <w:tcW w:w="30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Outstanding</w:t>
            </w:r>
          </w:p>
        </w:tc>
        <w:tc>
          <w:tcPr>
            <w:tcW w:w="0" w:type="dxa"/>
            <w:vAlign w:val="bottom"/>
          </w:tcPr>
          <w:p>
            <w:pPr>
              <w:spacing w:after="0"/>
              <w:rPr>
                <w:sz w:val="1"/>
                <w:szCs w:val="1"/>
                <w:color w:val="auto"/>
              </w:rPr>
            </w:pPr>
          </w:p>
        </w:tc>
      </w:tr>
      <w:tr>
        <w:trPr>
          <w:trHeight w:val="110"/>
        </w:trPr>
        <w:tc>
          <w:tcPr>
            <w:tcW w:w="46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600" w:type="dxa"/>
            <w:vAlign w:val="bottom"/>
          </w:tcPr>
          <w:p>
            <w:pPr>
              <w:spacing w:after="0"/>
              <w:rPr>
                <w:sz w:val="24"/>
                <w:szCs w:val="24"/>
                <w:color w:val="auto"/>
              </w:rPr>
            </w:pPr>
          </w:p>
        </w:tc>
        <w:tc>
          <w:tcPr>
            <w:tcW w:w="1520" w:type="dxa"/>
            <w:vAlign w:val="bottom"/>
            <w:gridSpan w:val="2"/>
          </w:tcPr>
          <w:p>
            <w:pPr>
              <w:jc w:val="right"/>
              <w:ind w:right="2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20"/>
                <w:szCs w:val="20"/>
                <w:color w:val="auto"/>
              </w:rPr>
            </w:pPr>
            <w:r>
              <w:rPr>
                <w:rFonts w:ascii="Arial" w:cs="Arial" w:eastAsia="Arial" w:hAnsi="Arial"/>
                <w:sz w:val="18"/>
                <w:szCs w:val="18"/>
                <w:b w:val="1"/>
                <w:bCs w:val="1"/>
                <w:color w:val="auto"/>
              </w:rPr>
              <w:t>Goals Cont.</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Level of Achievement</w:t>
            </w:r>
          </w:p>
        </w:tc>
        <w:tc>
          <w:tcPr>
            <w:tcW w:w="0" w:type="dxa"/>
            <w:vAlign w:val="bottom"/>
          </w:tcPr>
          <w:p>
            <w:pPr>
              <w:spacing w:after="0"/>
              <w:rPr>
                <w:sz w:val="1"/>
                <w:szCs w:val="1"/>
                <w:color w:val="auto"/>
              </w:rPr>
            </w:pPr>
          </w:p>
        </w:tc>
      </w:tr>
      <w:tr>
        <w:trPr>
          <w:trHeight w:val="137"/>
        </w:trPr>
        <w:tc>
          <w:tcPr>
            <w:tcW w:w="4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4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Threshold</w:t>
            </w:r>
          </w:p>
        </w:tc>
        <w:tc>
          <w:tcPr>
            <w:tcW w:w="2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Improve 1 notch</w:t>
            </w:r>
          </w:p>
        </w:tc>
        <w:tc>
          <w:tcPr>
            <w:tcW w:w="29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460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40" w:type="dxa"/>
            <w:vAlign w:val="bottom"/>
            <w:vMerge w:val="continue"/>
            <w:shd w:val="clear" w:color="auto" w:fill="EAF9E8"/>
          </w:tcPr>
          <w:p>
            <w:pPr>
              <w:spacing w:after="0"/>
              <w:rPr>
                <w:sz w:val="9"/>
                <w:szCs w:val="9"/>
                <w:color w:val="auto"/>
              </w:rPr>
            </w:pPr>
          </w:p>
        </w:tc>
        <w:tc>
          <w:tcPr>
            <w:tcW w:w="230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86"/>
              </w:rPr>
              <w:t>by 1 agency</w:t>
            </w:r>
          </w:p>
        </w:tc>
        <w:tc>
          <w:tcPr>
            <w:tcW w:w="2980" w:type="dxa"/>
            <w:vAlign w:val="bottom"/>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40" w:type="dxa"/>
            <w:vAlign w:val="bottom"/>
            <w:shd w:val="clear" w:color="auto" w:fill="EAF9E8"/>
          </w:tcPr>
          <w:p>
            <w:pPr>
              <w:spacing w:after="0"/>
              <w:rPr>
                <w:sz w:val="9"/>
                <w:szCs w:val="9"/>
                <w:color w:val="auto"/>
              </w:rPr>
            </w:pPr>
          </w:p>
        </w:tc>
        <w:tc>
          <w:tcPr>
            <w:tcW w:w="2300" w:type="dxa"/>
            <w:vAlign w:val="bottom"/>
            <w:vMerge w:val="continue"/>
            <w:shd w:val="clear" w:color="auto" w:fill="EAF9E8"/>
          </w:tcPr>
          <w:p>
            <w:pPr>
              <w:spacing w:after="0"/>
              <w:rPr>
                <w:sz w:val="9"/>
                <w:szCs w:val="9"/>
                <w:color w:val="auto"/>
              </w:rPr>
            </w:pPr>
          </w:p>
        </w:tc>
        <w:tc>
          <w:tcPr>
            <w:tcW w:w="2980" w:type="dxa"/>
            <w:vAlign w:val="bottom"/>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4600" w:type="dxa"/>
            <w:vAlign w:val="bottom"/>
            <w:vMerge w:val="restart"/>
            <w:shd w:val="clear" w:color="auto" w:fill="EAF9E8"/>
          </w:tcPr>
          <w:p>
            <w:pPr>
              <w:spacing w:after="0"/>
              <w:rPr>
                <w:sz w:val="20"/>
                <w:szCs w:val="20"/>
                <w:color w:val="auto"/>
              </w:rPr>
            </w:pPr>
            <w:r>
              <w:rPr>
                <w:rFonts w:ascii="Arial" w:cs="Arial" w:eastAsia="Arial" w:hAnsi="Arial"/>
                <w:sz w:val="18"/>
                <w:szCs w:val="18"/>
                <w:color w:val="auto"/>
                <w:w w:val="97"/>
              </w:rPr>
              <w:t>Improve financial structure and clarity with ratings agencies</w:t>
            </w:r>
          </w:p>
        </w:tc>
        <w:tc>
          <w:tcPr>
            <w:tcW w:w="100" w:type="dxa"/>
            <w:vAlign w:val="bottom"/>
            <w:shd w:val="clear" w:color="auto" w:fill="EAF9E8"/>
          </w:tcPr>
          <w:p>
            <w:pPr>
              <w:spacing w:after="0"/>
              <w:rPr>
                <w:sz w:val="24"/>
                <w:szCs w:val="24"/>
                <w:color w:val="auto"/>
              </w:rPr>
            </w:pPr>
          </w:p>
        </w:tc>
        <w:tc>
          <w:tcPr>
            <w:tcW w:w="144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Target</w:t>
            </w:r>
          </w:p>
        </w:tc>
        <w:tc>
          <w:tcPr>
            <w:tcW w:w="2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Improve 2 notches</w:t>
            </w:r>
          </w:p>
        </w:tc>
        <w:tc>
          <w:tcPr>
            <w:tcW w:w="29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Threshold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600" w:type="dxa"/>
            <w:vAlign w:val="bottom"/>
            <w:vMerge w:val="continue"/>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40" w:type="dxa"/>
            <w:vAlign w:val="bottom"/>
            <w:vMerge w:val="continue"/>
            <w:shd w:val="clear" w:color="auto" w:fill="EAF9E8"/>
          </w:tcPr>
          <w:p>
            <w:pPr>
              <w:spacing w:after="0"/>
              <w:rPr>
                <w:sz w:val="9"/>
                <w:szCs w:val="9"/>
                <w:color w:val="auto"/>
              </w:rPr>
            </w:pPr>
          </w:p>
        </w:tc>
        <w:tc>
          <w:tcPr>
            <w:tcW w:w="230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86"/>
              </w:rPr>
              <w:t>by 1 agency</w:t>
            </w:r>
          </w:p>
        </w:tc>
        <w:tc>
          <w:tcPr>
            <w:tcW w:w="298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88"/>
              </w:rPr>
              <w:t>1 notch by 1 agency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440" w:type="dxa"/>
            <w:vAlign w:val="bottom"/>
            <w:shd w:val="clear" w:color="auto" w:fill="EAF9E8"/>
          </w:tcPr>
          <w:p>
            <w:pPr>
              <w:spacing w:after="0"/>
              <w:rPr>
                <w:sz w:val="9"/>
                <w:szCs w:val="9"/>
                <w:color w:val="auto"/>
              </w:rPr>
            </w:pPr>
          </w:p>
        </w:tc>
        <w:tc>
          <w:tcPr>
            <w:tcW w:w="2300" w:type="dxa"/>
            <w:vAlign w:val="bottom"/>
            <w:vMerge w:val="continue"/>
            <w:shd w:val="clear" w:color="auto" w:fill="EAF9E8"/>
          </w:tcPr>
          <w:p>
            <w:pPr>
              <w:spacing w:after="0"/>
              <w:rPr>
                <w:sz w:val="9"/>
                <w:szCs w:val="9"/>
                <w:color w:val="auto"/>
              </w:rPr>
            </w:pPr>
          </w:p>
        </w:tc>
        <w:tc>
          <w:tcPr>
            <w:tcW w:w="2980" w:type="dxa"/>
            <w:vAlign w:val="bottom"/>
            <w:vMerge w:val="continue"/>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46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Outstanding</w:t>
            </w:r>
          </w:p>
        </w:tc>
        <w:tc>
          <w:tcPr>
            <w:tcW w:w="2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Improve 4 notches</w:t>
            </w:r>
          </w:p>
        </w:tc>
        <w:tc>
          <w:tcPr>
            <w:tcW w:w="2980" w:type="dxa"/>
            <w:vAlign w:val="bottom"/>
            <w:shd w:val="clear" w:color="auto" w:fill="EAF9E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40" w:type="dxa"/>
            <w:vAlign w:val="bottom"/>
            <w:shd w:val="clear" w:color="auto" w:fill="EAF9E8"/>
          </w:tcPr>
          <w:p>
            <w:pPr>
              <w:spacing w:after="0"/>
              <w:rPr>
                <w:sz w:val="19"/>
                <w:szCs w:val="19"/>
                <w:color w:val="auto"/>
              </w:rPr>
            </w:pPr>
          </w:p>
        </w:tc>
        <w:tc>
          <w:tcPr>
            <w:tcW w:w="2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in total</w:t>
            </w:r>
          </w:p>
        </w:tc>
        <w:tc>
          <w:tcPr>
            <w:tcW w:w="298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600" w:type="dxa"/>
            <w:vAlign w:val="bottom"/>
          </w:tcPr>
          <w:p>
            <w:pPr>
              <w:spacing w:after="0"/>
              <w:rPr>
                <w:sz w:val="20"/>
                <w:szCs w:val="20"/>
                <w:color w:val="auto"/>
              </w:rPr>
            </w:pPr>
            <w:r>
              <w:rPr>
                <w:rFonts w:ascii="Arial" w:cs="Arial" w:eastAsia="Arial" w:hAnsi="Arial"/>
                <w:sz w:val="18"/>
                <w:szCs w:val="18"/>
                <w:color w:val="auto"/>
                <w:w w:val="89"/>
              </w:rPr>
              <w:t>Improve brand with asset-backed securities investors and hedge</w:t>
            </w:r>
          </w:p>
        </w:tc>
        <w:tc>
          <w:tcPr>
            <w:tcW w:w="100" w:type="dxa"/>
            <w:vAlign w:val="bottom"/>
          </w:tcPr>
          <w:p>
            <w:pPr>
              <w:spacing w:after="0"/>
              <w:rPr>
                <w:sz w:val="24"/>
                <w:szCs w:val="24"/>
                <w:color w:val="auto"/>
              </w:rPr>
            </w:pPr>
          </w:p>
        </w:tc>
        <w:tc>
          <w:tcPr>
            <w:tcW w:w="3740" w:type="dxa"/>
            <w:vAlign w:val="bottom"/>
            <w:gridSpan w:val="2"/>
            <w:vMerge w:val="restart"/>
          </w:tcPr>
          <w:p>
            <w:pPr>
              <w:ind w:left="340"/>
              <w:spacing w:after="0"/>
              <w:rPr>
                <w:sz w:val="20"/>
                <w:szCs w:val="20"/>
                <w:color w:val="auto"/>
              </w:rPr>
            </w:pPr>
            <w:r>
              <w:rPr>
                <w:rFonts w:ascii="Arial" w:cs="Arial" w:eastAsia="Arial" w:hAnsi="Arial"/>
                <w:sz w:val="18"/>
                <w:szCs w:val="18"/>
                <w:color w:val="auto"/>
              </w:rPr>
              <w:t>At the discretion of the Board of Directors</w:t>
            </w:r>
          </w:p>
        </w:tc>
        <w:tc>
          <w:tcPr>
            <w:tcW w:w="300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88"/>
              </w:rPr>
              <w:t>Outstanding</w:t>
            </w:r>
          </w:p>
        </w:tc>
        <w:tc>
          <w:tcPr>
            <w:tcW w:w="0" w:type="dxa"/>
            <w:vAlign w:val="bottom"/>
          </w:tcPr>
          <w:p>
            <w:pPr>
              <w:spacing w:after="0"/>
              <w:rPr>
                <w:sz w:val="1"/>
                <w:szCs w:val="1"/>
                <w:color w:val="auto"/>
              </w:rPr>
            </w:pPr>
          </w:p>
        </w:tc>
      </w:tr>
      <w:tr>
        <w:trPr>
          <w:trHeight w:val="114"/>
        </w:trPr>
        <w:tc>
          <w:tcPr>
            <w:tcW w:w="4600" w:type="dxa"/>
            <w:vAlign w:val="bottom"/>
            <w:vMerge w:val="restart"/>
          </w:tcPr>
          <w:p>
            <w:pPr>
              <w:spacing w:after="0"/>
              <w:rPr>
                <w:sz w:val="20"/>
                <w:szCs w:val="20"/>
                <w:color w:val="auto"/>
              </w:rPr>
            </w:pPr>
            <w:r>
              <w:rPr>
                <w:rFonts w:ascii="Arial" w:cs="Arial" w:eastAsia="Arial" w:hAnsi="Arial"/>
                <w:sz w:val="18"/>
                <w:szCs w:val="18"/>
                <w:color w:val="auto"/>
              </w:rPr>
              <w:t>funds</w:t>
            </w:r>
          </w:p>
        </w:tc>
        <w:tc>
          <w:tcPr>
            <w:tcW w:w="100" w:type="dxa"/>
            <w:vAlign w:val="bottom"/>
          </w:tcPr>
          <w:p>
            <w:pPr>
              <w:spacing w:after="0"/>
              <w:rPr>
                <w:sz w:val="9"/>
                <w:szCs w:val="9"/>
                <w:color w:val="auto"/>
              </w:rPr>
            </w:pPr>
          </w:p>
        </w:tc>
        <w:tc>
          <w:tcPr>
            <w:tcW w:w="3740" w:type="dxa"/>
            <w:vAlign w:val="bottom"/>
            <w:gridSpan w:val="2"/>
            <w:vMerge w:val="continue"/>
          </w:tcPr>
          <w:p>
            <w:pPr>
              <w:spacing w:after="0"/>
              <w:rPr>
                <w:sz w:val="9"/>
                <w:szCs w:val="9"/>
                <w:color w:val="auto"/>
              </w:rPr>
            </w:pPr>
          </w:p>
        </w:tc>
        <w:tc>
          <w:tcPr>
            <w:tcW w:w="3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AF9E8"/>
          </w:tcPr>
          <w:p>
            <w:pPr>
              <w:spacing w:after="0"/>
              <w:rPr>
                <w:sz w:val="20"/>
                <w:szCs w:val="20"/>
                <w:color w:val="auto"/>
              </w:rPr>
            </w:pPr>
            <w:r>
              <w:rPr>
                <w:rFonts w:ascii="Arial" w:cs="Arial" w:eastAsia="Arial" w:hAnsi="Arial"/>
                <w:sz w:val="18"/>
                <w:szCs w:val="18"/>
                <w:color w:val="auto"/>
                <w:w w:val="95"/>
              </w:rPr>
              <w:t>Improve funding: 1) monetize investment income to improve</w:t>
            </w:r>
          </w:p>
        </w:tc>
        <w:tc>
          <w:tcPr>
            <w:tcW w:w="100" w:type="dxa"/>
            <w:vAlign w:val="bottom"/>
            <w:shd w:val="clear" w:color="auto" w:fill="EAF9E8"/>
          </w:tcPr>
          <w:p>
            <w:pPr>
              <w:spacing w:after="0"/>
              <w:rPr>
                <w:sz w:val="18"/>
                <w:szCs w:val="18"/>
                <w:color w:val="auto"/>
              </w:rPr>
            </w:pPr>
          </w:p>
        </w:tc>
        <w:tc>
          <w:tcPr>
            <w:tcW w:w="1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Threshold</w:t>
            </w:r>
          </w:p>
        </w:tc>
        <w:tc>
          <w:tcPr>
            <w:tcW w:w="2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Achieve one of three</w:t>
            </w:r>
          </w:p>
        </w:tc>
        <w:tc>
          <w:tcPr>
            <w:tcW w:w="29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00" w:type="dxa"/>
            <w:vAlign w:val="bottom"/>
            <w:shd w:val="clear" w:color="auto" w:fill="EAF9E8"/>
          </w:tcPr>
          <w:p>
            <w:pPr>
              <w:spacing w:after="0"/>
              <w:rPr>
                <w:sz w:val="20"/>
                <w:szCs w:val="20"/>
                <w:color w:val="auto"/>
              </w:rPr>
            </w:pPr>
            <w:r>
              <w:rPr>
                <w:rFonts w:ascii="Arial" w:cs="Arial" w:eastAsia="Arial" w:hAnsi="Arial"/>
                <w:sz w:val="18"/>
                <w:szCs w:val="18"/>
                <w:color w:val="auto"/>
                <w:w w:val="90"/>
              </w:rPr>
              <w:t>cash by $200 million; 2) Operationalize cash flow management;</w:t>
            </w:r>
          </w:p>
        </w:tc>
        <w:tc>
          <w:tcPr>
            <w:tcW w:w="100" w:type="dxa"/>
            <w:vAlign w:val="bottom"/>
            <w:shd w:val="clear" w:color="auto" w:fill="EAF9E8"/>
          </w:tcPr>
          <w:p>
            <w:pPr>
              <w:spacing w:after="0"/>
              <w:rPr>
                <w:sz w:val="21"/>
                <w:szCs w:val="21"/>
                <w:color w:val="auto"/>
              </w:rPr>
            </w:pPr>
          </w:p>
        </w:tc>
        <w:tc>
          <w:tcPr>
            <w:tcW w:w="144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Target</w:t>
            </w:r>
          </w:p>
        </w:tc>
        <w:tc>
          <w:tcPr>
            <w:tcW w:w="230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90"/>
              </w:rPr>
              <w:t>Achieve two of three</w:t>
            </w:r>
          </w:p>
        </w:tc>
        <w:tc>
          <w:tcPr>
            <w:tcW w:w="2980" w:type="dxa"/>
            <w:vAlign w:val="bottom"/>
            <w:shd w:val="clear" w:color="auto" w:fill="EAF9E8"/>
          </w:tcPr>
          <w:p>
            <w:pPr>
              <w:ind w:left="980"/>
              <w:spacing w:after="0"/>
              <w:rPr>
                <w:sz w:val="20"/>
                <w:szCs w:val="20"/>
                <w:color w:val="auto"/>
              </w:rPr>
            </w:pPr>
            <w:r>
              <w:rPr>
                <w:rFonts w:ascii="Arial" w:cs="Arial" w:eastAsia="Arial" w:hAnsi="Arial"/>
                <w:sz w:val="18"/>
                <w:szCs w:val="18"/>
                <w:color w:val="auto"/>
              </w:rPr>
              <w:t>Outstanding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460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and 3) Complete BMS transaction to recover $46 million</w:t>
            </w:r>
          </w:p>
        </w:tc>
        <w:tc>
          <w:tcPr>
            <w:tcW w:w="100" w:type="dxa"/>
            <w:vAlign w:val="bottom"/>
            <w:shd w:val="clear" w:color="auto" w:fill="EAF9E8"/>
          </w:tcPr>
          <w:p>
            <w:pPr>
              <w:spacing w:after="0"/>
              <w:rPr>
                <w:sz w:val="9"/>
                <w:szCs w:val="9"/>
                <w:color w:val="auto"/>
              </w:rPr>
            </w:pPr>
          </w:p>
        </w:tc>
        <w:tc>
          <w:tcPr>
            <w:tcW w:w="1440" w:type="dxa"/>
            <w:vAlign w:val="bottom"/>
            <w:vMerge w:val="continue"/>
            <w:shd w:val="clear" w:color="auto" w:fill="EAF9E8"/>
          </w:tcPr>
          <w:p>
            <w:pPr>
              <w:spacing w:after="0"/>
              <w:rPr>
                <w:sz w:val="9"/>
                <w:szCs w:val="9"/>
                <w:color w:val="auto"/>
              </w:rPr>
            </w:pPr>
          </w:p>
        </w:tc>
        <w:tc>
          <w:tcPr>
            <w:tcW w:w="2300" w:type="dxa"/>
            <w:vAlign w:val="bottom"/>
            <w:vMerge w:val="continue"/>
            <w:shd w:val="clear" w:color="auto" w:fill="EAF9E8"/>
          </w:tcPr>
          <w:p>
            <w:pPr>
              <w:spacing w:after="0"/>
              <w:rPr>
                <w:sz w:val="9"/>
                <w:szCs w:val="9"/>
                <w:color w:val="auto"/>
              </w:rPr>
            </w:pPr>
          </w:p>
        </w:tc>
        <w:tc>
          <w:tcPr>
            <w:tcW w:w="298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89"/>
              </w:rPr>
              <w:t>Achieved three of three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600" w:type="dxa"/>
            <w:vAlign w:val="bottom"/>
            <w:vMerge w:val="continue"/>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440" w:type="dxa"/>
            <w:vAlign w:val="bottom"/>
            <w:shd w:val="clear" w:color="auto" w:fill="EAF9E8"/>
          </w:tcPr>
          <w:p>
            <w:pPr>
              <w:spacing w:after="0"/>
              <w:rPr>
                <w:sz w:val="8"/>
                <w:szCs w:val="8"/>
                <w:color w:val="auto"/>
              </w:rPr>
            </w:pPr>
          </w:p>
        </w:tc>
        <w:tc>
          <w:tcPr>
            <w:tcW w:w="2300" w:type="dxa"/>
            <w:vAlign w:val="bottom"/>
            <w:shd w:val="clear" w:color="auto" w:fill="EAF9E8"/>
          </w:tcPr>
          <w:p>
            <w:pPr>
              <w:spacing w:after="0"/>
              <w:rPr>
                <w:sz w:val="8"/>
                <w:szCs w:val="8"/>
                <w:color w:val="auto"/>
              </w:rPr>
            </w:pPr>
          </w:p>
        </w:tc>
        <w:tc>
          <w:tcPr>
            <w:tcW w:w="2980" w:type="dxa"/>
            <w:vAlign w:val="bottom"/>
            <w:vMerge w:val="continue"/>
            <w:shd w:val="clear" w:color="auto" w:fill="EAF9E8"/>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4600" w:type="dxa"/>
            <w:vAlign w:val="bottom"/>
            <w:shd w:val="clear" w:color="auto" w:fill="EAF9E8"/>
          </w:tcPr>
          <w:p>
            <w:pPr>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EAF9E8"/>
          </w:tcPr>
          <w:p>
            <w:pPr>
              <w:spacing w:after="0"/>
              <w:rPr>
                <w:sz w:val="23"/>
                <w:szCs w:val="23"/>
                <w:color w:val="auto"/>
              </w:rPr>
            </w:pPr>
          </w:p>
        </w:tc>
        <w:tc>
          <w:tcPr>
            <w:tcW w:w="1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Outstanding</w:t>
            </w:r>
          </w:p>
        </w:tc>
        <w:tc>
          <w:tcPr>
            <w:tcW w:w="2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Achieve all three</w:t>
            </w:r>
          </w:p>
        </w:tc>
        <w:tc>
          <w:tcPr>
            <w:tcW w:w="2980" w:type="dxa"/>
            <w:vAlign w:val="bottom"/>
            <w:shd w:val="clear" w:color="auto" w:fill="EAF9E8"/>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40"/>
          </w:cols>
          <w:pgMar w:left="240" w:top="139" w:right="219" w:bottom="1440" w:gutter="0" w:footer="0" w:header="0"/>
        </w:sect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40" w:type="dxa"/>
            <w:vAlign w:val="bottom"/>
          </w:tcPr>
          <w:p>
            <w:pPr>
              <w:jc w:val="center"/>
              <w:ind w:left="292"/>
              <w:spacing w:after="0"/>
              <w:rPr>
                <w:sz w:val="20"/>
                <w:szCs w:val="20"/>
                <w:color w:val="auto"/>
              </w:rPr>
            </w:pPr>
            <w:r>
              <w:rPr>
                <w:rFonts w:ascii="Arial" w:cs="Arial" w:eastAsia="Arial" w:hAnsi="Arial"/>
                <w:sz w:val="18"/>
                <w:szCs w:val="18"/>
                <w:color w:val="auto"/>
                <w:w w:val="85"/>
              </w:rPr>
              <w:t>Operating expenses</w:t>
            </w:r>
          </w:p>
        </w:tc>
      </w:tr>
      <w:tr>
        <w:trPr>
          <w:trHeight w:val="216"/>
        </w:trPr>
        <w:tc>
          <w:tcPr>
            <w:tcW w:w="4620" w:type="dxa"/>
            <w:vAlign w:val="bottom"/>
          </w:tcPr>
          <w:p>
            <w:pPr>
              <w:spacing w:after="0"/>
              <w:rPr>
                <w:sz w:val="18"/>
                <w:szCs w:val="18"/>
                <w:color w:val="auto"/>
              </w:rPr>
            </w:pPr>
          </w:p>
        </w:tc>
        <w:tc>
          <w:tcPr>
            <w:tcW w:w="1520" w:type="dxa"/>
            <w:vAlign w:val="bottom"/>
          </w:tcPr>
          <w:p>
            <w:pPr>
              <w:ind w:left="240"/>
              <w:spacing w:after="0"/>
              <w:rPr>
                <w:sz w:val="20"/>
                <w:szCs w:val="20"/>
                <w:color w:val="auto"/>
              </w:rPr>
            </w:pPr>
            <w:r>
              <w:rPr>
                <w:rFonts w:ascii="Arial" w:cs="Arial" w:eastAsia="Arial" w:hAnsi="Arial"/>
                <w:sz w:val="18"/>
                <w:szCs w:val="18"/>
                <w:color w:val="auto"/>
              </w:rPr>
              <w:t>Threshold</w:t>
            </w:r>
          </w:p>
        </w:tc>
        <w:tc>
          <w:tcPr>
            <w:tcW w:w="1840" w:type="dxa"/>
            <w:vAlign w:val="bottom"/>
          </w:tcPr>
          <w:p>
            <w:pPr>
              <w:jc w:val="center"/>
              <w:ind w:left="312"/>
              <w:spacing w:after="0"/>
              <w:rPr>
                <w:sz w:val="20"/>
                <w:szCs w:val="20"/>
                <w:color w:val="auto"/>
              </w:rPr>
            </w:pPr>
            <w:r>
              <w:rPr>
                <w:rFonts w:ascii="Arial" w:cs="Arial" w:eastAsia="Arial" w:hAnsi="Arial"/>
                <w:sz w:val="18"/>
                <w:szCs w:val="18"/>
                <w:color w:val="auto"/>
                <w:w w:val="85"/>
              </w:rPr>
              <w:t>no greater than</w:t>
            </w:r>
          </w:p>
        </w:tc>
      </w:tr>
      <w:tr>
        <w:trPr>
          <w:trHeight w:val="216"/>
        </w:trPr>
        <w:tc>
          <w:tcPr>
            <w:tcW w:w="4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40" w:type="dxa"/>
            <w:vAlign w:val="bottom"/>
          </w:tcPr>
          <w:p>
            <w:pPr>
              <w:jc w:val="center"/>
              <w:ind w:left="352"/>
              <w:spacing w:after="0"/>
              <w:rPr>
                <w:sz w:val="20"/>
                <w:szCs w:val="20"/>
                <w:color w:val="auto"/>
              </w:rPr>
            </w:pPr>
            <w:r>
              <w:rPr>
                <w:rFonts w:ascii="Arial" w:cs="Arial" w:eastAsia="Arial" w:hAnsi="Arial"/>
                <w:sz w:val="18"/>
                <w:szCs w:val="18"/>
                <w:color w:val="auto"/>
                <w:w w:val="89"/>
              </w:rPr>
              <w:t>115% of plan or pro</w:t>
            </w:r>
          </w:p>
        </w:tc>
      </w:tr>
      <w:tr>
        <w:trPr>
          <w:trHeight w:val="222"/>
        </w:trPr>
        <w:tc>
          <w:tcPr>
            <w:tcW w:w="4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40" w:type="dxa"/>
            <w:vAlign w:val="bottom"/>
          </w:tcPr>
          <w:p>
            <w:pPr>
              <w:jc w:val="center"/>
              <w:ind w:left="352"/>
              <w:spacing w:after="0"/>
              <w:rPr>
                <w:sz w:val="20"/>
                <w:szCs w:val="20"/>
                <w:color w:val="auto"/>
              </w:rPr>
            </w:pPr>
            <w:r>
              <w:rPr>
                <w:rFonts w:ascii="Arial" w:cs="Arial" w:eastAsia="Arial" w:hAnsi="Arial"/>
                <w:sz w:val="18"/>
                <w:szCs w:val="18"/>
                <w:color w:val="auto"/>
                <w:w w:val="85"/>
              </w:rPr>
              <w:t>rata actual</w:t>
            </w:r>
          </w:p>
        </w:tc>
      </w:tr>
      <w:tr>
        <w:trPr>
          <w:trHeight w:val="358"/>
        </w:trPr>
        <w:tc>
          <w:tcPr>
            <w:tcW w:w="4620" w:type="dxa"/>
            <w:vAlign w:val="bottom"/>
          </w:tcPr>
          <w:p>
            <w:pPr>
              <w:spacing w:after="0"/>
              <w:rPr>
                <w:sz w:val="20"/>
                <w:szCs w:val="20"/>
                <w:color w:val="auto"/>
              </w:rPr>
            </w:pPr>
            <w:r>
              <w:rPr>
                <w:rFonts w:ascii="Arial" w:cs="Arial" w:eastAsia="Arial" w:hAnsi="Arial"/>
                <w:sz w:val="18"/>
                <w:szCs w:val="18"/>
                <w:color w:val="auto"/>
                <w:w w:val="96"/>
              </w:rPr>
              <w:t>Reduce costs; Achieve $377.6 million operating expenditure</w:t>
            </w:r>
          </w:p>
        </w:tc>
        <w:tc>
          <w:tcPr>
            <w:tcW w:w="1520" w:type="dxa"/>
            <w:vAlign w:val="bottom"/>
          </w:tcPr>
          <w:p>
            <w:pPr>
              <w:spacing w:after="0"/>
              <w:rPr>
                <w:sz w:val="24"/>
                <w:szCs w:val="24"/>
                <w:color w:val="auto"/>
              </w:rPr>
            </w:pPr>
          </w:p>
        </w:tc>
        <w:tc>
          <w:tcPr>
            <w:tcW w:w="1840" w:type="dxa"/>
            <w:vAlign w:val="bottom"/>
          </w:tcPr>
          <w:p>
            <w:pPr>
              <w:jc w:val="center"/>
              <w:ind w:left="312"/>
              <w:spacing w:after="0"/>
              <w:rPr>
                <w:sz w:val="20"/>
                <w:szCs w:val="20"/>
                <w:color w:val="auto"/>
              </w:rPr>
            </w:pPr>
            <w:r>
              <w:rPr>
                <w:rFonts w:ascii="Arial" w:cs="Arial" w:eastAsia="Arial" w:hAnsi="Arial"/>
                <w:sz w:val="18"/>
                <w:szCs w:val="18"/>
                <w:color w:val="auto"/>
                <w:w w:val="88"/>
              </w:rPr>
              <w:t>Achieve operating</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2"/>
              </w:rPr>
              <w:t>budget, or maintain operating expenses at 75.9% of revenue if</w:t>
            </w:r>
          </w:p>
        </w:tc>
        <w:tc>
          <w:tcPr>
            <w:tcW w:w="1520" w:type="dxa"/>
            <w:vAlign w:val="bottom"/>
          </w:tcPr>
          <w:p>
            <w:pPr>
              <w:ind w:left="240"/>
              <w:spacing w:after="0"/>
              <w:rPr>
                <w:sz w:val="20"/>
                <w:szCs w:val="20"/>
                <w:color w:val="auto"/>
              </w:rPr>
            </w:pPr>
            <w:r>
              <w:rPr>
                <w:rFonts w:ascii="Arial" w:cs="Arial" w:eastAsia="Arial" w:hAnsi="Arial"/>
                <w:sz w:val="18"/>
                <w:szCs w:val="18"/>
                <w:color w:val="auto"/>
              </w:rPr>
              <w:t>Target</w:t>
            </w:r>
          </w:p>
        </w:tc>
        <w:tc>
          <w:tcPr>
            <w:tcW w:w="1840" w:type="dxa"/>
            <w:vAlign w:val="bottom"/>
          </w:tcPr>
          <w:p>
            <w:pPr>
              <w:jc w:val="center"/>
              <w:ind w:left="352"/>
              <w:spacing w:after="0"/>
              <w:rPr>
                <w:sz w:val="20"/>
                <w:szCs w:val="20"/>
                <w:color w:val="auto"/>
              </w:rPr>
            </w:pPr>
            <w:r>
              <w:rPr>
                <w:rFonts w:ascii="Arial" w:cs="Arial" w:eastAsia="Arial" w:hAnsi="Arial"/>
                <w:sz w:val="18"/>
                <w:szCs w:val="18"/>
                <w:color w:val="auto"/>
                <w:w w:val="85"/>
              </w:rPr>
              <w:t>expense budget pro</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revenue exceeds budget</w:t>
            </w:r>
          </w:p>
        </w:tc>
        <w:tc>
          <w:tcPr>
            <w:tcW w:w="1520" w:type="dxa"/>
            <w:vAlign w:val="bottom"/>
          </w:tcPr>
          <w:p>
            <w:pPr>
              <w:spacing w:after="0"/>
              <w:rPr>
                <w:sz w:val="18"/>
                <w:szCs w:val="18"/>
                <w:color w:val="auto"/>
              </w:rPr>
            </w:pPr>
          </w:p>
        </w:tc>
        <w:tc>
          <w:tcPr>
            <w:tcW w:w="1840" w:type="dxa"/>
            <w:vAlign w:val="bottom"/>
          </w:tcPr>
          <w:p>
            <w:pPr>
              <w:jc w:val="center"/>
              <w:ind w:left="372"/>
              <w:spacing w:after="0"/>
              <w:rPr>
                <w:sz w:val="20"/>
                <w:szCs w:val="20"/>
                <w:color w:val="auto"/>
              </w:rPr>
            </w:pPr>
            <w:r>
              <w:rPr>
                <w:rFonts w:ascii="Arial" w:cs="Arial" w:eastAsia="Arial" w:hAnsi="Arial"/>
                <w:sz w:val="18"/>
                <w:szCs w:val="18"/>
                <w:color w:val="auto"/>
                <w:w w:val="88"/>
              </w:rPr>
              <w:t>rata with revenue</w:t>
            </w:r>
          </w:p>
        </w:tc>
      </w:tr>
      <w:tr>
        <w:trPr>
          <w:trHeight w:val="222"/>
        </w:trPr>
        <w:tc>
          <w:tcPr>
            <w:tcW w:w="4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40" w:type="dxa"/>
            <w:vAlign w:val="bottom"/>
          </w:tcPr>
          <w:p>
            <w:pPr>
              <w:jc w:val="center"/>
              <w:ind w:left="352"/>
              <w:spacing w:after="0"/>
              <w:rPr>
                <w:sz w:val="20"/>
                <w:szCs w:val="20"/>
                <w:color w:val="auto"/>
              </w:rPr>
            </w:pPr>
            <w:r>
              <w:rPr>
                <w:rFonts w:ascii="Arial" w:cs="Arial" w:eastAsia="Arial" w:hAnsi="Arial"/>
                <w:sz w:val="18"/>
                <w:szCs w:val="18"/>
                <w:color w:val="auto"/>
                <w:w w:val="86"/>
              </w:rPr>
              <w:t>achievement</w:t>
            </w:r>
          </w:p>
        </w:tc>
      </w:tr>
      <w:tr>
        <w:trPr>
          <w:trHeight w:val="358"/>
        </w:trPr>
        <w:tc>
          <w:tcPr>
            <w:tcW w:w="4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tcPr>
          <w:p>
            <w:pPr>
              <w:jc w:val="center"/>
              <w:ind w:left="292"/>
              <w:spacing w:after="0"/>
              <w:rPr>
                <w:sz w:val="20"/>
                <w:szCs w:val="20"/>
                <w:color w:val="auto"/>
              </w:rPr>
            </w:pPr>
            <w:r>
              <w:rPr>
                <w:rFonts w:ascii="Arial" w:cs="Arial" w:eastAsia="Arial" w:hAnsi="Arial"/>
                <w:sz w:val="18"/>
                <w:szCs w:val="18"/>
                <w:color w:val="auto"/>
                <w:w w:val="85"/>
              </w:rPr>
              <w:t>Operating expenses</w:t>
            </w:r>
          </w:p>
        </w:tc>
      </w:tr>
      <w:tr>
        <w:trPr>
          <w:trHeight w:val="216"/>
        </w:trPr>
        <w:tc>
          <w:tcPr>
            <w:tcW w:w="4620" w:type="dxa"/>
            <w:vAlign w:val="bottom"/>
          </w:tcPr>
          <w:p>
            <w:pPr>
              <w:spacing w:after="0"/>
              <w:rPr>
                <w:sz w:val="18"/>
                <w:szCs w:val="18"/>
                <w:color w:val="auto"/>
              </w:rPr>
            </w:pPr>
          </w:p>
        </w:tc>
        <w:tc>
          <w:tcPr>
            <w:tcW w:w="1520" w:type="dxa"/>
            <w:vAlign w:val="bottom"/>
          </w:tcPr>
          <w:p>
            <w:pPr>
              <w:ind w:left="240"/>
              <w:spacing w:after="0"/>
              <w:rPr>
                <w:sz w:val="20"/>
                <w:szCs w:val="20"/>
                <w:color w:val="auto"/>
              </w:rPr>
            </w:pPr>
            <w:r>
              <w:rPr>
                <w:rFonts w:ascii="Arial" w:cs="Arial" w:eastAsia="Arial" w:hAnsi="Arial"/>
                <w:sz w:val="18"/>
                <w:szCs w:val="18"/>
                <w:color w:val="auto"/>
              </w:rPr>
              <w:t>Outstanding</w:t>
            </w:r>
          </w:p>
        </w:tc>
        <w:tc>
          <w:tcPr>
            <w:tcW w:w="1840" w:type="dxa"/>
            <w:vAlign w:val="bottom"/>
          </w:tcPr>
          <w:p>
            <w:pPr>
              <w:jc w:val="center"/>
              <w:ind w:left="292"/>
              <w:spacing w:after="0"/>
              <w:rPr>
                <w:sz w:val="20"/>
                <w:szCs w:val="20"/>
                <w:color w:val="auto"/>
              </w:rPr>
            </w:pPr>
            <w:r>
              <w:rPr>
                <w:rFonts w:ascii="Arial" w:cs="Arial" w:eastAsia="Arial" w:hAnsi="Arial"/>
                <w:sz w:val="18"/>
                <w:szCs w:val="18"/>
                <w:color w:val="auto"/>
                <w:w w:val="89"/>
              </w:rPr>
              <w:t>at 85% of plan or</w:t>
            </w:r>
          </w:p>
        </w:tc>
      </w:tr>
      <w:tr>
        <w:trPr>
          <w:trHeight w:val="222"/>
        </w:trPr>
        <w:tc>
          <w:tcPr>
            <w:tcW w:w="4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40" w:type="dxa"/>
            <w:vAlign w:val="bottom"/>
          </w:tcPr>
          <w:p>
            <w:pPr>
              <w:jc w:val="center"/>
              <w:ind w:left="352"/>
              <w:spacing w:after="0"/>
              <w:rPr>
                <w:sz w:val="20"/>
                <w:szCs w:val="20"/>
                <w:color w:val="auto"/>
              </w:rPr>
            </w:pPr>
            <w:r>
              <w:rPr>
                <w:rFonts w:ascii="Arial" w:cs="Arial" w:eastAsia="Arial" w:hAnsi="Arial"/>
                <w:sz w:val="18"/>
                <w:szCs w:val="18"/>
                <w:color w:val="auto"/>
                <w:w w:val="86"/>
              </w:rPr>
              <w:t>pro rata actual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Target –</w:t>
      </w:r>
    </w:p>
    <w:p>
      <w:pPr>
        <w:spacing w:after="0" w:line="15"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$360.1 million</w:t>
      </w:r>
    </w:p>
    <w:p>
      <w:pPr>
        <w:spacing w:after="0" w:line="1353" w:lineRule="exact"/>
        <w:rPr>
          <w:sz w:val="20"/>
          <w:szCs w:val="20"/>
          <w:color w:val="auto"/>
        </w:rPr>
      </w:pPr>
    </w:p>
    <w:p>
      <w:pPr>
        <w:sectPr>
          <w:pgSz w:w="11900" w:h="16838" w:orient="portrait"/>
          <w:cols w:equalWidth="0" w:num="2">
            <w:col w:w="8700" w:space="720"/>
            <w:col w:w="2020"/>
          </w:cols>
          <w:pgMar w:left="240" w:top="139" w:right="21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vMerge w:val="restart"/>
            <w:shd w:val="clear" w:color="auto" w:fill="EAF9E8"/>
          </w:tcPr>
          <w:p>
            <w:pPr>
              <w:spacing w:after="0"/>
              <w:rPr>
                <w:sz w:val="20"/>
                <w:szCs w:val="20"/>
                <w:color w:val="auto"/>
              </w:rPr>
            </w:pPr>
            <w:r>
              <w:rPr>
                <w:rFonts w:ascii="Arial" w:cs="Arial" w:eastAsia="Arial" w:hAnsi="Arial"/>
                <w:sz w:val="18"/>
                <w:szCs w:val="18"/>
                <w:color w:val="auto"/>
                <w:w w:val="91"/>
              </w:rPr>
              <w:t>Contribute revenue of $15 million in total from any combination</w:t>
            </w:r>
          </w:p>
        </w:tc>
        <w:tc>
          <w:tcPr>
            <w:tcW w:w="100" w:type="dxa"/>
            <w:vAlign w:val="bottom"/>
            <w:shd w:val="clear" w:color="auto" w:fill="EAF9E8"/>
          </w:tcPr>
          <w:p>
            <w:pPr>
              <w:spacing w:after="0"/>
              <w:rPr>
                <w:sz w:val="18"/>
                <w:szCs w:val="18"/>
                <w:color w:val="auto"/>
              </w:rPr>
            </w:pPr>
          </w:p>
        </w:tc>
        <w:tc>
          <w:tcPr>
            <w:tcW w:w="1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Threshold</w:t>
            </w:r>
          </w:p>
        </w:tc>
        <w:tc>
          <w:tcPr>
            <w:tcW w:w="2180" w:type="dxa"/>
            <w:vAlign w:val="bottom"/>
            <w:shd w:val="clear" w:color="auto" w:fill="EAF9E8"/>
          </w:tcPr>
          <w:p>
            <w:pPr>
              <w:jc w:val="center"/>
              <w:ind w:right="52"/>
              <w:spacing w:after="0"/>
              <w:rPr>
                <w:sz w:val="20"/>
                <w:szCs w:val="20"/>
                <w:color w:val="auto"/>
              </w:rPr>
            </w:pPr>
            <w:r>
              <w:rPr>
                <w:rFonts w:ascii="Arial" w:cs="Arial" w:eastAsia="Arial" w:hAnsi="Arial"/>
                <w:sz w:val="18"/>
                <w:szCs w:val="18"/>
                <w:color w:val="auto"/>
                <w:w w:val="92"/>
              </w:rPr>
              <w:t>$10 million</w:t>
            </w:r>
          </w:p>
        </w:tc>
        <w:tc>
          <w:tcPr>
            <w:tcW w:w="29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600" w:type="dxa"/>
            <w:vAlign w:val="bottom"/>
            <w:vMerge w:val="continue"/>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560" w:type="dxa"/>
            <w:vAlign w:val="bottom"/>
            <w:shd w:val="clear" w:color="auto" w:fill="EAF9E8"/>
          </w:tcPr>
          <w:p>
            <w:pPr>
              <w:spacing w:after="0"/>
              <w:rPr>
                <w:sz w:val="12"/>
                <w:szCs w:val="12"/>
                <w:color w:val="auto"/>
              </w:rPr>
            </w:pPr>
          </w:p>
        </w:tc>
        <w:tc>
          <w:tcPr>
            <w:tcW w:w="2180" w:type="dxa"/>
            <w:vAlign w:val="bottom"/>
            <w:shd w:val="clear" w:color="auto" w:fill="EAF9E8"/>
          </w:tcPr>
          <w:p>
            <w:pPr>
              <w:spacing w:after="0"/>
              <w:rPr>
                <w:sz w:val="12"/>
                <w:szCs w:val="12"/>
                <w:color w:val="auto"/>
              </w:rPr>
            </w:pPr>
          </w:p>
        </w:tc>
        <w:tc>
          <w:tcPr>
            <w:tcW w:w="298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87"/>
              </w:rPr>
              <w:t>Outstanding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60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of an Unsecured Collections acquisition, a Residential</w:t>
            </w:r>
          </w:p>
        </w:tc>
        <w:tc>
          <w:tcPr>
            <w:tcW w:w="100" w:type="dxa"/>
            <w:vAlign w:val="bottom"/>
            <w:shd w:val="clear" w:color="auto" w:fill="EAF9E8"/>
          </w:tcPr>
          <w:p>
            <w:pPr>
              <w:spacing w:after="0"/>
              <w:rPr>
                <w:sz w:val="8"/>
                <w:szCs w:val="8"/>
                <w:color w:val="auto"/>
              </w:rPr>
            </w:pPr>
          </w:p>
        </w:tc>
        <w:tc>
          <w:tcPr>
            <w:tcW w:w="156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Target</w:t>
            </w:r>
          </w:p>
        </w:tc>
        <w:tc>
          <w:tcPr>
            <w:tcW w:w="2180" w:type="dxa"/>
            <w:vAlign w:val="bottom"/>
            <w:vMerge w:val="restart"/>
            <w:shd w:val="clear" w:color="auto" w:fill="EAF9E8"/>
          </w:tcPr>
          <w:p>
            <w:pPr>
              <w:jc w:val="center"/>
              <w:ind w:right="52"/>
              <w:spacing w:after="0"/>
              <w:rPr>
                <w:sz w:val="20"/>
                <w:szCs w:val="20"/>
                <w:color w:val="auto"/>
              </w:rPr>
            </w:pPr>
            <w:r>
              <w:rPr>
                <w:rFonts w:ascii="Arial" w:cs="Arial" w:eastAsia="Arial" w:hAnsi="Arial"/>
                <w:sz w:val="18"/>
                <w:szCs w:val="18"/>
                <w:color w:val="auto"/>
                <w:w w:val="92"/>
              </w:rPr>
              <w:t>$15 million</w:t>
            </w:r>
          </w:p>
        </w:tc>
        <w:tc>
          <w:tcPr>
            <w:tcW w:w="2980" w:type="dxa"/>
            <w:vAlign w:val="bottom"/>
            <w:vMerge w:val="continue"/>
            <w:shd w:val="clear" w:color="auto" w:fill="EAF9E8"/>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600" w:type="dxa"/>
            <w:vAlign w:val="bottom"/>
            <w:vMerge w:val="continue"/>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560" w:type="dxa"/>
            <w:vAlign w:val="bottom"/>
            <w:vMerge w:val="continue"/>
            <w:shd w:val="clear" w:color="auto" w:fill="EAF9E8"/>
          </w:tcPr>
          <w:p>
            <w:pPr>
              <w:spacing w:after="0"/>
              <w:rPr>
                <w:sz w:val="10"/>
                <w:szCs w:val="10"/>
                <w:color w:val="auto"/>
              </w:rPr>
            </w:pPr>
          </w:p>
        </w:tc>
        <w:tc>
          <w:tcPr>
            <w:tcW w:w="2180" w:type="dxa"/>
            <w:vAlign w:val="bottom"/>
            <w:vMerge w:val="continue"/>
            <w:shd w:val="clear" w:color="auto" w:fill="EAF9E8"/>
          </w:tcPr>
          <w:p>
            <w:pPr>
              <w:spacing w:after="0"/>
              <w:rPr>
                <w:sz w:val="10"/>
                <w:szCs w:val="10"/>
                <w:color w:val="auto"/>
              </w:rPr>
            </w:pPr>
          </w:p>
        </w:tc>
        <w:tc>
          <w:tcPr>
            <w:tcW w:w="2980" w:type="dxa"/>
            <w:vAlign w:val="bottom"/>
            <w:vMerge w:val="restart"/>
            <w:shd w:val="clear" w:color="auto" w:fill="EAF9E8"/>
          </w:tcPr>
          <w:p>
            <w:pPr>
              <w:jc w:val="center"/>
              <w:spacing w:after="0"/>
              <w:rPr>
                <w:sz w:val="20"/>
                <w:szCs w:val="20"/>
                <w:color w:val="auto"/>
              </w:rPr>
            </w:pPr>
            <w:r>
              <w:rPr>
                <w:rFonts w:ascii="Arial" w:cs="Arial" w:eastAsia="Arial" w:hAnsi="Arial"/>
                <w:sz w:val="18"/>
                <w:szCs w:val="18"/>
                <w:color w:val="auto"/>
                <w:w w:val="92"/>
              </w:rPr>
              <w:t>$36.0 million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600" w:type="dxa"/>
            <w:vAlign w:val="bottom"/>
            <w:vMerge w:val="restart"/>
            <w:shd w:val="clear" w:color="auto" w:fill="EAF9E8"/>
          </w:tcPr>
          <w:p>
            <w:pPr>
              <w:spacing w:after="0"/>
              <w:rPr>
                <w:sz w:val="20"/>
                <w:szCs w:val="20"/>
                <w:color w:val="auto"/>
              </w:rPr>
            </w:pPr>
            <w:r>
              <w:rPr>
                <w:rFonts w:ascii="Arial" w:cs="Arial" w:eastAsia="Arial" w:hAnsi="Arial"/>
                <w:sz w:val="18"/>
                <w:szCs w:val="18"/>
                <w:color w:val="auto"/>
              </w:rPr>
              <w:t>Origination Services acquisition and organic growth</w:t>
            </w:r>
          </w:p>
        </w:tc>
        <w:tc>
          <w:tcPr>
            <w:tcW w:w="100" w:type="dxa"/>
            <w:vAlign w:val="bottom"/>
            <w:shd w:val="clear" w:color="auto" w:fill="EAF9E8"/>
          </w:tcPr>
          <w:p>
            <w:pPr>
              <w:spacing w:after="0"/>
              <w:rPr>
                <w:sz w:val="9"/>
                <w:szCs w:val="9"/>
                <w:color w:val="auto"/>
              </w:rPr>
            </w:pPr>
          </w:p>
        </w:tc>
        <w:tc>
          <w:tcPr>
            <w:tcW w:w="1560" w:type="dxa"/>
            <w:vAlign w:val="bottom"/>
            <w:vMerge w:val="restart"/>
            <w:shd w:val="clear" w:color="auto" w:fill="EAF9E8"/>
          </w:tcPr>
          <w:p>
            <w:pPr>
              <w:ind w:left="160"/>
              <w:spacing w:after="0"/>
              <w:rPr>
                <w:sz w:val="20"/>
                <w:szCs w:val="20"/>
                <w:color w:val="auto"/>
              </w:rPr>
            </w:pPr>
            <w:r>
              <w:rPr>
                <w:rFonts w:ascii="Arial" w:cs="Arial" w:eastAsia="Arial" w:hAnsi="Arial"/>
                <w:sz w:val="18"/>
                <w:szCs w:val="18"/>
                <w:color w:val="auto"/>
              </w:rPr>
              <w:t>Outstanding</w:t>
            </w:r>
          </w:p>
        </w:tc>
        <w:tc>
          <w:tcPr>
            <w:tcW w:w="2180" w:type="dxa"/>
            <w:vAlign w:val="bottom"/>
            <w:vMerge w:val="restart"/>
            <w:shd w:val="clear" w:color="auto" w:fill="EAF9E8"/>
          </w:tcPr>
          <w:p>
            <w:pPr>
              <w:jc w:val="center"/>
              <w:ind w:right="52"/>
              <w:spacing w:after="0"/>
              <w:rPr>
                <w:sz w:val="20"/>
                <w:szCs w:val="20"/>
                <w:color w:val="auto"/>
              </w:rPr>
            </w:pPr>
            <w:r>
              <w:rPr>
                <w:rFonts w:ascii="Arial" w:cs="Arial" w:eastAsia="Arial" w:hAnsi="Arial"/>
                <w:sz w:val="18"/>
                <w:szCs w:val="18"/>
                <w:color w:val="auto"/>
                <w:w w:val="92"/>
              </w:rPr>
              <w:t>$20 million</w:t>
            </w:r>
          </w:p>
        </w:tc>
        <w:tc>
          <w:tcPr>
            <w:tcW w:w="2980" w:type="dxa"/>
            <w:vAlign w:val="bottom"/>
            <w:vMerge w:val="continue"/>
            <w:shd w:val="clear" w:color="auto" w:fill="EAF9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600" w:type="dxa"/>
            <w:vAlign w:val="bottom"/>
            <w:vMerge w:val="continue"/>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560" w:type="dxa"/>
            <w:vAlign w:val="bottom"/>
            <w:vMerge w:val="continue"/>
            <w:shd w:val="clear" w:color="auto" w:fill="EAF9E8"/>
          </w:tcPr>
          <w:p>
            <w:pPr>
              <w:spacing w:after="0"/>
              <w:rPr>
                <w:sz w:val="10"/>
                <w:szCs w:val="10"/>
                <w:color w:val="auto"/>
              </w:rPr>
            </w:pPr>
          </w:p>
        </w:tc>
        <w:tc>
          <w:tcPr>
            <w:tcW w:w="2180" w:type="dxa"/>
            <w:vAlign w:val="bottom"/>
            <w:vMerge w:val="continue"/>
            <w:shd w:val="clear" w:color="auto" w:fill="EAF9E8"/>
          </w:tcPr>
          <w:p>
            <w:pPr>
              <w:spacing w:after="0"/>
              <w:rPr>
                <w:sz w:val="10"/>
                <w:szCs w:val="10"/>
                <w:color w:val="auto"/>
              </w:rPr>
            </w:pPr>
          </w:p>
        </w:tc>
        <w:tc>
          <w:tcPr>
            <w:tcW w:w="2980" w:type="dxa"/>
            <w:vAlign w:val="bottom"/>
            <w:shd w:val="clear" w:color="auto" w:fill="EAF9E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560" w:type="dxa"/>
            <w:vAlign w:val="bottom"/>
            <w:vMerge w:val="continue"/>
            <w:shd w:val="clear" w:color="auto" w:fill="EAF9E8"/>
          </w:tcPr>
          <w:p>
            <w:pPr>
              <w:spacing w:after="0"/>
              <w:rPr>
                <w:sz w:val="12"/>
                <w:szCs w:val="12"/>
                <w:color w:val="auto"/>
              </w:rPr>
            </w:pPr>
          </w:p>
        </w:tc>
        <w:tc>
          <w:tcPr>
            <w:tcW w:w="2180" w:type="dxa"/>
            <w:vAlign w:val="bottom"/>
            <w:vMerge w:val="continue"/>
            <w:shd w:val="clear" w:color="auto" w:fill="EAF9E8"/>
          </w:tcPr>
          <w:p>
            <w:pPr>
              <w:spacing w:after="0"/>
              <w:rPr>
                <w:sz w:val="12"/>
                <w:szCs w:val="12"/>
                <w:color w:val="auto"/>
              </w:rPr>
            </w:pPr>
          </w:p>
        </w:tc>
        <w:tc>
          <w:tcPr>
            <w:tcW w:w="298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Threshold</w:t>
            </w:r>
          </w:p>
        </w:tc>
        <w:tc>
          <w:tcPr>
            <w:tcW w:w="2180" w:type="dxa"/>
            <w:vAlign w:val="bottom"/>
          </w:tcPr>
          <w:p>
            <w:pPr>
              <w:jc w:val="center"/>
              <w:ind w:right="52"/>
              <w:spacing w:after="0"/>
              <w:rPr>
                <w:sz w:val="20"/>
                <w:szCs w:val="20"/>
                <w:color w:val="auto"/>
              </w:rPr>
            </w:pPr>
            <w:r>
              <w:rPr>
                <w:rFonts w:ascii="Arial" w:cs="Arial" w:eastAsia="Arial" w:hAnsi="Arial"/>
                <w:sz w:val="18"/>
                <w:szCs w:val="18"/>
                <w:color w:val="auto"/>
                <w:w w:val="94"/>
              </w:rPr>
              <w:t>$12.9 million</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w w:val="89"/>
              </w:rPr>
              <w:t>Achieve Refinance and Statement Marketing combined revenue</w:t>
            </w:r>
          </w:p>
        </w:tc>
        <w:tc>
          <w:tcPr>
            <w:tcW w:w="100" w:type="dxa"/>
            <w:vAlign w:val="bottom"/>
          </w:tcPr>
          <w:p>
            <w:pPr>
              <w:spacing w:after="0"/>
              <w:rPr>
                <w:sz w:val="21"/>
                <w:szCs w:val="21"/>
                <w:color w:val="auto"/>
              </w:rPr>
            </w:pPr>
          </w:p>
        </w:tc>
        <w:tc>
          <w:tcPr>
            <w:tcW w:w="1560" w:type="dxa"/>
            <w:vAlign w:val="bottom"/>
            <w:vMerge w:val="restart"/>
          </w:tcPr>
          <w:p>
            <w:pPr>
              <w:ind w:left="160"/>
              <w:spacing w:after="0"/>
              <w:rPr>
                <w:sz w:val="20"/>
                <w:szCs w:val="20"/>
                <w:color w:val="auto"/>
              </w:rPr>
            </w:pPr>
            <w:r>
              <w:rPr>
                <w:rFonts w:ascii="Arial" w:cs="Arial" w:eastAsia="Arial" w:hAnsi="Arial"/>
                <w:sz w:val="18"/>
                <w:szCs w:val="18"/>
                <w:color w:val="auto"/>
              </w:rPr>
              <w:t>Target</w:t>
            </w:r>
          </w:p>
        </w:tc>
        <w:tc>
          <w:tcPr>
            <w:tcW w:w="2180" w:type="dxa"/>
            <w:vAlign w:val="bottom"/>
            <w:vMerge w:val="restart"/>
          </w:tcPr>
          <w:p>
            <w:pPr>
              <w:jc w:val="center"/>
              <w:ind w:right="52"/>
              <w:spacing w:after="0"/>
              <w:rPr>
                <w:sz w:val="20"/>
                <w:szCs w:val="20"/>
                <w:color w:val="auto"/>
              </w:rPr>
            </w:pPr>
            <w:r>
              <w:rPr>
                <w:rFonts w:ascii="Arial" w:cs="Arial" w:eastAsia="Arial" w:hAnsi="Arial"/>
                <w:sz w:val="18"/>
                <w:szCs w:val="18"/>
                <w:color w:val="auto"/>
                <w:w w:val="94"/>
              </w:rPr>
              <w:t>$14.3 million</w:t>
            </w:r>
          </w:p>
        </w:tc>
        <w:tc>
          <w:tcPr>
            <w:tcW w:w="2980" w:type="dxa"/>
            <w:vAlign w:val="bottom"/>
          </w:tcPr>
          <w:p>
            <w:pPr>
              <w:jc w:val="center"/>
              <w:spacing w:after="0"/>
              <w:rPr>
                <w:sz w:val="20"/>
                <w:szCs w:val="20"/>
                <w:color w:val="auto"/>
              </w:rPr>
            </w:pPr>
            <w:r>
              <w:rPr>
                <w:rFonts w:ascii="Arial" w:cs="Arial" w:eastAsia="Arial" w:hAnsi="Arial"/>
                <w:sz w:val="18"/>
                <w:szCs w:val="18"/>
                <w:color w:val="auto"/>
                <w:w w:val="89"/>
              </w:rPr>
              <w:t>Below Threshold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4600" w:type="dxa"/>
            <w:vAlign w:val="bottom"/>
            <w:vMerge w:val="restart"/>
          </w:tcPr>
          <w:p>
            <w:pPr>
              <w:spacing w:after="0"/>
              <w:rPr>
                <w:sz w:val="20"/>
                <w:szCs w:val="20"/>
                <w:color w:val="auto"/>
              </w:rPr>
            </w:pPr>
            <w:r>
              <w:rPr>
                <w:rFonts w:ascii="Arial" w:cs="Arial" w:eastAsia="Arial" w:hAnsi="Arial"/>
                <w:sz w:val="18"/>
                <w:szCs w:val="18"/>
                <w:color w:val="auto"/>
              </w:rPr>
              <w:t>of $14.3 million</w:t>
            </w:r>
          </w:p>
        </w:tc>
        <w:tc>
          <w:tcPr>
            <w:tcW w:w="1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2980" w:type="dxa"/>
            <w:vAlign w:val="bottom"/>
            <w:vMerge w:val="restart"/>
          </w:tcPr>
          <w:p>
            <w:pPr>
              <w:jc w:val="center"/>
              <w:spacing w:after="0"/>
              <w:rPr>
                <w:sz w:val="20"/>
                <w:szCs w:val="20"/>
                <w:color w:val="auto"/>
              </w:rPr>
            </w:pPr>
            <w:r>
              <w:rPr>
                <w:rFonts w:ascii="Arial" w:cs="Arial" w:eastAsia="Arial" w:hAnsi="Arial"/>
                <w:sz w:val="18"/>
                <w:szCs w:val="18"/>
                <w:color w:val="auto"/>
                <w:w w:val="94"/>
              </w:rPr>
              <w:t>$7.1 million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2180" w:type="dxa"/>
            <w:vAlign w:val="bottom"/>
          </w:tcPr>
          <w:p>
            <w:pPr>
              <w:jc w:val="center"/>
              <w:ind w:right="52"/>
              <w:spacing w:after="0"/>
              <w:rPr>
                <w:sz w:val="20"/>
                <w:szCs w:val="20"/>
                <w:color w:val="auto"/>
              </w:rPr>
            </w:pPr>
            <w:r>
              <w:rPr>
                <w:rFonts w:ascii="Arial" w:cs="Arial" w:eastAsia="Arial" w:hAnsi="Arial"/>
                <w:sz w:val="18"/>
                <w:szCs w:val="18"/>
                <w:color w:val="auto"/>
                <w:w w:val="94"/>
              </w:rPr>
              <w:t>$15.7 million</w:t>
            </w:r>
          </w:p>
        </w:tc>
        <w:tc>
          <w:tcPr>
            <w:tcW w:w="2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While our corporate performance against the strategic initiatives established for 2007 attained an Outstanding level of achievement, the company’s achievement on the revenue and pre-tax income key performance indicators fell below the Target and Threshold levels, respectively. In developing the financial performance indicators of the corporate scorecard in conjunction with management, we utilized historical data and trends for servicing fee and late fee collection rates with an assumption that such trends would continue during 2007. However, the actual collection rates on these fees fell far below what our historical analysis could have indicated due to the mortgage market’s rapid deterioration in the middle of 2007. Since we account for servicing fees and late fees on a cash basis in our financial statements, the reduced collection rates impacted our performance against the financial indicators significantly. Had our historical collection rates on servicing and late fees continued as expected or had we accounted for revenue and earnings on an accrual basis, our performance on the financial indicators of the scorecard would have exceeded Outstanding performance for the revenue indicator and reached Target performance on the pre-tax income indicator. Despite the lengthening collection time frames, we expect to collect substantially all of the uncollected servicing fees and approximately 75% of the uncollected late fees in the future.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type w:val="continuous"/>
        </w:sectPr>
      </w:pPr>
    </w:p>
    <w:bookmarkStart w:id="23" w:name="page24"/>
    <w:bookmarkEnd w:id="23"/>
    <w:p>
      <w:pPr>
        <w:spacing w:after="0" w:line="288" w:lineRule="auto"/>
        <w:rPr>
          <w:sz w:val="20"/>
          <w:szCs w:val="20"/>
          <w:color w:val="auto"/>
        </w:rPr>
      </w:pPr>
      <w:r>
        <w:rPr>
          <w:rFonts w:ascii="Arial" w:cs="Arial" w:eastAsia="Arial" w:hAnsi="Arial"/>
          <w:sz w:val="16"/>
          <w:szCs w:val="16"/>
          <w:color w:val="auto"/>
        </w:rPr>
        <w:t>Although we believe that the goals were appropriate and fair at the time of establishment and it would be inappropriate to simply change the targets or our accounting treatment at this point, the industry within which we operate suffered an extreme dislocation beyond initial expectations during the evaluation period resulting in unprecedented levels of delinquencies. This, in turn, had a negative impact on our cash collections leading to reduced revenue and pre-tax income. Thus, the extraordinary conditions that affected our financial performance as measured by the corporate scorecard negatively impacted the initial calculation for the 2007 incentives in an unintended fashion. Therefore, it was the Committee’s opinion that to approve the awards based solely on these calculations would have the result of failing to reward senior management for extraordinary efforts made to effectively lead the company through an unexpected and dramatic downturn in the mortgage market. It is the Committee’s opinion that the ultimate performance of the company must be considered in comparison to the prevailing market conditions and the performance of the industry as a whole. As mentioned above, our company not only survived, when many others in our industry did not, but was profitable, grew revenue and grew its portfolio of serviced loans.</w:t>
      </w:r>
    </w:p>
    <w:p>
      <w:pPr>
        <w:spacing w:after="0" w:line="17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addition, through the extraordinary hard work and commitment of senior management in 2007, the company has positioned itself to take advantage of the opportunities created by the mortgage market dislocation. This is reflected in management’s achievement against the strategic initiatives established for 2007 at an Outstanding level, which included the strategic acquisition of NCI; establishment of special investment vehicles; cost-reducing improvements in customer satisfaction; completion of the BMS transaction recovering our entire initial investment; and achievement of a record number of loan resolutions.</w:t>
      </w:r>
    </w:p>
    <w:p>
      <w:pPr>
        <w:spacing w:after="0" w:line="16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Furthermore, the Compensation Committee recognizes the importance of stability and commitment among a management group that possesses extensive experience in the management of distressed assets. In light of the instability in the mortgage market, it has become apparent that increased efforts to retain key executives are necessary. As a service provider with a global workforce, this need is only magnified given the location of our senior management in both the United States and abroad, where attracting and retaining high quality management is challenging yet critical to our effective and efficient performance over the long term. To allow these managers’ incentives to be fully impacted by the unintended negative results noted above would increase the risk of attrition.</w:t>
      </w:r>
    </w:p>
    <w:p>
      <w:pPr>
        <w:spacing w:after="0" w:line="17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Based on the above factors, the Compensation Committee decided that it was in the best interests of the company to recognize a discretionary award to certain executives and employees. In most cases, the discretionary awards range from five to ten percent of the employee’s Target incentive and represent a partial remediation for the unintended negative effect that the market disruption had on the incentive awards for these individuals.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personal scorecards for our other executive officers and their corresponding levels of achievement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4"/>
              </w:rPr>
              <w:t>2007 Scorecard</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center"/>
              <w:ind w:right="72"/>
              <w:spacing w:after="0"/>
              <w:rPr>
                <w:sz w:val="20"/>
                <w:szCs w:val="20"/>
                <w:color w:val="auto"/>
              </w:rPr>
            </w:pPr>
            <w:r>
              <w:rPr>
                <w:rFonts w:ascii="Arial" w:cs="Arial" w:eastAsia="Arial" w:hAnsi="Arial"/>
                <w:sz w:val="14"/>
                <w:szCs w:val="14"/>
                <w:b w:val="1"/>
                <w:bCs w:val="1"/>
                <w:color w:val="auto"/>
                <w:w w:val="86"/>
              </w:rPr>
              <w:t>Achievement Levels</w:t>
            </w:r>
          </w:p>
        </w:tc>
        <w:tc>
          <w:tcPr>
            <w:tcW w:w="1720" w:type="dxa"/>
            <w:vAlign w:val="bottom"/>
          </w:tcPr>
          <w:p>
            <w:pPr>
              <w:spacing w:after="0"/>
              <w:rPr>
                <w:sz w:val="15"/>
                <w:szCs w:val="15"/>
                <w:color w:val="auto"/>
              </w:rPr>
            </w:pPr>
          </w:p>
        </w:tc>
        <w:tc>
          <w:tcPr>
            <w:tcW w:w="1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Level</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Threshold</w:t>
            </w:r>
          </w:p>
        </w:tc>
        <w:tc>
          <w:tcPr>
            <w:tcW w:w="100" w:type="dxa"/>
            <w:vAlign w:val="bottom"/>
          </w:tcPr>
          <w:p>
            <w:pPr>
              <w:spacing w:after="0" w:line="20" w:lineRule="exact"/>
              <w:rPr>
                <w:sz w:val="1"/>
                <w:szCs w:val="1"/>
                <w:color w:val="auto"/>
              </w:rPr>
            </w:pPr>
          </w:p>
        </w:tc>
        <w:tc>
          <w:tcPr>
            <w:tcW w:w="18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8"/>
              </w:rPr>
              <w:t>Target</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Achieved</w:t>
            </w:r>
          </w:p>
        </w:tc>
        <w:tc>
          <w:tcPr>
            <w:tcW w:w="0" w:type="dxa"/>
            <w:vAlign w:val="bottom"/>
          </w:tcPr>
          <w:p>
            <w:pPr>
              <w:spacing w:after="0" w:line="20" w:lineRule="exact"/>
              <w:rPr>
                <w:sz w:val="1"/>
                <w:szCs w:val="1"/>
                <w:color w:val="auto"/>
              </w:rPr>
            </w:pPr>
          </w:p>
        </w:tc>
      </w:tr>
      <w:tr>
        <w:trPr>
          <w:trHeight w:val="142"/>
        </w:trPr>
        <w:tc>
          <w:tcPr>
            <w:tcW w:w="11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Elements</w:t>
            </w: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160" w:type="dxa"/>
            <w:vAlign w:val="bottom"/>
            <w:shd w:val="clear" w:color="auto" w:fill="EAF9E8"/>
          </w:tcPr>
          <w:p>
            <w:pPr>
              <w:spacing w:after="0"/>
              <w:rPr>
                <w:sz w:val="11"/>
                <w:szCs w:val="11"/>
                <w:color w:val="auto"/>
              </w:rPr>
            </w:pPr>
          </w:p>
        </w:tc>
        <w:tc>
          <w:tcPr>
            <w:tcW w:w="580" w:type="dxa"/>
            <w:vAlign w:val="bottom"/>
            <w:shd w:val="clear" w:color="auto" w:fill="EAF9E8"/>
          </w:tcPr>
          <w:p>
            <w:pPr>
              <w:jc w:val="center"/>
              <w:spacing w:after="0" w:line="138" w:lineRule="exact"/>
              <w:rPr>
                <w:sz w:val="20"/>
                <w:szCs w:val="20"/>
                <w:color w:val="auto"/>
              </w:rPr>
            </w:pPr>
            <w:r>
              <w:rPr>
                <w:rFonts w:ascii="Arial" w:cs="Arial" w:eastAsia="Arial" w:hAnsi="Arial"/>
                <w:sz w:val="14"/>
                <w:szCs w:val="14"/>
                <w:color w:val="auto"/>
                <w:w w:val="92"/>
              </w:rPr>
              <w:t>33%</w:t>
            </w:r>
          </w:p>
        </w:tc>
        <w:tc>
          <w:tcPr>
            <w:tcW w:w="120" w:type="dxa"/>
            <w:vAlign w:val="bottom"/>
            <w:shd w:val="clear" w:color="auto" w:fill="EAF9E8"/>
          </w:tcPr>
          <w:p>
            <w:pPr>
              <w:spacing w:after="0"/>
              <w:rPr>
                <w:sz w:val="11"/>
                <w:szCs w:val="11"/>
                <w:color w:val="auto"/>
              </w:rPr>
            </w:pPr>
          </w:p>
        </w:tc>
        <w:tc>
          <w:tcPr>
            <w:tcW w:w="2420" w:type="dxa"/>
            <w:vAlign w:val="bottom"/>
            <w:gridSpan w:val="4"/>
            <w:shd w:val="clear" w:color="auto" w:fill="EAF9E8"/>
          </w:tcPr>
          <w:p>
            <w:pPr>
              <w:jc w:val="center"/>
              <w:ind w:right="120"/>
              <w:spacing w:after="0" w:line="138" w:lineRule="exact"/>
              <w:rPr>
                <w:sz w:val="20"/>
                <w:szCs w:val="20"/>
                <w:color w:val="auto"/>
              </w:rPr>
            </w:pPr>
            <w:r>
              <w:rPr>
                <w:rFonts w:ascii="Arial" w:cs="Arial" w:eastAsia="Arial" w:hAnsi="Arial"/>
                <w:sz w:val="14"/>
                <w:szCs w:val="14"/>
                <w:color w:val="auto"/>
                <w:w w:val="87"/>
              </w:rPr>
              <w:t>Achieve pre-tax income (before taxes and</w:t>
            </w:r>
          </w:p>
        </w:tc>
        <w:tc>
          <w:tcPr>
            <w:tcW w:w="1720" w:type="dxa"/>
            <w:vAlign w:val="bottom"/>
            <w:shd w:val="clear" w:color="auto" w:fill="EAF9E8"/>
          </w:tcPr>
          <w:p>
            <w:pPr>
              <w:jc w:val="center"/>
              <w:spacing w:after="0" w:line="138" w:lineRule="exact"/>
              <w:rPr>
                <w:sz w:val="20"/>
                <w:szCs w:val="20"/>
                <w:color w:val="auto"/>
              </w:rPr>
            </w:pPr>
            <w:r>
              <w:rPr>
                <w:rFonts w:ascii="Arial" w:cs="Arial" w:eastAsia="Arial" w:hAnsi="Arial"/>
                <w:sz w:val="14"/>
                <w:szCs w:val="14"/>
                <w:color w:val="auto"/>
                <w:w w:val="94"/>
              </w:rPr>
              <w:t>$96.2 million</w:t>
            </w:r>
          </w:p>
        </w:tc>
        <w:tc>
          <w:tcPr>
            <w:tcW w:w="100" w:type="dxa"/>
            <w:vAlign w:val="bottom"/>
            <w:shd w:val="clear" w:color="auto" w:fill="EAF9E8"/>
          </w:tcPr>
          <w:p>
            <w:pPr>
              <w:spacing w:after="0"/>
              <w:rPr>
                <w:sz w:val="11"/>
                <w:szCs w:val="11"/>
                <w:color w:val="auto"/>
              </w:rPr>
            </w:pPr>
          </w:p>
        </w:tc>
        <w:tc>
          <w:tcPr>
            <w:tcW w:w="1820" w:type="dxa"/>
            <w:vAlign w:val="bottom"/>
            <w:shd w:val="clear" w:color="auto" w:fill="EAF9E8"/>
          </w:tcPr>
          <w:p>
            <w:pPr>
              <w:jc w:val="center"/>
              <w:ind w:right="52"/>
              <w:spacing w:after="0" w:line="138" w:lineRule="exact"/>
              <w:rPr>
                <w:sz w:val="20"/>
                <w:szCs w:val="20"/>
                <w:color w:val="auto"/>
              </w:rPr>
            </w:pPr>
            <w:r>
              <w:rPr>
                <w:rFonts w:ascii="Arial" w:cs="Arial" w:eastAsia="Arial" w:hAnsi="Arial"/>
                <w:sz w:val="14"/>
                <w:szCs w:val="14"/>
                <w:color w:val="auto"/>
                <w:w w:val="90"/>
              </w:rPr>
              <w:t>$113.2 million</w:t>
            </w:r>
          </w:p>
        </w:tc>
        <w:tc>
          <w:tcPr>
            <w:tcW w:w="1720" w:type="dxa"/>
            <w:vAlign w:val="bottom"/>
            <w:shd w:val="clear" w:color="auto" w:fill="EAF9E8"/>
          </w:tcPr>
          <w:p>
            <w:pPr>
              <w:jc w:val="center"/>
              <w:spacing w:after="0" w:line="138" w:lineRule="exact"/>
              <w:rPr>
                <w:sz w:val="20"/>
                <w:szCs w:val="20"/>
                <w:color w:val="auto"/>
              </w:rPr>
            </w:pPr>
            <w:r>
              <w:rPr>
                <w:rFonts w:ascii="Arial" w:cs="Arial" w:eastAsia="Arial" w:hAnsi="Arial"/>
                <w:sz w:val="14"/>
                <w:szCs w:val="14"/>
                <w:color w:val="auto"/>
                <w:w w:val="92"/>
              </w:rPr>
              <w:t>$130.2 million</w:t>
            </w:r>
          </w:p>
        </w:tc>
        <w:tc>
          <w:tcPr>
            <w:tcW w:w="1780" w:type="dxa"/>
            <w:vAlign w:val="bottom"/>
            <w:shd w:val="clear" w:color="auto" w:fill="EAF9E8"/>
          </w:tcPr>
          <w:p>
            <w:pPr>
              <w:jc w:val="center"/>
              <w:ind w:left="12"/>
              <w:spacing w:after="0" w:line="138" w:lineRule="exact"/>
              <w:rPr>
                <w:sz w:val="20"/>
                <w:szCs w:val="20"/>
                <w:color w:val="auto"/>
              </w:rPr>
            </w:pPr>
            <w:r>
              <w:rPr>
                <w:rFonts w:ascii="Arial" w:cs="Arial" w:eastAsia="Arial" w:hAnsi="Arial"/>
                <w:sz w:val="14"/>
                <w:szCs w:val="14"/>
                <w:color w:val="auto"/>
                <w:w w:val="90"/>
              </w:rPr>
              <w:t>Below Threshold</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60" w:type="dxa"/>
            <w:vAlign w:val="bottom"/>
            <w:shd w:val="clear" w:color="auto" w:fill="EAF9E8"/>
          </w:tcPr>
          <w:p>
            <w:pPr>
              <w:spacing w:after="0"/>
              <w:rPr>
                <w:sz w:val="13"/>
                <w:szCs w:val="13"/>
                <w:color w:val="auto"/>
              </w:rPr>
            </w:pPr>
          </w:p>
        </w:tc>
        <w:tc>
          <w:tcPr>
            <w:tcW w:w="5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2420" w:type="dxa"/>
            <w:vAlign w:val="bottom"/>
            <w:gridSpan w:val="4"/>
            <w:shd w:val="clear" w:color="auto" w:fill="EAF9E8"/>
          </w:tcPr>
          <w:p>
            <w:pPr>
              <w:jc w:val="center"/>
              <w:ind w:right="120"/>
              <w:spacing w:after="0" w:line="159" w:lineRule="exact"/>
              <w:rPr>
                <w:sz w:val="20"/>
                <w:szCs w:val="20"/>
                <w:color w:val="auto"/>
              </w:rPr>
            </w:pPr>
            <w:r>
              <w:rPr>
                <w:rFonts w:ascii="Arial" w:cs="Arial" w:eastAsia="Arial" w:hAnsi="Arial"/>
                <w:sz w:val="14"/>
                <w:szCs w:val="14"/>
                <w:color w:val="auto"/>
                <w:w w:val="88"/>
              </w:rPr>
              <w:t>extraordinary items)</w:t>
            </w:r>
          </w:p>
        </w:tc>
        <w:tc>
          <w:tcPr>
            <w:tcW w:w="17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820" w:type="dxa"/>
            <w:vAlign w:val="bottom"/>
            <w:shd w:val="clear" w:color="auto" w:fill="EAF9E8"/>
          </w:tcPr>
          <w:p>
            <w:pPr>
              <w:spacing w:after="0"/>
              <w:rPr>
                <w:sz w:val="13"/>
                <w:szCs w:val="13"/>
                <w:color w:val="auto"/>
              </w:rPr>
            </w:pPr>
          </w:p>
        </w:tc>
        <w:tc>
          <w:tcPr>
            <w:tcW w:w="1720" w:type="dxa"/>
            <w:vAlign w:val="bottom"/>
            <w:shd w:val="clear" w:color="auto" w:fill="EAF9E8"/>
          </w:tcPr>
          <w:p>
            <w:pPr>
              <w:spacing w:after="0"/>
              <w:rPr>
                <w:sz w:val="13"/>
                <w:szCs w:val="13"/>
                <w:color w:val="auto"/>
              </w:rPr>
            </w:pPr>
          </w:p>
        </w:tc>
        <w:tc>
          <w:tcPr>
            <w:tcW w:w="1780" w:type="dxa"/>
            <w:vAlign w:val="bottom"/>
            <w:shd w:val="clear" w:color="auto" w:fill="EAF9E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160" w:type="dxa"/>
            <w:vAlign w:val="bottom"/>
            <w:shd w:val="clear" w:color="auto" w:fill="EAF9E8"/>
          </w:tcPr>
          <w:p>
            <w:pPr>
              <w:spacing w:after="0"/>
              <w:rPr>
                <w:sz w:val="20"/>
                <w:szCs w:val="20"/>
                <w:color w:val="auto"/>
              </w:rPr>
            </w:pPr>
            <w:r>
              <w:rPr>
                <w:rFonts w:ascii="Arial" w:cs="Arial" w:eastAsia="Arial" w:hAnsi="Arial"/>
                <w:sz w:val="14"/>
                <w:szCs w:val="14"/>
                <w:color w:val="auto"/>
              </w:rPr>
              <w:t>Ronald M. Faris</w:t>
            </w:r>
          </w:p>
        </w:tc>
        <w:tc>
          <w:tcPr>
            <w:tcW w:w="58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2"/>
              </w:rPr>
              <w:t>33%</w:t>
            </w:r>
          </w:p>
        </w:tc>
        <w:tc>
          <w:tcPr>
            <w:tcW w:w="120" w:type="dxa"/>
            <w:vAlign w:val="bottom"/>
            <w:shd w:val="clear" w:color="auto" w:fill="EAF9E8"/>
          </w:tcPr>
          <w:p>
            <w:pPr>
              <w:spacing w:after="0"/>
              <w:rPr>
                <w:sz w:val="24"/>
                <w:szCs w:val="24"/>
                <w:color w:val="auto"/>
              </w:rPr>
            </w:pPr>
          </w:p>
        </w:tc>
        <w:tc>
          <w:tcPr>
            <w:tcW w:w="2300" w:type="dxa"/>
            <w:vAlign w:val="bottom"/>
            <w:gridSpan w:val="3"/>
            <w:shd w:val="clear" w:color="auto" w:fill="EAF9E8"/>
          </w:tcPr>
          <w:p>
            <w:pPr>
              <w:jc w:val="center"/>
              <w:spacing w:after="0"/>
              <w:rPr>
                <w:sz w:val="20"/>
                <w:szCs w:val="20"/>
                <w:color w:val="auto"/>
              </w:rPr>
            </w:pPr>
            <w:r>
              <w:rPr>
                <w:rFonts w:ascii="Arial" w:cs="Arial" w:eastAsia="Arial" w:hAnsi="Arial"/>
                <w:sz w:val="14"/>
                <w:szCs w:val="14"/>
                <w:color w:val="auto"/>
                <w:w w:val="87"/>
              </w:rPr>
              <w:t>Improve revenue</w:t>
            </w: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2"/>
              </w:rPr>
              <w:t>$418.7 million</w:t>
            </w:r>
          </w:p>
        </w:tc>
        <w:tc>
          <w:tcPr>
            <w:tcW w:w="100" w:type="dxa"/>
            <w:vAlign w:val="bottom"/>
            <w:shd w:val="clear" w:color="auto" w:fill="EAF9E8"/>
          </w:tcPr>
          <w:p>
            <w:pPr>
              <w:spacing w:after="0"/>
              <w:rPr>
                <w:sz w:val="24"/>
                <w:szCs w:val="24"/>
                <w:color w:val="auto"/>
              </w:rPr>
            </w:pPr>
          </w:p>
        </w:tc>
        <w:tc>
          <w:tcPr>
            <w:tcW w:w="1820" w:type="dxa"/>
            <w:vAlign w:val="bottom"/>
            <w:shd w:val="clear" w:color="auto" w:fill="EAF9E8"/>
          </w:tcPr>
          <w:p>
            <w:pPr>
              <w:jc w:val="center"/>
              <w:ind w:right="52"/>
              <w:spacing w:after="0"/>
              <w:rPr>
                <w:sz w:val="20"/>
                <w:szCs w:val="20"/>
                <w:color w:val="auto"/>
              </w:rPr>
            </w:pPr>
            <w:r>
              <w:rPr>
                <w:rFonts w:ascii="Arial" w:cs="Arial" w:eastAsia="Arial" w:hAnsi="Arial"/>
                <w:sz w:val="14"/>
                <w:szCs w:val="14"/>
                <w:color w:val="auto"/>
                <w:w w:val="90"/>
              </w:rPr>
              <w:t>$440.7 million</w:t>
            </w:r>
          </w:p>
        </w:tc>
        <w:tc>
          <w:tcPr>
            <w:tcW w:w="17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2"/>
              </w:rPr>
              <w:t>$462.8 million</w:t>
            </w:r>
          </w:p>
        </w:tc>
        <w:tc>
          <w:tcPr>
            <w:tcW w:w="1780" w:type="dxa"/>
            <w:vAlign w:val="bottom"/>
            <w:shd w:val="clear" w:color="auto" w:fill="EAF9E8"/>
          </w:tcPr>
          <w:p>
            <w:pPr>
              <w:jc w:val="center"/>
              <w:ind w:left="12"/>
              <w:spacing w:after="0"/>
              <w:rPr>
                <w:sz w:val="20"/>
                <w:szCs w:val="20"/>
                <w:color w:val="auto"/>
              </w:rPr>
            </w:pPr>
            <w:r>
              <w:rPr>
                <w:rFonts w:ascii="Arial" w:cs="Arial" w:eastAsia="Arial" w:hAnsi="Arial"/>
                <w:sz w:val="14"/>
                <w:szCs w:val="14"/>
                <w:color w:val="auto"/>
                <w:w w:val="90"/>
              </w:rPr>
              <w:t>Below Threshold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shd w:val="clear" w:color="auto" w:fill="EAF9E8"/>
          </w:tcPr>
          <w:p>
            <w:pPr>
              <w:spacing w:after="0"/>
              <w:rPr>
                <w:sz w:val="24"/>
                <w:szCs w:val="24"/>
                <w:color w:val="auto"/>
              </w:rPr>
            </w:pPr>
          </w:p>
        </w:tc>
        <w:tc>
          <w:tcPr>
            <w:tcW w:w="58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2"/>
              </w:rPr>
              <w:t>33%</w:t>
            </w:r>
          </w:p>
        </w:tc>
        <w:tc>
          <w:tcPr>
            <w:tcW w:w="120" w:type="dxa"/>
            <w:vAlign w:val="bottom"/>
            <w:shd w:val="clear" w:color="auto" w:fill="EAF9E8"/>
          </w:tcPr>
          <w:p>
            <w:pPr>
              <w:spacing w:after="0"/>
              <w:rPr>
                <w:sz w:val="24"/>
                <w:szCs w:val="24"/>
                <w:color w:val="auto"/>
              </w:rPr>
            </w:pPr>
          </w:p>
        </w:tc>
        <w:tc>
          <w:tcPr>
            <w:tcW w:w="2300" w:type="dxa"/>
            <w:vAlign w:val="bottom"/>
            <w:gridSpan w:val="3"/>
            <w:shd w:val="clear" w:color="auto" w:fill="EAF9E8"/>
          </w:tcPr>
          <w:p>
            <w:pPr>
              <w:jc w:val="center"/>
              <w:spacing w:after="0"/>
              <w:rPr>
                <w:sz w:val="20"/>
                <w:szCs w:val="20"/>
                <w:color w:val="auto"/>
              </w:rPr>
            </w:pPr>
            <w:r>
              <w:rPr>
                <w:rFonts w:ascii="Arial" w:cs="Arial" w:eastAsia="Arial" w:hAnsi="Arial"/>
                <w:sz w:val="14"/>
                <w:szCs w:val="14"/>
                <w:color w:val="auto"/>
                <w:w w:val="87"/>
              </w:rPr>
              <w:t>Successfully complete certain strategic</w:t>
            </w: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3 of 7</w:t>
            </w:r>
          </w:p>
        </w:tc>
        <w:tc>
          <w:tcPr>
            <w:tcW w:w="100" w:type="dxa"/>
            <w:vAlign w:val="bottom"/>
            <w:shd w:val="clear" w:color="auto" w:fill="EAF9E8"/>
          </w:tcPr>
          <w:p>
            <w:pPr>
              <w:spacing w:after="0"/>
              <w:rPr>
                <w:sz w:val="24"/>
                <w:szCs w:val="24"/>
                <w:color w:val="auto"/>
              </w:rPr>
            </w:pPr>
          </w:p>
        </w:tc>
        <w:tc>
          <w:tcPr>
            <w:tcW w:w="1820" w:type="dxa"/>
            <w:vAlign w:val="bottom"/>
            <w:shd w:val="clear" w:color="auto" w:fill="EAF9E8"/>
          </w:tcPr>
          <w:p>
            <w:pPr>
              <w:jc w:val="center"/>
              <w:ind w:right="52"/>
              <w:spacing w:after="0"/>
              <w:rPr>
                <w:sz w:val="20"/>
                <w:szCs w:val="20"/>
                <w:color w:val="auto"/>
              </w:rPr>
            </w:pPr>
            <w:r>
              <w:rPr>
                <w:rFonts w:ascii="Arial" w:cs="Arial" w:eastAsia="Arial" w:hAnsi="Arial"/>
                <w:sz w:val="14"/>
                <w:szCs w:val="14"/>
                <w:color w:val="auto"/>
                <w:w w:val="85"/>
              </w:rPr>
              <w:t>4 of 7</w:t>
            </w:r>
          </w:p>
        </w:tc>
        <w:tc>
          <w:tcPr>
            <w:tcW w:w="17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5 of 7</w:t>
            </w:r>
          </w:p>
        </w:tc>
        <w:tc>
          <w:tcPr>
            <w:tcW w:w="1780" w:type="dxa"/>
            <w:vAlign w:val="bottom"/>
            <w:shd w:val="clear" w:color="auto" w:fill="EAF9E8"/>
          </w:tcPr>
          <w:p>
            <w:pPr>
              <w:jc w:val="center"/>
              <w:ind w:left="12"/>
              <w:spacing w:after="0"/>
              <w:rPr>
                <w:sz w:val="20"/>
                <w:szCs w:val="20"/>
                <w:color w:val="auto"/>
              </w:rPr>
            </w:pPr>
            <w:r>
              <w:rPr>
                <w:rFonts w:ascii="Arial" w:cs="Arial" w:eastAsia="Arial" w:hAnsi="Arial"/>
                <w:sz w:val="14"/>
                <w:szCs w:val="14"/>
                <w:color w:val="auto"/>
                <w:w w:val="83"/>
              </w:rPr>
              <w:t>Target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160" w:type="dxa"/>
            <w:vAlign w:val="bottom"/>
            <w:shd w:val="clear" w:color="auto" w:fill="EAF9E8"/>
          </w:tcPr>
          <w:p>
            <w:pPr>
              <w:spacing w:after="0"/>
              <w:rPr>
                <w:sz w:val="13"/>
                <w:szCs w:val="13"/>
                <w:color w:val="auto"/>
              </w:rPr>
            </w:pPr>
          </w:p>
        </w:tc>
        <w:tc>
          <w:tcPr>
            <w:tcW w:w="5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2300" w:type="dxa"/>
            <w:vAlign w:val="bottom"/>
            <w:gridSpan w:val="3"/>
            <w:shd w:val="clear" w:color="auto" w:fill="EAF9E8"/>
          </w:tcPr>
          <w:p>
            <w:pPr>
              <w:jc w:val="center"/>
              <w:spacing w:after="0" w:line="159" w:lineRule="exact"/>
              <w:rPr>
                <w:sz w:val="20"/>
                <w:szCs w:val="20"/>
                <w:color w:val="auto"/>
              </w:rPr>
            </w:pPr>
            <w:r>
              <w:rPr>
                <w:rFonts w:ascii="Arial" w:cs="Arial" w:eastAsia="Arial" w:hAnsi="Arial"/>
                <w:sz w:val="14"/>
                <w:szCs w:val="14"/>
                <w:color w:val="auto"/>
                <w:w w:val="89"/>
              </w:rPr>
              <w:t>initiatives of the company</w:t>
            </w:r>
          </w:p>
        </w:tc>
        <w:tc>
          <w:tcPr>
            <w:tcW w:w="120" w:type="dxa"/>
            <w:vAlign w:val="bottom"/>
            <w:shd w:val="clear" w:color="auto" w:fill="EAF9E8"/>
          </w:tcPr>
          <w:p>
            <w:pPr>
              <w:spacing w:after="0"/>
              <w:rPr>
                <w:sz w:val="13"/>
                <w:szCs w:val="13"/>
                <w:color w:val="auto"/>
              </w:rPr>
            </w:pPr>
          </w:p>
        </w:tc>
        <w:tc>
          <w:tcPr>
            <w:tcW w:w="17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820" w:type="dxa"/>
            <w:vAlign w:val="bottom"/>
            <w:shd w:val="clear" w:color="auto" w:fill="EAF9E8"/>
          </w:tcPr>
          <w:p>
            <w:pPr>
              <w:spacing w:after="0"/>
              <w:rPr>
                <w:sz w:val="13"/>
                <w:szCs w:val="13"/>
                <w:color w:val="auto"/>
              </w:rPr>
            </w:pPr>
          </w:p>
        </w:tc>
        <w:tc>
          <w:tcPr>
            <w:tcW w:w="1720" w:type="dxa"/>
            <w:vAlign w:val="bottom"/>
            <w:shd w:val="clear" w:color="auto" w:fill="EAF9E8"/>
          </w:tcPr>
          <w:p>
            <w:pPr>
              <w:spacing w:after="0"/>
              <w:rPr>
                <w:sz w:val="13"/>
                <w:szCs w:val="13"/>
                <w:color w:val="auto"/>
              </w:rPr>
            </w:pPr>
          </w:p>
        </w:tc>
        <w:tc>
          <w:tcPr>
            <w:tcW w:w="1780" w:type="dxa"/>
            <w:vAlign w:val="bottom"/>
            <w:shd w:val="clear" w:color="auto" w:fill="EAF9E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120" w:type="dxa"/>
            <w:vAlign w:val="bottom"/>
          </w:tcPr>
          <w:p>
            <w:pPr>
              <w:spacing w:after="0"/>
              <w:rPr>
                <w:sz w:val="24"/>
                <w:szCs w:val="24"/>
                <w:color w:val="auto"/>
              </w:rPr>
            </w:pP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color w:val="auto"/>
                <w:w w:val="90"/>
              </w:rPr>
              <w:t>Improve funding including monetizing</w:t>
            </w: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Achieve one of three</w:t>
            </w:r>
          </w:p>
        </w:tc>
        <w:tc>
          <w:tcPr>
            <w:tcW w:w="100" w:type="dxa"/>
            <w:vAlign w:val="bottom"/>
          </w:tcPr>
          <w:p>
            <w:pPr>
              <w:spacing w:after="0"/>
              <w:rPr>
                <w:sz w:val="24"/>
                <w:szCs w:val="24"/>
                <w:color w:val="auto"/>
              </w:rPr>
            </w:pPr>
          </w:p>
        </w:tc>
        <w:tc>
          <w:tcPr>
            <w:tcW w:w="1820" w:type="dxa"/>
            <w:vAlign w:val="bottom"/>
          </w:tcPr>
          <w:p>
            <w:pPr>
              <w:jc w:val="center"/>
              <w:ind w:right="52"/>
              <w:spacing w:after="0"/>
              <w:rPr>
                <w:sz w:val="20"/>
                <w:szCs w:val="20"/>
                <w:color w:val="auto"/>
              </w:rPr>
            </w:pPr>
            <w:r>
              <w:rPr>
                <w:rFonts w:ascii="Arial" w:cs="Arial" w:eastAsia="Arial" w:hAnsi="Arial"/>
                <w:sz w:val="14"/>
                <w:szCs w:val="14"/>
                <w:color w:val="auto"/>
                <w:w w:val="89"/>
              </w:rPr>
              <w:t>Achieve two of three</w:t>
            </w:r>
          </w:p>
        </w:tc>
        <w:tc>
          <w:tcPr>
            <w:tcW w:w="1720" w:type="dxa"/>
            <w:vAlign w:val="bottom"/>
          </w:tcPr>
          <w:p>
            <w:pPr>
              <w:jc w:val="center"/>
              <w:spacing w:after="0"/>
              <w:rPr>
                <w:sz w:val="20"/>
                <w:szCs w:val="20"/>
                <w:color w:val="auto"/>
              </w:rPr>
            </w:pPr>
            <w:r>
              <w:rPr>
                <w:rFonts w:ascii="Arial" w:cs="Arial" w:eastAsia="Arial" w:hAnsi="Arial"/>
                <w:sz w:val="14"/>
                <w:szCs w:val="14"/>
                <w:color w:val="auto"/>
                <w:w w:val="87"/>
              </w:rPr>
              <w:t>Achieve three of three</w:t>
            </w: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jc w:val="center"/>
              <w:ind w:right="140"/>
              <w:spacing w:after="0" w:line="149" w:lineRule="exact"/>
              <w:rPr>
                <w:sz w:val="20"/>
                <w:szCs w:val="20"/>
                <w:color w:val="auto"/>
              </w:rPr>
            </w:pPr>
            <w:r>
              <w:rPr>
                <w:rFonts w:ascii="Arial" w:cs="Arial" w:eastAsia="Arial" w:hAnsi="Arial"/>
                <w:sz w:val="14"/>
                <w:szCs w:val="14"/>
                <w:color w:val="auto"/>
                <w:w w:val="86"/>
              </w:rPr>
              <w:t>investment income, same day funding and</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gridSpan w:val="3"/>
          </w:tcPr>
          <w:p>
            <w:pPr>
              <w:jc w:val="center"/>
              <w:ind w:right="840"/>
              <w:spacing w:after="0"/>
              <w:rPr>
                <w:sz w:val="20"/>
                <w:szCs w:val="20"/>
                <w:color w:val="auto"/>
              </w:rPr>
            </w:pPr>
            <w:r>
              <w:rPr>
                <w:rFonts w:ascii="Arial" w:cs="Arial" w:eastAsia="Arial" w:hAnsi="Arial"/>
                <w:sz w:val="14"/>
                <w:szCs w:val="14"/>
                <w:color w:val="auto"/>
                <w:w w:val="92"/>
              </w:rPr>
              <w:t>BMS</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120" w:type="dxa"/>
            <w:vAlign w:val="bottom"/>
          </w:tcPr>
          <w:p>
            <w:pPr>
              <w:spacing w:after="0"/>
              <w:rPr>
                <w:sz w:val="23"/>
                <w:szCs w:val="23"/>
                <w:color w:val="auto"/>
              </w:rPr>
            </w:pPr>
          </w:p>
        </w:tc>
        <w:tc>
          <w:tcPr>
            <w:tcW w:w="2420" w:type="dxa"/>
            <w:vAlign w:val="bottom"/>
            <w:gridSpan w:val="4"/>
          </w:tcPr>
          <w:p>
            <w:pPr>
              <w:jc w:val="center"/>
              <w:ind w:right="140"/>
              <w:spacing w:after="0"/>
              <w:rPr>
                <w:sz w:val="20"/>
                <w:szCs w:val="20"/>
                <w:color w:val="auto"/>
              </w:rPr>
            </w:pPr>
            <w:r>
              <w:rPr>
                <w:rFonts w:ascii="Arial" w:cs="Arial" w:eastAsia="Arial" w:hAnsi="Arial"/>
                <w:sz w:val="14"/>
                <w:szCs w:val="14"/>
                <w:color w:val="auto"/>
                <w:w w:val="87"/>
              </w:rPr>
              <w:t>Consummate acquisitions for Unsecured</w:t>
            </w: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Revenue lift of</w:t>
            </w:r>
          </w:p>
        </w:tc>
        <w:tc>
          <w:tcPr>
            <w:tcW w:w="100" w:type="dxa"/>
            <w:vAlign w:val="bottom"/>
          </w:tcPr>
          <w:p>
            <w:pPr>
              <w:spacing w:after="0"/>
              <w:rPr>
                <w:sz w:val="23"/>
                <w:szCs w:val="23"/>
                <w:color w:val="auto"/>
              </w:rPr>
            </w:pPr>
          </w:p>
        </w:tc>
        <w:tc>
          <w:tcPr>
            <w:tcW w:w="1820" w:type="dxa"/>
            <w:vAlign w:val="bottom"/>
          </w:tcPr>
          <w:p>
            <w:pPr>
              <w:jc w:val="center"/>
              <w:ind w:right="52"/>
              <w:spacing w:after="0"/>
              <w:rPr>
                <w:sz w:val="20"/>
                <w:szCs w:val="20"/>
                <w:color w:val="auto"/>
              </w:rPr>
            </w:pPr>
            <w:r>
              <w:rPr>
                <w:rFonts w:ascii="Arial" w:cs="Arial" w:eastAsia="Arial" w:hAnsi="Arial"/>
                <w:sz w:val="14"/>
                <w:szCs w:val="14"/>
                <w:color w:val="auto"/>
                <w:w w:val="91"/>
              </w:rPr>
              <w:t>Revenue lift of</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Revenue lift of</w:t>
            </w: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88"/>
              </w:rPr>
              <w:t>Collections and Residential Origination</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2"/>
              </w:rPr>
              <w:t>$10 million</w:t>
            </w:r>
          </w:p>
        </w:tc>
        <w:tc>
          <w:tcPr>
            <w:tcW w:w="100" w:type="dxa"/>
            <w:vAlign w:val="bottom"/>
          </w:tcPr>
          <w:p>
            <w:pPr>
              <w:spacing w:after="0"/>
              <w:rPr>
                <w:sz w:val="12"/>
                <w:szCs w:val="12"/>
                <w:color w:val="auto"/>
              </w:rPr>
            </w:pPr>
          </w:p>
        </w:tc>
        <w:tc>
          <w:tcPr>
            <w:tcW w:w="18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$15 million</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5"/>
              </w:rPr>
              <w:t>$20 million</w:t>
            </w: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gridSpan w:val="3"/>
          </w:tcPr>
          <w:p>
            <w:pPr>
              <w:jc w:val="center"/>
              <w:ind w:right="820"/>
              <w:spacing w:after="0"/>
              <w:rPr>
                <w:sz w:val="20"/>
                <w:szCs w:val="20"/>
                <w:color w:val="auto"/>
              </w:rPr>
            </w:pPr>
            <w:r>
              <w:rPr>
                <w:rFonts w:ascii="Arial" w:cs="Arial" w:eastAsia="Arial" w:hAnsi="Arial"/>
                <w:sz w:val="14"/>
                <w:szCs w:val="14"/>
                <w:color w:val="auto"/>
                <w:w w:val="85"/>
              </w:rPr>
              <w:t>Services</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160" w:type="dxa"/>
            <w:vAlign w:val="bottom"/>
            <w:vMerge w:val="restart"/>
          </w:tcPr>
          <w:p>
            <w:pPr>
              <w:spacing w:after="0"/>
              <w:rPr>
                <w:sz w:val="20"/>
                <w:szCs w:val="20"/>
                <w:color w:val="auto"/>
              </w:rPr>
            </w:pPr>
            <w:r>
              <w:rPr>
                <w:rFonts w:ascii="Arial" w:cs="Arial" w:eastAsia="Arial" w:hAnsi="Arial"/>
                <w:sz w:val="14"/>
                <w:szCs w:val="14"/>
                <w:color w:val="auto"/>
              </w:rPr>
              <w:t>David J. Gunter</w:t>
            </w:r>
          </w:p>
        </w:tc>
        <w:tc>
          <w:tcPr>
            <w:tcW w:w="58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gridSpan w:val="3"/>
          </w:tcPr>
          <w:p>
            <w:pPr>
              <w:jc w:val="center"/>
              <w:ind w:right="820"/>
              <w:spacing w:after="0"/>
              <w:rPr>
                <w:sz w:val="20"/>
                <w:szCs w:val="20"/>
                <w:color w:val="auto"/>
              </w:rPr>
            </w:pPr>
            <w:r>
              <w:rPr>
                <w:rFonts w:ascii="Arial" w:cs="Arial" w:eastAsia="Arial" w:hAnsi="Arial"/>
                <w:sz w:val="14"/>
                <w:szCs w:val="14"/>
                <w:color w:val="auto"/>
                <w:w w:val="84"/>
              </w:rPr>
              <w:t>Reduce Costs</w:t>
            </w:r>
          </w:p>
        </w:tc>
        <w:tc>
          <w:tcPr>
            <w:tcW w:w="1720" w:type="dxa"/>
            <w:vAlign w:val="bottom"/>
          </w:tcPr>
          <w:p>
            <w:pPr>
              <w:jc w:val="center"/>
              <w:spacing w:after="0"/>
              <w:rPr>
                <w:sz w:val="20"/>
                <w:szCs w:val="20"/>
                <w:color w:val="auto"/>
              </w:rPr>
            </w:pPr>
            <w:r>
              <w:rPr>
                <w:rFonts w:ascii="Arial" w:cs="Arial" w:eastAsia="Arial" w:hAnsi="Arial"/>
                <w:sz w:val="14"/>
                <w:szCs w:val="14"/>
                <w:color w:val="auto"/>
                <w:w w:val="87"/>
              </w:rPr>
              <w:t>105% of budget</w:t>
            </w:r>
          </w:p>
        </w:tc>
        <w:tc>
          <w:tcPr>
            <w:tcW w:w="100" w:type="dxa"/>
            <w:vAlign w:val="bottom"/>
          </w:tcPr>
          <w:p>
            <w:pPr>
              <w:spacing w:after="0"/>
              <w:rPr>
                <w:sz w:val="24"/>
                <w:szCs w:val="24"/>
                <w:color w:val="auto"/>
              </w:rPr>
            </w:pPr>
          </w:p>
        </w:tc>
        <w:tc>
          <w:tcPr>
            <w:tcW w:w="1820" w:type="dxa"/>
            <w:vAlign w:val="bottom"/>
          </w:tcPr>
          <w:p>
            <w:pPr>
              <w:jc w:val="center"/>
              <w:ind w:right="52"/>
              <w:spacing w:after="0"/>
              <w:rPr>
                <w:sz w:val="20"/>
                <w:szCs w:val="20"/>
                <w:color w:val="auto"/>
              </w:rPr>
            </w:pPr>
            <w:r>
              <w:rPr>
                <w:rFonts w:ascii="Arial" w:cs="Arial" w:eastAsia="Arial" w:hAnsi="Arial"/>
                <w:sz w:val="14"/>
                <w:szCs w:val="14"/>
                <w:color w:val="auto"/>
                <w:w w:val="87"/>
              </w:rPr>
              <w:t>100% of budget</w:t>
            </w: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95% of budget</w:t>
            </w: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49"/>
        </w:trPr>
        <w:tc>
          <w:tcPr>
            <w:tcW w:w="1160" w:type="dxa"/>
            <w:vAlign w:val="bottom"/>
            <w:vMerge w:val="continue"/>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2"/>
              </w:rPr>
              <w:t>15%</w:t>
            </w:r>
          </w:p>
        </w:tc>
        <w:tc>
          <w:tcPr>
            <w:tcW w:w="120" w:type="dxa"/>
            <w:vAlign w:val="bottom"/>
          </w:tcPr>
          <w:p>
            <w:pPr>
              <w:spacing w:after="0"/>
              <w:rPr>
                <w:sz w:val="12"/>
                <w:szCs w:val="12"/>
                <w:color w:val="auto"/>
              </w:rPr>
            </w:pPr>
          </w:p>
        </w:tc>
        <w:tc>
          <w:tcPr>
            <w:tcW w:w="2420" w:type="dxa"/>
            <w:vAlign w:val="bottom"/>
            <w:gridSpan w:val="4"/>
            <w:vMerge w:val="restart"/>
          </w:tcPr>
          <w:p>
            <w:pPr>
              <w:jc w:val="center"/>
              <w:ind w:right="120"/>
              <w:spacing w:after="0"/>
              <w:rPr>
                <w:sz w:val="20"/>
                <w:szCs w:val="20"/>
                <w:color w:val="auto"/>
              </w:rPr>
            </w:pPr>
            <w:r>
              <w:rPr>
                <w:rFonts w:ascii="Arial" w:cs="Arial" w:eastAsia="Arial" w:hAnsi="Arial"/>
                <w:sz w:val="14"/>
                <w:szCs w:val="14"/>
                <w:color w:val="auto"/>
                <w:w w:val="89"/>
              </w:rPr>
              <w:t>Achieve Asset Efficiency target of 3.63</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7"/>
              </w:rPr>
              <w:t>3.88</w:t>
            </w:r>
          </w:p>
        </w:tc>
        <w:tc>
          <w:tcPr>
            <w:tcW w:w="1920" w:type="dxa"/>
            <w:vAlign w:val="bottom"/>
            <w:gridSpan w:val="2"/>
            <w:vMerge w:val="restart"/>
          </w:tcPr>
          <w:p>
            <w:pPr>
              <w:jc w:val="center"/>
              <w:spacing w:after="0"/>
              <w:rPr>
                <w:sz w:val="20"/>
                <w:szCs w:val="20"/>
                <w:color w:val="auto"/>
              </w:rPr>
            </w:pPr>
            <w:r>
              <w:rPr>
                <w:rFonts w:ascii="Arial" w:cs="Arial" w:eastAsia="Arial" w:hAnsi="Arial"/>
                <w:sz w:val="14"/>
                <w:szCs w:val="14"/>
                <w:color w:val="auto"/>
                <w:w w:val="80"/>
              </w:rPr>
              <w:t>3.63</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7"/>
              </w:rPr>
              <w:t>3.38</w:t>
            </w:r>
          </w:p>
        </w:tc>
        <w:tc>
          <w:tcPr>
            <w:tcW w:w="18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0"/>
              </w:rPr>
              <w:t>Below Threshold</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color w:val="auto"/>
                <w:w w:val="86"/>
              </w:rPr>
              <w:t>(Average Total Assets/Total Revenue)</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120" w:type="dxa"/>
            <w:vAlign w:val="bottom"/>
          </w:tcPr>
          <w:p>
            <w:pPr>
              <w:spacing w:after="0"/>
              <w:rPr>
                <w:sz w:val="23"/>
                <w:szCs w:val="23"/>
                <w:color w:val="auto"/>
              </w:rPr>
            </w:pP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color w:val="auto"/>
                <w:w w:val="87"/>
              </w:rPr>
              <w:t>Design and implement methodology to</w:t>
            </w: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920" w:type="dxa"/>
            <w:vAlign w:val="bottom"/>
            <w:gridSpan w:val="2"/>
          </w:tcPr>
          <w:p>
            <w:pPr>
              <w:jc w:val="center"/>
              <w:spacing w:after="0"/>
              <w:rPr>
                <w:sz w:val="20"/>
                <w:szCs w:val="20"/>
                <w:color w:val="auto"/>
              </w:rPr>
            </w:pPr>
            <w:r>
              <w:rPr>
                <w:rFonts w:ascii="Arial" w:cs="Arial" w:eastAsia="Arial" w:hAnsi="Arial"/>
                <w:sz w:val="14"/>
                <w:szCs w:val="14"/>
                <w:color w:val="auto"/>
                <w:w w:val="92"/>
              </w:rPr>
              <w:t>14%</w:t>
            </w:r>
          </w:p>
        </w:tc>
        <w:tc>
          <w:tcPr>
            <w:tcW w:w="1720" w:type="dxa"/>
            <w:vAlign w:val="bottom"/>
          </w:tcPr>
          <w:p>
            <w:pPr>
              <w:jc w:val="center"/>
              <w:spacing w:after="0"/>
              <w:rPr>
                <w:sz w:val="20"/>
                <w:szCs w:val="20"/>
                <w:color w:val="auto"/>
              </w:rPr>
            </w:pPr>
            <w:r>
              <w:rPr>
                <w:rFonts w:ascii="Arial" w:cs="Arial" w:eastAsia="Arial" w:hAnsi="Arial"/>
                <w:sz w:val="14"/>
                <w:szCs w:val="14"/>
                <w:color w:val="auto"/>
                <w:w w:val="85"/>
              </w:rPr>
              <w:t>15%</w:t>
            </w: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90"/>
              </w:rPr>
              <w:t>Below Threshold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jc w:val="center"/>
              <w:ind w:right="140"/>
              <w:spacing w:after="0" w:line="149" w:lineRule="exact"/>
              <w:rPr>
                <w:sz w:val="20"/>
                <w:szCs w:val="20"/>
                <w:color w:val="auto"/>
              </w:rPr>
            </w:pPr>
            <w:r>
              <w:rPr>
                <w:rFonts w:ascii="Arial" w:cs="Arial" w:eastAsia="Arial" w:hAnsi="Arial"/>
                <w:sz w:val="14"/>
                <w:szCs w:val="14"/>
                <w:color w:val="auto"/>
                <w:w w:val="85"/>
              </w:rPr>
              <w:t>develop accurate Balance Sheets for each</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color w:val="auto"/>
                <w:w w:val="83"/>
              </w:rPr>
              <w:t>business segment</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120" w:type="dxa"/>
            <w:vAlign w:val="bottom"/>
          </w:tcPr>
          <w:p>
            <w:pPr>
              <w:spacing w:after="0"/>
              <w:rPr>
                <w:sz w:val="23"/>
                <w:szCs w:val="23"/>
                <w:color w:val="auto"/>
              </w:rPr>
            </w:pPr>
          </w:p>
        </w:tc>
        <w:tc>
          <w:tcPr>
            <w:tcW w:w="2420" w:type="dxa"/>
            <w:vAlign w:val="bottom"/>
            <w:gridSpan w:val="4"/>
          </w:tcPr>
          <w:p>
            <w:pPr>
              <w:jc w:val="center"/>
              <w:ind w:right="140"/>
              <w:spacing w:after="0"/>
              <w:rPr>
                <w:sz w:val="20"/>
                <w:szCs w:val="20"/>
                <w:color w:val="auto"/>
              </w:rPr>
            </w:pPr>
            <w:r>
              <w:rPr>
                <w:rFonts w:ascii="Arial" w:cs="Arial" w:eastAsia="Arial" w:hAnsi="Arial"/>
                <w:sz w:val="14"/>
                <w:szCs w:val="14"/>
                <w:color w:val="auto"/>
                <w:w w:val="87"/>
              </w:rPr>
              <w:t>Improve debt ratings</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Improve 1 notch</w:t>
            </w:r>
          </w:p>
        </w:tc>
        <w:tc>
          <w:tcPr>
            <w:tcW w:w="100" w:type="dxa"/>
            <w:vAlign w:val="bottom"/>
          </w:tcPr>
          <w:p>
            <w:pPr>
              <w:spacing w:after="0"/>
              <w:rPr>
                <w:sz w:val="23"/>
                <w:szCs w:val="23"/>
                <w:color w:val="auto"/>
              </w:rPr>
            </w:pPr>
          </w:p>
        </w:tc>
        <w:tc>
          <w:tcPr>
            <w:tcW w:w="1820" w:type="dxa"/>
            <w:vAlign w:val="bottom"/>
          </w:tcPr>
          <w:p>
            <w:pPr>
              <w:jc w:val="center"/>
              <w:ind w:right="52"/>
              <w:spacing w:after="0"/>
              <w:rPr>
                <w:sz w:val="20"/>
                <w:szCs w:val="20"/>
                <w:color w:val="auto"/>
              </w:rPr>
            </w:pPr>
            <w:r>
              <w:rPr>
                <w:rFonts w:ascii="Arial" w:cs="Arial" w:eastAsia="Arial" w:hAnsi="Arial"/>
                <w:sz w:val="14"/>
                <w:szCs w:val="14"/>
                <w:color w:val="auto"/>
                <w:w w:val="87"/>
              </w:rPr>
              <w:t>Improve 2 notches by 1 agency</w:t>
            </w:r>
          </w:p>
        </w:tc>
        <w:tc>
          <w:tcPr>
            <w:tcW w:w="1720" w:type="dxa"/>
            <w:vAlign w:val="bottom"/>
          </w:tcPr>
          <w:p>
            <w:pPr>
              <w:jc w:val="center"/>
              <w:spacing w:after="0"/>
              <w:rPr>
                <w:sz w:val="20"/>
                <w:szCs w:val="20"/>
                <w:color w:val="auto"/>
              </w:rPr>
            </w:pPr>
            <w:r>
              <w:rPr>
                <w:rFonts w:ascii="Arial" w:cs="Arial" w:eastAsia="Arial" w:hAnsi="Arial"/>
                <w:sz w:val="14"/>
                <w:szCs w:val="14"/>
                <w:color w:val="auto"/>
                <w:w w:val="87"/>
              </w:rPr>
              <w:t>Improve 4 notches in total</w:t>
            </w: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86"/>
              </w:rPr>
              <w:t>Threshold</w:t>
            </w: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87"/>
              </w:rPr>
              <w:t>by 1 agency</w:t>
            </w: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EAF9E8"/>
          </w:tcPr>
          <w:p>
            <w:pPr>
              <w:spacing w:after="0"/>
              <w:rPr>
                <w:sz w:val="12"/>
                <w:szCs w:val="12"/>
                <w:color w:val="auto"/>
              </w:rPr>
            </w:pPr>
          </w:p>
        </w:tc>
        <w:tc>
          <w:tcPr>
            <w:tcW w:w="58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2"/>
              </w:rPr>
              <w:t>35%</w:t>
            </w:r>
          </w:p>
        </w:tc>
        <w:tc>
          <w:tcPr>
            <w:tcW w:w="12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720" w:type="dxa"/>
            <w:vAlign w:val="bottom"/>
            <w:gridSpan w:val="3"/>
            <w:shd w:val="clear" w:color="auto" w:fill="EAF9E8"/>
          </w:tcPr>
          <w:p>
            <w:pPr>
              <w:jc w:val="center"/>
              <w:ind w:right="820"/>
              <w:spacing w:after="0" w:line="149" w:lineRule="exact"/>
              <w:rPr>
                <w:sz w:val="20"/>
                <w:szCs w:val="20"/>
                <w:color w:val="auto"/>
              </w:rPr>
            </w:pPr>
            <w:r>
              <w:rPr>
                <w:rFonts w:ascii="Arial" w:cs="Arial" w:eastAsia="Arial" w:hAnsi="Arial"/>
                <w:sz w:val="14"/>
                <w:szCs w:val="14"/>
                <w:color w:val="auto"/>
                <w:w w:val="84"/>
              </w:rPr>
              <w:t>Reduce Costs</w:t>
            </w:r>
          </w:p>
        </w:tc>
        <w:tc>
          <w:tcPr>
            <w:tcW w:w="17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7"/>
              </w:rPr>
              <w:t>105% of budget</w:t>
            </w:r>
          </w:p>
        </w:tc>
        <w:tc>
          <w:tcPr>
            <w:tcW w:w="100" w:type="dxa"/>
            <w:vAlign w:val="bottom"/>
            <w:shd w:val="clear" w:color="auto" w:fill="EAF9E8"/>
          </w:tcPr>
          <w:p>
            <w:pPr>
              <w:spacing w:after="0"/>
              <w:rPr>
                <w:sz w:val="12"/>
                <w:szCs w:val="12"/>
                <w:color w:val="auto"/>
              </w:rPr>
            </w:pPr>
          </w:p>
        </w:tc>
        <w:tc>
          <w:tcPr>
            <w:tcW w:w="1820" w:type="dxa"/>
            <w:vAlign w:val="bottom"/>
            <w:shd w:val="clear" w:color="auto" w:fill="EAF9E8"/>
          </w:tcPr>
          <w:p>
            <w:pPr>
              <w:jc w:val="center"/>
              <w:ind w:right="52"/>
              <w:spacing w:after="0" w:line="149" w:lineRule="exact"/>
              <w:rPr>
                <w:sz w:val="20"/>
                <w:szCs w:val="20"/>
                <w:color w:val="auto"/>
              </w:rPr>
            </w:pPr>
            <w:r>
              <w:rPr>
                <w:rFonts w:ascii="Arial" w:cs="Arial" w:eastAsia="Arial" w:hAnsi="Arial"/>
                <w:sz w:val="14"/>
                <w:szCs w:val="14"/>
                <w:color w:val="auto"/>
                <w:w w:val="87"/>
              </w:rPr>
              <w:t>100% of budget</w:t>
            </w:r>
          </w:p>
        </w:tc>
        <w:tc>
          <w:tcPr>
            <w:tcW w:w="17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88"/>
              </w:rPr>
              <w:t>95% of budget</w:t>
            </w:r>
          </w:p>
        </w:tc>
        <w:tc>
          <w:tcPr>
            <w:tcW w:w="1780" w:type="dxa"/>
            <w:vAlign w:val="bottom"/>
            <w:shd w:val="clear" w:color="auto" w:fill="EAF9E8"/>
          </w:tcPr>
          <w:p>
            <w:pPr>
              <w:jc w:val="center"/>
              <w:ind w:left="12"/>
              <w:spacing w:after="0" w:line="149" w:lineRule="exact"/>
              <w:rPr>
                <w:sz w:val="20"/>
                <w:szCs w:val="20"/>
                <w:color w:val="auto"/>
              </w:rPr>
            </w:pPr>
            <w:r>
              <w:rPr>
                <w:rFonts w:ascii="Arial" w:cs="Arial" w:eastAsia="Arial" w:hAnsi="Arial"/>
                <w:sz w:val="14"/>
                <w:szCs w:val="14"/>
                <w:color w:val="auto"/>
                <w:w w:val="87"/>
              </w:rPr>
              <w:t>Outstanding</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1160" w:type="dxa"/>
            <w:vAlign w:val="bottom"/>
            <w:shd w:val="clear" w:color="auto" w:fill="EAF9E8"/>
          </w:tcPr>
          <w:p>
            <w:pPr>
              <w:spacing w:after="0"/>
              <w:rPr>
                <w:sz w:val="24"/>
                <w:szCs w:val="24"/>
                <w:color w:val="auto"/>
              </w:rPr>
            </w:pPr>
          </w:p>
        </w:tc>
        <w:tc>
          <w:tcPr>
            <w:tcW w:w="58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2"/>
              </w:rPr>
              <w:t>25%</w:t>
            </w:r>
          </w:p>
        </w:tc>
        <w:tc>
          <w:tcPr>
            <w:tcW w:w="120" w:type="dxa"/>
            <w:vAlign w:val="bottom"/>
            <w:shd w:val="clear" w:color="auto" w:fill="EAF9E8"/>
          </w:tcPr>
          <w:p>
            <w:pPr>
              <w:spacing w:after="0"/>
              <w:rPr>
                <w:sz w:val="24"/>
                <w:szCs w:val="24"/>
                <w:color w:val="auto"/>
              </w:rPr>
            </w:pPr>
          </w:p>
        </w:tc>
        <w:tc>
          <w:tcPr>
            <w:tcW w:w="2300" w:type="dxa"/>
            <w:vAlign w:val="bottom"/>
            <w:gridSpan w:val="3"/>
            <w:shd w:val="clear" w:color="auto" w:fill="EAF9E8"/>
          </w:tcPr>
          <w:p>
            <w:pPr>
              <w:jc w:val="center"/>
              <w:spacing w:after="0"/>
              <w:rPr>
                <w:sz w:val="20"/>
                <w:szCs w:val="20"/>
                <w:color w:val="auto"/>
              </w:rPr>
            </w:pPr>
            <w:r>
              <w:rPr>
                <w:rFonts w:ascii="Arial" w:cs="Arial" w:eastAsia="Arial" w:hAnsi="Arial"/>
                <w:sz w:val="14"/>
                <w:szCs w:val="14"/>
                <w:color w:val="auto"/>
                <w:w w:val="87"/>
              </w:rPr>
              <w:t>Consummate acquisitions for Unsecured</w:t>
            </w: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Revenue lift of</w:t>
            </w:r>
          </w:p>
        </w:tc>
        <w:tc>
          <w:tcPr>
            <w:tcW w:w="100" w:type="dxa"/>
            <w:vAlign w:val="bottom"/>
            <w:shd w:val="clear" w:color="auto" w:fill="EAF9E8"/>
          </w:tcPr>
          <w:p>
            <w:pPr>
              <w:spacing w:after="0"/>
              <w:rPr>
                <w:sz w:val="24"/>
                <w:szCs w:val="24"/>
                <w:color w:val="auto"/>
              </w:rPr>
            </w:pPr>
          </w:p>
        </w:tc>
        <w:tc>
          <w:tcPr>
            <w:tcW w:w="1820" w:type="dxa"/>
            <w:vAlign w:val="bottom"/>
            <w:shd w:val="clear" w:color="auto" w:fill="EAF9E8"/>
          </w:tcPr>
          <w:p>
            <w:pPr>
              <w:jc w:val="center"/>
              <w:ind w:right="52"/>
              <w:spacing w:after="0"/>
              <w:rPr>
                <w:sz w:val="20"/>
                <w:szCs w:val="20"/>
                <w:color w:val="auto"/>
              </w:rPr>
            </w:pPr>
            <w:r>
              <w:rPr>
                <w:rFonts w:ascii="Arial" w:cs="Arial" w:eastAsia="Arial" w:hAnsi="Arial"/>
                <w:sz w:val="14"/>
                <w:szCs w:val="14"/>
                <w:color w:val="auto"/>
                <w:w w:val="91"/>
              </w:rPr>
              <w:t>Revenue lift of</w:t>
            </w:r>
          </w:p>
        </w:tc>
        <w:tc>
          <w:tcPr>
            <w:tcW w:w="17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89"/>
              </w:rPr>
              <w:t>Revenue lift of</w:t>
            </w:r>
          </w:p>
        </w:tc>
        <w:tc>
          <w:tcPr>
            <w:tcW w:w="1780" w:type="dxa"/>
            <w:vAlign w:val="bottom"/>
            <w:shd w:val="clear" w:color="auto" w:fill="EAF9E8"/>
          </w:tcPr>
          <w:p>
            <w:pPr>
              <w:jc w:val="center"/>
              <w:ind w:left="12"/>
              <w:spacing w:after="0"/>
              <w:rPr>
                <w:sz w:val="20"/>
                <w:szCs w:val="20"/>
                <w:color w:val="auto"/>
              </w:rPr>
            </w:pPr>
            <w:r>
              <w:rPr>
                <w:rFonts w:ascii="Arial" w:cs="Arial" w:eastAsia="Arial" w:hAnsi="Arial"/>
                <w:sz w:val="14"/>
                <w:szCs w:val="14"/>
                <w:color w:val="auto"/>
                <w:w w:val="87"/>
              </w:rPr>
              <w:t>Outstanding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300" w:type="dxa"/>
            <w:vAlign w:val="bottom"/>
            <w:gridSpan w:val="3"/>
            <w:shd w:val="clear" w:color="auto" w:fill="EAF9E8"/>
          </w:tcPr>
          <w:p>
            <w:pPr>
              <w:jc w:val="center"/>
              <w:spacing w:after="0" w:line="149" w:lineRule="exact"/>
              <w:rPr>
                <w:sz w:val="20"/>
                <w:szCs w:val="20"/>
                <w:color w:val="auto"/>
              </w:rPr>
            </w:pPr>
            <w:r>
              <w:rPr>
                <w:rFonts w:ascii="Arial" w:cs="Arial" w:eastAsia="Arial" w:hAnsi="Arial"/>
                <w:sz w:val="14"/>
                <w:szCs w:val="14"/>
                <w:color w:val="auto"/>
                <w:w w:val="88"/>
              </w:rPr>
              <w:t>Collections and Residential Origination</w:t>
            </w:r>
          </w:p>
        </w:tc>
        <w:tc>
          <w:tcPr>
            <w:tcW w:w="120" w:type="dxa"/>
            <w:vAlign w:val="bottom"/>
            <w:shd w:val="clear" w:color="auto" w:fill="EAF9E8"/>
          </w:tcPr>
          <w:p>
            <w:pPr>
              <w:spacing w:after="0"/>
              <w:rPr>
                <w:sz w:val="12"/>
                <w:szCs w:val="12"/>
                <w:color w:val="auto"/>
              </w:rPr>
            </w:pPr>
          </w:p>
        </w:tc>
        <w:tc>
          <w:tcPr>
            <w:tcW w:w="17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2"/>
              </w:rPr>
              <w:t>$10 million</w:t>
            </w:r>
          </w:p>
        </w:tc>
        <w:tc>
          <w:tcPr>
            <w:tcW w:w="100" w:type="dxa"/>
            <w:vAlign w:val="bottom"/>
            <w:shd w:val="clear" w:color="auto" w:fill="EAF9E8"/>
          </w:tcPr>
          <w:p>
            <w:pPr>
              <w:spacing w:after="0"/>
              <w:rPr>
                <w:sz w:val="12"/>
                <w:szCs w:val="12"/>
                <w:color w:val="auto"/>
              </w:rPr>
            </w:pPr>
          </w:p>
        </w:tc>
        <w:tc>
          <w:tcPr>
            <w:tcW w:w="1820" w:type="dxa"/>
            <w:vAlign w:val="bottom"/>
            <w:shd w:val="clear" w:color="auto" w:fill="EAF9E8"/>
          </w:tcPr>
          <w:p>
            <w:pPr>
              <w:jc w:val="center"/>
              <w:ind w:right="52"/>
              <w:spacing w:after="0" w:line="149" w:lineRule="exact"/>
              <w:rPr>
                <w:sz w:val="20"/>
                <w:szCs w:val="20"/>
                <w:color w:val="auto"/>
              </w:rPr>
            </w:pPr>
            <w:r>
              <w:rPr>
                <w:rFonts w:ascii="Arial" w:cs="Arial" w:eastAsia="Arial" w:hAnsi="Arial"/>
                <w:sz w:val="14"/>
                <w:szCs w:val="14"/>
                <w:color w:val="auto"/>
                <w:w w:val="92"/>
              </w:rPr>
              <w:t>$15 million</w:t>
            </w:r>
          </w:p>
        </w:tc>
        <w:tc>
          <w:tcPr>
            <w:tcW w:w="17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5"/>
              </w:rPr>
              <w:t>$20 million</w:t>
            </w:r>
          </w:p>
        </w:tc>
        <w:tc>
          <w:tcPr>
            <w:tcW w:w="178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60" w:type="dxa"/>
            <w:vAlign w:val="bottom"/>
            <w:shd w:val="clear" w:color="auto" w:fill="EAF9E8"/>
          </w:tcPr>
          <w:p>
            <w:pPr>
              <w:spacing w:after="0"/>
              <w:rPr>
                <w:sz w:val="13"/>
                <w:szCs w:val="13"/>
                <w:color w:val="auto"/>
              </w:rPr>
            </w:pPr>
          </w:p>
        </w:tc>
        <w:tc>
          <w:tcPr>
            <w:tcW w:w="5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700" w:type="dxa"/>
            <w:vAlign w:val="bottom"/>
            <w:shd w:val="clear" w:color="auto" w:fill="EAF9E8"/>
          </w:tcPr>
          <w:p>
            <w:pPr>
              <w:spacing w:after="0"/>
              <w:rPr>
                <w:sz w:val="13"/>
                <w:szCs w:val="13"/>
                <w:color w:val="auto"/>
              </w:rPr>
            </w:pPr>
          </w:p>
        </w:tc>
        <w:tc>
          <w:tcPr>
            <w:tcW w:w="1600" w:type="dxa"/>
            <w:vAlign w:val="bottom"/>
            <w:gridSpan w:val="2"/>
            <w:shd w:val="clear" w:color="auto" w:fill="EAF9E8"/>
          </w:tcPr>
          <w:p>
            <w:pPr>
              <w:jc w:val="center"/>
              <w:ind w:right="632"/>
              <w:spacing w:after="0" w:line="159" w:lineRule="exact"/>
              <w:rPr>
                <w:sz w:val="20"/>
                <w:szCs w:val="20"/>
                <w:color w:val="auto"/>
              </w:rPr>
            </w:pPr>
            <w:r>
              <w:rPr>
                <w:rFonts w:ascii="Arial" w:cs="Arial" w:eastAsia="Arial" w:hAnsi="Arial"/>
                <w:sz w:val="14"/>
                <w:szCs w:val="14"/>
                <w:color w:val="auto"/>
                <w:w w:val="85"/>
              </w:rPr>
              <w:t>Services</w:t>
            </w:r>
          </w:p>
        </w:tc>
        <w:tc>
          <w:tcPr>
            <w:tcW w:w="120" w:type="dxa"/>
            <w:vAlign w:val="bottom"/>
            <w:shd w:val="clear" w:color="auto" w:fill="EAF9E8"/>
          </w:tcPr>
          <w:p>
            <w:pPr>
              <w:spacing w:after="0"/>
              <w:rPr>
                <w:sz w:val="13"/>
                <w:szCs w:val="13"/>
                <w:color w:val="auto"/>
              </w:rPr>
            </w:pPr>
          </w:p>
        </w:tc>
        <w:tc>
          <w:tcPr>
            <w:tcW w:w="17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820" w:type="dxa"/>
            <w:vAlign w:val="bottom"/>
            <w:shd w:val="clear" w:color="auto" w:fill="EAF9E8"/>
          </w:tcPr>
          <w:p>
            <w:pPr>
              <w:spacing w:after="0"/>
              <w:rPr>
                <w:sz w:val="13"/>
                <w:szCs w:val="13"/>
                <w:color w:val="auto"/>
              </w:rPr>
            </w:pPr>
          </w:p>
        </w:tc>
        <w:tc>
          <w:tcPr>
            <w:tcW w:w="1720" w:type="dxa"/>
            <w:vAlign w:val="bottom"/>
            <w:shd w:val="clear" w:color="auto" w:fill="EAF9E8"/>
          </w:tcPr>
          <w:p>
            <w:pPr>
              <w:spacing w:after="0"/>
              <w:rPr>
                <w:sz w:val="13"/>
                <w:szCs w:val="13"/>
                <w:color w:val="auto"/>
              </w:rPr>
            </w:pPr>
          </w:p>
        </w:tc>
        <w:tc>
          <w:tcPr>
            <w:tcW w:w="1780" w:type="dxa"/>
            <w:vAlign w:val="bottom"/>
            <w:shd w:val="clear" w:color="auto" w:fill="EAF9E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EAF9E8"/>
          </w:tcPr>
          <w:p>
            <w:pPr>
              <w:spacing w:after="0"/>
              <w:rPr>
                <w:sz w:val="20"/>
                <w:szCs w:val="20"/>
                <w:color w:val="auto"/>
              </w:rPr>
            </w:pPr>
            <w:r>
              <w:rPr>
                <w:rFonts w:ascii="Arial" w:cs="Arial" w:eastAsia="Arial" w:hAnsi="Arial"/>
                <w:sz w:val="14"/>
                <w:szCs w:val="14"/>
                <w:color w:val="auto"/>
              </w:rPr>
              <w:t>Paul A. Koches</w:t>
            </w:r>
          </w:p>
        </w:tc>
        <w:tc>
          <w:tcPr>
            <w:tcW w:w="58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2"/>
              </w:rPr>
              <w:t>25%</w:t>
            </w:r>
          </w:p>
        </w:tc>
        <w:tc>
          <w:tcPr>
            <w:tcW w:w="120" w:type="dxa"/>
            <w:vAlign w:val="bottom"/>
            <w:shd w:val="clear" w:color="auto" w:fill="EAF9E8"/>
          </w:tcPr>
          <w:p>
            <w:pPr>
              <w:spacing w:after="0"/>
              <w:rPr>
                <w:sz w:val="21"/>
                <w:szCs w:val="21"/>
                <w:color w:val="auto"/>
              </w:rPr>
            </w:pPr>
          </w:p>
        </w:tc>
        <w:tc>
          <w:tcPr>
            <w:tcW w:w="2300" w:type="dxa"/>
            <w:vAlign w:val="bottom"/>
            <w:gridSpan w:val="3"/>
            <w:vMerge w:val="restart"/>
            <w:shd w:val="clear" w:color="auto" w:fill="EAF9E8"/>
          </w:tcPr>
          <w:p>
            <w:pPr>
              <w:jc w:val="center"/>
              <w:spacing w:after="0"/>
              <w:rPr>
                <w:sz w:val="20"/>
                <w:szCs w:val="20"/>
                <w:color w:val="auto"/>
              </w:rPr>
            </w:pPr>
            <w:r>
              <w:rPr>
                <w:rFonts w:ascii="Arial" w:cs="Arial" w:eastAsia="Arial" w:hAnsi="Arial"/>
                <w:sz w:val="14"/>
                <w:szCs w:val="14"/>
                <w:color w:val="auto"/>
                <w:w w:val="90"/>
              </w:rPr>
              <w:t>Improve funding including monetizing</w:t>
            </w:r>
          </w:p>
        </w:tc>
        <w:tc>
          <w:tcPr>
            <w:tcW w:w="120" w:type="dxa"/>
            <w:vAlign w:val="bottom"/>
            <w:shd w:val="clear" w:color="auto" w:fill="EAF9E8"/>
          </w:tcPr>
          <w:p>
            <w:pPr>
              <w:spacing w:after="0"/>
              <w:rPr>
                <w:sz w:val="21"/>
                <w:szCs w:val="21"/>
                <w:color w:val="auto"/>
              </w:rPr>
            </w:pPr>
          </w:p>
        </w:tc>
        <w:tc>
          <w:tcPr>
            <w:tcW w:w="172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88"/>
              </w:rPr>
              <w:t>Achieve one of three</w:t>
            </w:r>
          </w:p>
        </w:tc>
        <w:tc>
          <w:tcPr>
            <w:tcW w:w="100" w:type="dxa"/>
            <w:vAlign w:val="bottom"/>
            <w:shd w:val="clear" w:color="auto" w:fill="EAF9E8"/>
          </w:tcPr>
          <w:p>
            <w:pPr>
              <w:spacing w:after="0"/>
              <w:rPr>
                <w:sz w:val="21"/>
                <w:szCs w:val="21"/>
                <w:color w:val="auto"/>
              </w:rPr>
            </w:pPr>
          </w:p>
        </w:tc>
        <w:tc>
          <w:tcPr>
            <w:tcW w:w="1820" w:type="dxa"/>
            <w:vAlign w:val="bottom"/>
            <w:vMerge w:val="restart"/>
            <w:shd w:val="clear" w:color="auto" w:fill="EAF9E8"/>
          </w:tcPr>
          <w:p>
            <w:pPr>
              <w:jc w:val="center"/>
              <w:ind w:right="52"/>
              <w:spacing w:after="0"/>
              <w:rPr>
                <w:sz w:val="20"/>
                <w:szCs w:val="20"/>
                <w:color w:val="auto"/>
              </w:rPr>
            </w:pPr>
            <w:r>
              <w:rPr>
                <w:rFonts w:ascii="Arial" w:cs="Arial" w:eastAsia="Arial" w:hAnsi="Arial"/>
                <w:sz w:val="14"/>
                <w:szCs w:val="14"/>
                <w:color w:val="auto"/>
                <w:w w:val="89"/>
              </w:rPr>
              <w:t>Achieve two of three</w:t>
            </w:r>
          </w:p>
        </w:tc>
        <w:tc>
          <w:tcPr>
            <w:tcW w:w="172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87"/>
              </w:rPr>
              <w:t>Achieve three of three</w:t>
            </w:r>
          </w:p>
        </w:tc>
        <w:tc>
          <w:tcPr>
            <w:tcW w:w="1780" w:type="dxa"/>
            <w:vAlign w:val="bottom"/>
            <w:vMerge w:val="restart"/>
            <w:shd w:val="clear" w:color="auto" w:fill="EAF9E8"/>
          </w:tcPr>
          <w:p>
            <w:pPr>
              <w:jc w:val="center"/>
              <w:ind w:left="12"/>
              <w:spacing w:after="0"/>
              <w:rPr>
                <w:sz w:val="20"/>
                <w:szCs w:val="20"/>
                <w:color w:val="auto"/>
              </w:rPr>
            </w:pPr>
            <w:r>
              <w:rPr>
                <w:rFonts w:ascii="Arial" w:cs="Arial" w:eastAsia="Arial" w:hAnsi="Arial"/>
                <w:sz w:val="14"/>
                <w:szCs w:val="14"/>
                <w:color w:val="auto"/>
                <w:w w:val="87"/>
              </w:rPr>
              <w:t>Outstanding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1160" w:type="dxa"/>
            <w:vAlign w:val="bottom"/>
            <w:shd w:val="clear" w:color="auto" w:fill="EAF9E8"/>
          </w:tcPr>
          <w:p>
            <w:pPr>
              <w:spacing w:after="0"/>
              <w:rPr>
                <w:sz w:val="3"/>
                <w:szCs w:val="3"/>
                <w:color w:val="auto"/>
              </w:rPr>
            </w:pPr>
          </w:p>
        </w:tc>
        <w:tc>
          <w:tcPr>
            <w:tcW w:w="580" w:type="dxa"/>
            <w:vAlign w:val="bottom"/>
            <w:vMerge w:val="continue"/>
            <w:shd w:val="clear" w:color="auto" w:fill="EAF9E8"/>
          </w:tcPr>
          <w:p>
            <w:pPr>
              <w:spacing w:after="0"/>
              <w:rPr>
                <w:sz w:val="3"/>
                <w:szCs w:val="3"/>
                <w:color w:val="auto"/>
              </w:rPr>
            </w:pPr>
          </w:p>
        </w:tc>
        <w:tc>
          <w:tcPr>
            <w:tcW w:w="120" w:type="dxa"/>
            <w:vAlign w:val="bottom"/>
            <w:shd w:val="clear" w:color="auto" w:fill="EAF9E8"/>
          </w:tcPr>
          <w:p>
            <w:pPr>
              <w:spacing w:after="0"/>
              <w:rPr>
                <w:sz w:val="3"/>
                <w:szCs w:val="3"/>
                <w:color w:val="auto"/>
              </w:rPr>
            </w:pPr>
          </w:p>
        </w:tc>
        <w:tc>
          <w:tcPr>
            <w:tcW w:w="2300" w:type="dxa"/>
            <w:vAlign w:val="bottom"/>
            <w:gridSpan w:val="3"/>
            <w:vMerge w:val="continue"/>
            <w:shd w:val="clear" w:color="auto" w:fill="EAF9E8"/>
          </w:tcPr>
          <w:p>
            <w:pPr>
              <w:spacing w:after="0"/>
              <w:rPr>
                <w:sz w:val="3"/>
                <w:szCs w:val="3"/>
                <w:color w:val="auto"/>
              </w:rPr>
            </w:pPr>
          </w:p>
        </w:tc>
        <w:tc>
          <w:tcPr>
            <w:tcW w:w="120" w:type="dxa"/>
            <w:vAlign w:val="bottom"/>
            <w:shd w:val="clear" w:color="auto" w:fill="EAF9E8"/>
          </w:tcPr>
          <w:p>
            <w:pPr>
              <w:spacing w:after="0"/>
              <w:rPr>
                <w:sz w:val="3"/>
                <w:szCs w:val="3"/>
                <w:color w:val="auto"/>
              </w:rPr>
            </w:pPr>
          </w:p>
        </w:tc>
        <w:tc>
          <w:tcPr>
            <w:tcW w:w="1720" w:type="dxa"/>
            <w:vAlign w:val="bottom"/>
            <w:vMerge w:val="continue"/>
            <w:shd w:val="clear" w:color="auto" w:fill="EAF9E8"/>
          </w:tcPr>
          <w:p>
            <w:pPr>
              <w:spacing w:after="0"/>
              <w:rPr>
                <w:sz w:val="3"/>
                <w:szCs w:val="3"/>
                <w:color w:val="auto"/>
              </w:rPr>
            </w:pPr>
          </w:p>
        </w:tc>
        <w:tc>
          <w:tcPr>
            <w:tcW w:w="100" w:type="dxa"/>
            <w:vAlign w:val="bottom"/>
            <w:shd w:val="clear" w:color="auto" w:fill="EAF9E8"/>
          </w:tcPr>
          <w:p>
            <w:pPr>
              <w:spacing w:after="0"/>
              <w:rPr>
                <w:sz w:val="3"/>
                <w:szCs w:val="3"/>
                <w:color w:val="auto"/>
              </w:rPr>
            </w:pPr>
          </w:p>
        </w:tc>
        <w:tc>
          <w:tcPr>
            <w:tcW w:w="1820" w:type="dxa"/>
            <w:vAlign w:val="bottom"/>
            <w:vMerge w:val="continue"/>
            <w:shd w:val="clear" w:color="auto" w:fill="EAF9E8"/>
          </w:tcPr>
          <w:p>
            <w:pPr>
              <w:spacing w:after="0"/>
              <w:rPr>
                <w:sz w:val="3"/>
                <w:szCs w:val="3"/>
                <w:color w:val="auto"/>
              </w:rPr>
            </w:pPr>
          </w:p>
        </w:tc>
        <w:tc>
          <w:tcPr>
            <w:tcW w:w="1720" w:type="dxa"/>
            <w:vAlign w:val="bottom"/>
            <w:vMerge w:val="continue"/>
            <w:shd w:val="clear" w:color="auto" w:fill="EAF9E8"/>
          </w:tcPr>
          <w:p>
            <w:pPr>
              <w:spacing w:after="0"/>
              <w:rPr>
                <w:sz w:val="3"/>
                <w:szCs w:val="3"/>
                <w:color w:val="auto"/>
              </w:rPr>
            </w:pPr>
          </w:p>
        </w:tc>
        <w:tc>
          <w:tcPr>
            <w:tcW w:w="1780" w:type="dxa"/>
            <w:vAlign w:val="bottom"/>
            <w:vMerge w:val="continue"/>
            <w:shd w:val="clear" w:color="auto" w:fill="EAF9E8"/>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300" w:type="dxa"/>
            <w:vAlign w:val="bottom"/>
            <w:gridSpan w:val="3"/>
            <w:shd w:val="clear" w:color="auto" w:fill="EAF9E8"/>
          </w:tcPr>
          <w:p>
            <w:pPr>
              <w:jc w:val="center"/>
              <w:spacing w:after="0" w:line="149" w:lineRule="exact"/>
              <w:rPr>
                <w:sz w:val="20"/>
                <w:szCs w:val="20"/>
                <w:color w:val="auto"/>
              </w:rPr>
            </w:pPr>
            <w:r>
              <w:rPr>
                <w:rFonts w:ascii="Arial" w:cs="Arial" w:eastAsia="Arial" w:hAnsi="Arial"/>
                <w:sz w:val="14"/>
                <w:szCs w:val="14"/>
                <w:color w:val="auto"/>
                <w:w w:val="86"/>
              </w:rPr>
              <w:t>investment income, same day funding and</w:t>
            </w:r>
          </w:p>
        </w:tc>
        <w:tc>
          <w:tcPr>
            <w:tcW w:w="120" w:type="dxa"/>
            <w:vAlign w:val="bottom"/>
            <w:shd w:val="clear" w:color="auto" w:fill="EAF9E8"/>
          </w:tcPr>
          <w:p>
            <w:pPr>
              <w:spacing w:after="0"/>
              <w:rPr>
                <w:sz w:val="12"/>
                <w:szCs w:val="12"/>
                <w:color w:val="auto"/>
              </w:rPr>
            </w:pPr>
          </w:p>
        </w:tc>
        <w:tc>
          <w:tcPr>
            <w:tcW w:w="1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820" w:type="dxa"/>
            <w:vAlign w:val="bottom"/>
            <w:shd w:val="clear" w:color="auto" w:fill="EAF9E8"/>
          </w:tcPr>
          <w:p>
            <w:pPr>
              <w:spacing w:after="0"/>
              <w:rPr>
                <w:sz w:val="12"/>
                <w:szCs w:val="12"/>
                <w:color w:val="auto"/>
              </w:rPr>
            </w:pPr>
          </w:p>
        </w:tc>
        <w:tc>
          <w:tcPr>
            <w:tcW w:w="1720" w:type="dxa"/>
            <w:vAlign w:val="bottom"/>
            <w:shd w:val="clear" w:color="auto" w:fill="EAF9E8"/>
          </w:tcPr>
          <w:p>
            <w:pPr>
              <w:spacing w:after="0"/>
              <w:rPr>
                <w:sz w:val="12"/>
                <w:szCs w:val="12"/>
                <w:color w:val="auto"/>
              </w:rPr>
            </w:pPr>
          </w:p>
        </w:tc>
        <w:tc>
          <w:tcPr>
            <w:tcW w:w="178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60" w:type="dxa"/>
            <w:vAlign w:val="bottom"/>
            <w:shd w:val="clear" w:color="auto" w:fill="EAF9E8"/>
          </w:tcPr>
          <w:p>
            <w:pPr>
              <w:spacing w:after="0"/>
              <w:rPr>
                <w:sz w:val="13"/>
                <w:szCs w:val="13"/>
                <w:color w:val="auto"/>
              </w:rPr>
            </w:pPr>
          </w:p>
        </w:tc>
        <w:tc>
          <w:tcPr>
            <w:tcW w:w="5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700" w:type="dxa"/>
            <w:vAlign w:val="bottom"/>
            <w:shd w:val="clear" w:color="auto" w:fill="EAF9E8"/>
          </w:tcPr>
          <w:p>
            <w:pPr>
              <w:spacing w:after="0"/>
              <w:rPr>
                <w:sz w:val="13"/>
                <w:szCs w:val="13"/>
                <w:color w:val="auto"/>
              </w:rPr>
            </w:pPr>
          </w:p>
        </w:tc>
        <w:tc>
          <w:tcPr>
            <w:tcW w:w="1600" w:type="dxa"/>
            <w:vAlign w:val="bottom"/>
            <w:gridSpan w:val="2"/>
            <w:shd w:val="clear" w:color="auto" w:fill="EAF9E8"/>
          </w:tcPr>
          <w:p>
            <w:pPr>
              <w:jc w:val="center"/>
              <w:ind w:right="652"/>
              <w:spacing w:after="0" w:line="159" w:lineRule="exact"/>
              <w:rPr>
                <w:sz w:val="20"/>
                <w:szCs w:val="20"/>
                <w:color w:val="auto"/>
              </w:rPr>
            </w:pPr>
            <w:r>
              <w:rPr>
                <w:rFonts w:ascii="Arial" w:cs="Arial" w:eastAsia="Arial" w:hAnsi="Arial"/>
                <w:sz w:val="14"/>
                <w:szCs w:val="14"/>
                <w:color w:val="auto"/>
                <w:w w:val="92"/>
              </w:rPr>
              <w:t>BMS</w:t>
            </w:r>
          </w:p>
        </w:tc>
        <w:tc>
          <w:tcPr>
            <w:tcW w:w="120" w:type="dxa"/>
            <w:vAlign w:val="bottom"/>
            <w:shd w:val="clear" w:color="auto" w:fill="EAF9E8"/>
          </w:tcPr>
          <w:p>
            <w:pPr>
              <w:spacing w:after="0"/>
              <w:rPr>
                <w:sz w:val="13"/>
                <w:szCs w:val="13"/>
                <w:color w:val="auto"/>
              </w:rPr>
            </w:pPr>
          </w:p>
        </w:tc>
        <w:tc>
          <w:tcPr>
            <w:tcW w:w="17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820" w:type="dxa"/>
            <w:vAlign w:val="bottom"/>
            <w:shd w:val="clear" w:color="auto" w:fill="EAF9E8"/>
          </w:tcPr>
          <w:p>
            <w:pPr>
              <w:spacing w:after="0"/>
              <w:rPr>
                <w:sz w:val="13"/>
                <w:szCs w:val="13"/>
                <w:color w:val="auto"/>
              </w:rPr>
            </w:pPr>
          </w:p>
        </w:tc>
        <w:tc>
          <w:tcPr>
            <w:tcW w:w="1720" w:type="dxa"/>
            <w:vAlign w:val="bottom"/>
            <w:shd w:val="clear" w:color="auto" w:fill="EAF9E8"/>
          </w:tcPr>
          <w:p>
            <w:pPr>
              <w:spacing w:after="0"/>
              <w:rPr>
                <w:sz w:val="13"/>
                <w:szCs w:val="13"/>
                <w:color w:val="auto"/>
              </w:rPr>
            </w:pPr>
          </w:p>
        </w:tc>
        <w:tc>
          <w:tcPr>
            <w:tcW w:w="1780" w:type="dxa"/>
            <w:vAlign w:val="bottom"/>
            <w:shd w:val="clear" w:color="auto" w:fill="EAF9E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160" w:type="dxa"/>
            <w:vAlign w:val="bottom"/>
            <w:shd w:val="clear" w:color="auto" w:fill="EAF9E8"/>
          </w:tcPr>
          <w:p>
            <w:pPr>
              <w:spacing w:after="0"/>
              <w:rPr>
                <w:sz w:val="24"/>
                <w:szCs w:val="24"/>
                <w:color w:val="auto"/>
              </w:rPr>
            </w:pPr>
          </w:p>
        </w:tc>
        <w:tc>
          <w:tcPr>
            <w:tcW w:w="58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2"/>
              </w:rPr>
              <w:t>15%</w:t>
            </w:r>
          </w:p>
        </w:tc>
        <w:tc>
          <w:tcPr>
            <w:tcW w:w="120" w:type="dxa"/>
            <w:vAlign w:val="bottom"/>
            <w:shd w:val="clear" w:color="auto" w:fill="EAF9E8"/>
          </w:tcPr>
          <w:p>
            <w:pPr>
              <w:spacing w:after="0"/>
              <w:rPr>
                <w:sz w:val="24"/>
                <w:szCs w:val="24"/>
                <w:color w:val="auto"/>
              </w:rPr>
            </w:pPr>
          </w:p>
        </w:tc>
        <w:tc>
          <w:tcPr>
            <w:tcW w:w="2300" w:type="dxa"/>
            <w:vAlign w:val="bottom"/>
            <w:gridSpan w:val="3"/>
            <w:shd w:val="clear" w:color="auto" w:fill="EAF9E8"/>
          </w:tcPr>
          <w:p>
            <w:pPr>
              <w:jc w:val="center"/>
              <w:spacing w:after="0"/>
              <w:rPr>
                <w:sz w:val="20"/>
                <w:szCs w:val="20"/>
                <w:color w:val="auto"/>
              </w:rPr>
            </w:pPr>
            <w:r>
              <w:rPr>
                <w:rFonts w:ascii="Arial" w:cs="Arial" w:eastAsia="Arial" w:hAnsi="Arial"/>
                <w:sz w:val="14"/>
                <w:szCs w:val="14"/>
                <w:color w:val="auto"/>
                <w:w w:val="85"/>
              </w:rPr>
              <w:t>Launch asset management company with</w:t>
            </w: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89"/>
              </w:rPr>
              <w:t>First investment</w:t>
            </w:r>
          </w:p>
        </w:tc>
        <w:tc>
          <w:tcPr>
            <w:tcW w:w="100" w:type="dxa"/>
            <w:vAlign w:val="bottom"/>
            <w:shd w:val="clear" w:color="auto" w:fill="EAF9E8"/>
          </w:tcPr>
          <w:p>
            <w:pPr>
              <w:spacing w:after="0"/>
              <w:rPr>
                <w:sz w:val="24"/>
                <w:szCs w:val="24"/>
                <w:color w:val="auto"/>
              </w:rPr>
            </w:pPr>
          </w:p>
        </w:tc>
        <w:tc>
          <w:tcPr>
            <w:tcW w:w="1820" w:type="dxa"/>
            <w:vAlign w:val="bottom"/>
            <w:shd w:val="clear" w:color="auto" w:fill="EAF9E8"/>
          </w:tcPr>
          <w:p>
            <w:pPr>
              <w:jc w:val="center"/>
              <w:ind w:right="52"/>
              <w:spacing w:after="0"/>
              <w:rPr>
                <w:sz w:val="20"/>
                <w:szCs w:val="20"/>
                <w:color w:val="auto"/>
              </w:rPr>
            </w:pPr>
            <w:r>
              <w:rPr>
                <w:rFonts w:ascii="Arial" w:cs="Arial" w:eastAsia="Arial" w:hAnsi="Arial"/>
                <w:sz w:val="14"/>
                <w:szCs w:val="14"/>
                <w:color w:val="auto"/>
                <w:w w:val="86"/>
              </w:rPr>
              <w:t>First investment</w:t>
            </w:r>
          </w:p>
        </w:tc>
        <w:tc>
          <w:tcPr>
            <w:tcW w:w="17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89"/>
              </w:rPr>
              <w:t>First investment</w:t>
            </w:r>
          </w:p>
        </w:tc>
        <w:tc>
          <w:tcPr>
            <w:tcW w:w="1780" w:type="dxa"/>
            <w:vAlign w:val="bottom"/>
            <w:shd w:val="clear" w:color="auto" w:fill="EAF9E8"/>
          </w:tcPr>
          <w:p>
            <w:pPr>
              <w:jc w:val="center"/>
              <w:ind w:left="12"/>
              <w:spacing w:after="0"/>
              <w:rPr>
                <w:sz w:val="20"/>
                <w:szCs w:val="20"/>
                <w:color w:val="auto"/>
              </w:rPr>
            </w:pPr>
            <w:r>
              <w:rPr>
                <w:rFonts w:ascii="Arial" w:cs="Arial" w:eastAsia="Arial" w:hAnsi="Arial"/>
                <w:sz w:val="14"/>
                <w:szCs w:val="14"/>
                <w:color w:val="auto"/>
                <w:w w:val="83"/>
              </w:rPr>
              <w:t>Target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60" w:type="dxa"/>
            <w:vAlign w:val="bottom"/>
            <w:shd w:val="clear" w:color="auto" w:fill="EAF9E8"/>
          </w:tcPr>
          <w:p>
            <w:pPr>
              <w:spacing w:after="0"/>
              <w:rPr>
                <w:sz w:val="16"/>
                <w:szCs w:val="16"/>
                <w:color w:val="auto"/>
              </w:rPr>
            </w:pPr>
          </w:p>
        </w:tc>
        <w:tc>
          <w:tcPr>
            <w:tcW w:w="58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2300" w:type="dxa"/>
            <w:vAlign w:val="bottom"/>
            <w:gridSpan w:val="3"/>
            <w:shd w:val="clear" w:color="auto" w:fill="EAF9E8"/>
          </w:tcPr>
          <w:p>
            <w:pPr>
              <w:jc w:val="center"/>
              <w:spacing w:after="0"/>
              <w:rPr>
                <w:sz w:val="20"/>
                <w:szCs w:val="20"/>
                <w:color w:val="auto"/>
              </w:rPr>
            </w:pPr>
            <w:r>
              <w:rPr>
                <w:rFonts w:ascii="Arial" w:cs="Arial" w:eastAsia="Arial" w:hAnsi="Arial"/>
                <w:sz w:val="14"/>
                <w:szCs w:val="14"/>
                <w:color w:val="auto"/>
                <w:w w:val="92"/>
              </w:rPr>
              <w:t>funding of $150 million</w:t>
            </w:r>
          </w:p>
        </w:tc>
        <w:tc>
          <w:tcPr>
            <w:tcW w:w="120" w:type="dxa"/>
            <w:vAlign w:val="bottom"/>
            <w:shd w:val="clear" w:color="auto" w:fill="EAF9E8"/>
          </w:tcPr>
          <w:p>
            <w:pPr>
              <w:spacing w:after="0"/>
              <w:rPr>
                <w:sz w:val="16"/>
                <w:szCs w:val="16"/>
                <w:color w:val="auto"/>
              </w:rPr>
            </w:pPr>
          </w:p>
        </w:tc>
        <w:tc>
          <w:tcPr>
            <w:tcW w:w="1720" w:type="dxa"/>
            <w:vAlign w:val="bottom"/>
            <w:shd w:val="clear" w:color="auto" w:fill="EAF9E8"/>
          </w:tcPr>
          <w:p>
            <w:pPr>
              <w:jc w:val="center"/>
              <w:spacing w:after="0" w:line="191" w:lineRule="exact"/>
              <w:rPr>
                <w:sz w:val="20"/>
                <w:szCs w:val="20"/>
                <w:color w:val="auto"/>
              </w:rPr>
            </w:pPr>
            <w:r>
              <w:rPr>
                <w:rFonts w:ascii="Arial" w:cs="Arial" w:eastAsia="Arial" w:hAnsi="Arial"/>
                <w:sz w:val="14"/>
                <w:szCs w:val="14"/>
                <w:color w:val="auto"/>
                <w:w w:val="81"/>
              </w:rPr>
              <w:t>by June 30</w:t>
            </w:r>
            <w:r>
              <w:rPr>
                <w:rFonts w:ascii="Arial" w:cs="Arial" w:eastAsia="Arial" w:hAnsi="Arial"/>
                <w:sz w:val="22"/>
                <w:szCs w:val="22"/>
                <w:color w:val="auto"/>
                <w:w w:val="81"/>
                <w:vertAlign w:val="superscript"/>
              </w:rPr>
              <w:t>th</w:t>
            </w:r>
          </w:p>
        </w:tc>
        <w:tc>
          <w:tcPr>
            <w:tcW w:w="100" w:type="dxa"/>
            <w:vAlign w:val="bottom"/>
            <w:shd w:val="clear" w:color="auto" w:fill="EAF9E8"/>
          </w:tcPr>
          <w:p>
            <w:pPr>
              <w:spacing w:after="0"/>
              <w:rPr>
                <w:sz w:val="16"/>
                <w:szCs w:val="16"/>
                <w:color w:val="auto"/>
              </w:rPr>
            </w:pPr>
          </w:p>
        </w:tc>
        <w:tc>
          <w:tcPr>
            <w:tcW w:w="1820" w:type="dxa"/>
            <w:vAlign w:val="bottom"/>
            <w:shd w:val="clear" w:color="auto" w:fill="EAF9E8"/>
          </w:tcPr>
          <w:p>
            <w:pPr>
              <w:jc w:val="center"/>
              <w:ind w:right="52"/>
              <w:spacing w:after="0" w:line="191" w:lineRule="exact"/>
              <w:rPr>
                <w:sz w:val="20"/>
                <w:szCs w:val="20"/>
                <w:color w:val="auto"/>
              </w:rPr>
            </w:pPr>
            <w:r>
              <w:rPr>
                <w:rFonts w:ascii="Arial" w:cs="Arial" w:eastAsia="Arial" w:hAnsi="Arial"/>
                <w:sz w:val="14"/>
                <w:szCs w:val="14"/>
                <w:color w:val="auto"/>
                <w:w w:val="86"/>
              </w:rPr>
              <w:t>by May 31</w:t>
            </w:r>
            <w:r>
              <w:rPr>
                <w:rFonts w:ascii="Arial" w:cs="Arial" w:eastAsia="Arial" w:hAnsi="Arial"/>
                <w:sz w:val="22"/>
                <w:szCs w:val="22"/>
                <w:color w:val="auto"/>
                <w:w w:val="86"/>
                <w:vertAlign w:val="superscript"/>
              </w:rPr>
              <w:t>st</w:t>
            </w:r>
          </w:p>
        </w:tc>
        <w:tc>
          <w:tcPr>
            <w:tcW w:w="1720" w:type="dxa"/>
            <w:vAlign w:val="bottom"/>
            <w:shd w:val="clear" w:color="auto" w:fill="EAF9E8"/>
          </w:tcPr>
          <w:p>
            <w:pPr>
              <w:jc w:val="center"/>
              <w:spacing w:after="0" w:line="191" w:lineRule="exact"/>
              <w:rPr>
                <w:sz w:val="20"/>
                <w:szCs w:val="20"/>
                <w:color w:val="auto"/>
              </w:rPr>
            </w:pPr>
            <w:r>
              <w:rPr>
                <w:rFonts w:ascii="Arial" w:cs="Arial" w:eastAsia="Arial" w:hAnsi="Arial"/>
                <w:sz w:val="14"/>
                <w:szCs w:val="14"/>
                <w:color w:val="auto"/>
                <w:w w:val="91"/>
              </w:rPr>
              <w:t>by April 30</w:t>
            </w:r>
            <w:r>
              <w:rPr>
                <w:rFonts w:ascii="Arial" w:cs="Arial" w:eastAsia="Arial" w:hAnsi="Arial"/>
                <w:sz w:val="22"/>
                <w:szCs w:val="22"/>
                <w:color w:val="auto"/>
                <w:w w:val="91"/>
                <w:vertAlign w:val="superscript"/>
              </w:rPr>
              <w:t>th</w:t>
            </w:r>
          </w:p>
        </w:tc>
        <w:tc>
          <w:tcPr>
            <w:tcW w:w="1780" w:type="dxa"/>
            <w:vAlign w:val="bottom"/>
            <w:shd w:val="clear" w:color="auto" w:fill="EAF9E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2007 Scorecard</w:t>
            </w:r>
          </w:p>
        </w:tc>
        <w:tc>
          <w:tcPr>
            <w:tcW w:w="17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6"/>
              </w:rPr>
              <w:t>Achievement Levels</w:t>
            </w:r>
          </w:p>
        </w:tc>
        <w:tc>
          <w:tcPr>
            <w:tcW w:w="1800" w:type="dxa"/>
            <w:vAlign w:val="bottom"/>
          </w:tcPr>
          <w:p>
            <w:pPr>
              <w:spacing w:after="0"/>
              <w:rPr>
                <w:sz w:val="15"/>
                <w:szCs w:val="15"/>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Level</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8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85"/>
              </w:rPr>
              <w:t>Threshold</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Achieved</w:t>
            </w:r>
          </w:p>
        </w:tc>
        <w:tc>
          <w:tcPr>
            <w:tcW w:w="0" w:type="dxa"/>
            <w:vAlign w:val="bottom"/>
          </w:tcPr>
          <w:p>
            <w:pPr>
              <w:spacing w:after="0" w:line="20" w:lineRule="exact"/>
              <w:rPr>
                <w:sz w:val="1"/>
                <w:szCs w:val="1"/>
                <w:color w:val="auto"/>
              </w:rPr>
            </w:pPr>
          </w:p>
        </w:tc>
      </w:tr>
      <w:tr>
        <w:trPr>
          <w:trHeight w:val="142"/>
        </w:trPr>
        <w:tc>
          <w:tcPr>
            <w:tcW w:w="11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Pr>
          <w:p>
            <w:pPr>
              <w:spacing w:after="0" w:line="142" w:lineRule="exact"/>
              <w:rPr>
                <w:sz w:val="20"/>
                <w:szCs w:val="20"/>
                <w:color w:val="auto"/>
              </w:rPr>
            </w:pPr>
            <w:r>
              <w:rPr>
                <w:rFonts w:ascii="Arial" w:cs="Arial" w:eastAsia="Arial" w:hAnsi="Arial"/>
                <w:sz w:val="14"/>
                <w:szCs w:val="14"/>
                <w:b w:val="1"/>
                <w:bCs w:val="1"/>
                <w:color w:val="auto"/>
              </w:rPr>
              <w:t>Elements</w:t>
            </w:r>
          </w:p>
        </w:tc>
        <w:tc>
          <w:tcPr>
            <w:tcW w:w="17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w w:val="92"/>
              </w:rPr>
              <w:t>20%</w:t>
            </w:r>
          </w:p>
        </w:tc>
        <w:tc>
          <w:tcPr>
            <w:tcW w:w="2560" w:type="dxa"/>
            <w:vAlign w:val="bottom"/>
            <w:gridSpan w:val="3"/>
          </w:tcPr>
          <w:p>
            <w:pPr>
              <w:jc w:val="center"/>
              <w:spacing w:after="0"/>
              <w:rPr>
                <w:sz w:val="20"/>
                <w:szCs w:val="20"/>
                <w:color w:val="auto"/>
              </w:rPr>
            </w:pPr>
            <w:r>
              <w:rPr>
                <w:rFonts w:ascii="Arial" w:cs="Arial" w:eastAsia="Arial" w:hAnsi="Arial"/>
                <w:sz w:val="14"/>
                <w:szCs w:val="14"/>
                <w:color w:val="auto"/>
                <w:w w:val="88"/>
              </w:rPr>
              <w:t>Achieve Organic Revenue Growth plan</w:t>
            </w:r>
          </w:p>
        </w:tc>
        <w:tc>
          <w:tcPr>
            <w:tcW w:w="1780" w:type="dxa"/>
            <w:vAlign w:val="bottom"/>
          </w:tcPr>
          <w:p>
            <w:pPr>
              <w:jc w:val="center"/>
              <w:spacing w:after="0"/>
              <w:rPr>
                <w:sz w:val="20"/>
                <w:szCs w:val="20"/>
                <w:color w:val="auto"/>
              </w:rPr>
            </w:pPr>
            <w:r>
              <w:rPr>
                <w:rFonts w:ascii="Arial" w:cs="Arial" w:eastAsia="Arial" w:hAnsi="Arial"/>
                <w:sz w:val="14"/>
                <w:szCs w:val="14"/>
                <w:color w:val="auto"/>
                <w:w w:val="89"/>
              </w:rPr>
              <w:t>Achieve 90% of organic</w:t>
            </w:r>
          </w:p>
        </w:tc>
        <w:tc>
          <w:tcPr>
            <w:tcW w:w="1780" w:type="dxa"/>
            <w:vAlign w:val="bottom"/>
          </w:tcPr>
          <w:p>
            <w:pPr>
              <w:jc w:val="center"/>
              <w:spacing w:after="0"/>
              <w:rPr>
                <w:sz w:val="20"/>
                <w:szCs w:val="20"/>
                <w:color w:val="auto"/>
              </w:rPr>
            </w:pPr>
            <w:r>
              <w:rPr>
                <w:rFonts w:ascii="Arial" w:cs="Arial" w:eastAsia="Arial" w:hAnsi="Arial"/>
                <w:sz w:val="14"/>
                <w:szCs w:val="14"/>
                <w:color w:val="auto"/>
                <w:w w:val="86"/>
              </w:rPr>
              <w:t>Achieve organic revenue</w:t>
            </w:r>
          </w:p>
        </w:tc>
        <w:tc>
          <w:tcPr>
            <w:tcW w:w="1800" w:type="dxa"/>
            <w:vAlign w:val="bottom"/>
          </w:tcPr>
          <w:p>
            <w:pPr>
              <w:jc w:val="center"/>
              <w:spacing w:after="0"/>
              <w:rPr>
                <w:sz w:val="20"/>
                <w:szCs w:val="20"/>
                <w:color w:val="auto"/>
              </w:rPr>
            </w:pPr>
            <w:r>
              <w:rPr>
                <w:rFonts w:ascii="Arial" w:cs="Arial" w:eastAsia="Arial" w:hAnsi="Arial"/>
                <w:sz w:val="14"/>
                <w:szCs w:val="14"/>
                <w:color w:val="auto"/>
                <w:w w:val="87"/>
              </w:rPr>
              <w:t>Achieve 110% of organic</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86"/>
              </w:rPr>
              <w:t>Threshold</w:t>
            </w: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560" w:type="dxa"/>
            <w:vAlign w:val="bottom"/>
            <w:gridSpan w:val="3"/>
            <w:vMerge w:val="restart"/>
          </w:tcPr>
          <w:p>
            <w:pPr>
              <w:jc w:val="center"/>
              <w:spacing w:after="0"/>
              <w:rPr>
                <w:sz w:val="20"/>
                <w:szCs w:val="20"/>
                <w:color w:val="auto"/>
              </w:rPr>
            </w:pPr>
            <w:r>
              <w:rPr>
                <w:rFonts w:ascii="Arial" w:cs="Arial" w:eastAsia="Arial" w:hAnsi="Arial"/>
                <w:sz w:val="14"/>
                <w:szCs w:val="14"/>
                <w:color w:val="auto"/>
                <w:w w:val="88"/>
              </w:rPr>
              <w:t>for Ocwen Recovery Group</w:t>
            </w:r>
          </w:p>
        </w:tc>
        <w:tc>
          <w:tcPr>
            <w:tcW w:w="1780" w:type="dxa"/>
            <w:vAlign w:val="bottom"/>
            <w:vMerge w:val="restart"/>
          </w:tcPr>
          <w:p>
            <w:pPr>
              <w:jc w:val="center"/>
              <w:ind w:right="12"/>
              <w:spacing w:after="0"/>
              <w:rPr>
                <w:sz w:val="20"/>
                <w:szCs w:val="20"/>
                <w:color w:val="auto"/>
              </w:rPr>
            </w:pPr>
            <w:r>
              <w:rPr>
                <w:rFonts w:ascii="Arial" w:cs="Arial" w:eastAsia="Arial" w:hAnsi="Arial"/>
                <w:sz w:val="14"/>
                <w:szCs w:val="14"/>
                <w:color w:val="auto"/>
                <w:w w:val="86"/>
              </w:rPr>
              <w:t>revenue growth plan</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1"/>
              </w:rPr>
              <w:t>growth plan</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88"/>
              </w:rPr>
              <w:t>revenue growth plan</w:t>
            </w: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560" w:type="dxa"/>
            <w:vAlign w:val="bottom"/>
            <w:gridSpan w:val="3"/>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1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560" w:type="dxa"/>
            <w:vAlign w:val="bottom"/>
            <w:gridSpan w:val="3"/>
          </w:tcPr>
          <w:p>
            <w:pPr>
              <w:jc w:val="center"/>
              <w:spacing w:after="0"/>
              <w:rPr>
                <w:sz w:val="20"/>
                <w:szCs w:val="20"/>
                <w:color w:val="auto"/>
              </w:rPr>
            </w:pPr>
            <w:r>
              <w:rPr>
                <w:rFonts w:ascii="Arial" w:cs="Arial" w:eastAsia="Arial" w:hAnsi="Arial"/>
                <w:sz w:val="14"/>
                <w:szCs w:val="14"/>
                <w:color w:val="auto"/>
                <w:w w:val="87"/>
              </w:rPr>
              <w:t>Achieve pre-tax income (before taxes and</w:t>
            </w:r>
          </w:p>
        </w:tc>
        <w:tc>
          <w:tcPr>
            <w:tcW w:w="17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2"/>
              </w:rPr>
              <w:t>20%</w:t>
            </w:r>
          </w:p>
        </w:tc>
        <w:tc>
          <w:tcPr>
            <w:tcW w:w="25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extraordinary items) of</w:t>
            </w:r>
          </w:p>
        </w:tc>
        <w:tc>
          <w:tcPr>
            <w:tcW w:w="17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3"/>
              </w:rPr>
              <w:t>$2.6 million</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$3.0 million</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3"/>
              </w:rPr>
              <w:t>$3.5 million</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3"/>
              </w:rPr>
              <w:t>Target</w:t>
            </w: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gridSpan w:val="2"/>
          </w:tcPr>
          <w:p>
            <w:pPr>
              <w:jc w:val="center"/>
              <w:ind w:right="752"/>
              <w:spacing w:after="0"/>
              <w:rPr>
                <w:sz w:val="20"/>
                <w:szCs w:val="20"/>
                <w:color w:val="auto"/>
              </w:rPr>
            </w:pPr>
            <w:r>
              <w:rPr>
                <w:rFonts w:ascii="Arial" w:cs="Arial" w:eastAsia="Arial" w:hAnsi="Arial"/>
                <w:sz w:val="14"/>
                <w:szCs w:val="14"/>
                <w:color w:val="auto"/>
                <w:w w:val="93"/>
              </w:rPr>
              <w:t>$3.0 million</w:t>
            </w:r>
          </w:p>
        </w:tc>
        <w:tc>
          <w:tcPr>
            <w:tcW w:w="1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560" w:type="dxa"/>
            <w:vAlign w:val="bottom"/>
            <w:gridSpan w:val="3"/>
          </w:tcPr>
          <w:p>
            <w:pPr>
              <w:jc w:val="center"/>
              <w:spacing w:after="0"/>
              <w:rPr>
                <w:sz w:val="20"/>
                <w:szCs w:val="20"/>
                <w:color w:val="auto"/>
              </w:rPr>
            </w:pPr>
            <w:r>
              <w:rPr>
                <w:rFonts w:ascii="Arial" w:cs="Arial" w:eastAsia="Arial" w:hAnsi="Arial"/>
                <w:sz w:val="14"/>
                <w:szCs w:val="14"/>
                <w:color w:val="auto"/>
                <w:w w:val="87"/>
              </w:rPr>
              <w:t>Contribute revenue of</w:t>
            </w:r>
          </w:p>
        </w:tc>
        <w:tc>
          <w:tcPr>
            <w:tcW w:w="1780" w:type="dxa"/>
            <w:vAlign w:val="bottom"/>
          </w:tcPr>
          <w:p>
            <w:pPr>
              <w:spacing w:after="0"/>
              <w:rPr>
                <w:sz w:val="23"/>
                <w:szCs w:val="23"/>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88"/>
              </w:rPr>
              <w:t>2007 revenue lift of $10</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0"/>
              </w:rPr>
              <w:t>2007 revenue lift of $15</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20%</w:t>
            </w:r>
          </w:p>
        </w:tc>
        <w:tc>
          <w:tcPr>
            <w:tcW w:w="25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auto"/>
                <w:w w:val="89"/>
              </w:rPr>
              <w:t>$10 million from Unsecured Collections</w:t>
            </w:r>
          </w:p>
        </w:tc>
        <w:tc>
          <w:tcPr>
            <w:tcW w:w="1780" w:type="dxa"/>
            <w:vAlign w:val="bottom"/>
            <w:vMerge w:val="restart"/>
          </w:tcPr>
          <w:p>
            <w:pPr>
              <w:jc w:val="center"/>
              <w:ind w:right="12"/>
              <w:spacing w:after="0" w:line="149" w:lineRule="exact"/>
              <w:rPr>
                <w:sz w:val="20"/>
                <w:szCs w:val="20"/>
                <w:color w:val="auto"/>
              </w:rPr>
            </w:pPr>
            <w:r>
              <w:rPr>
                <w:rFonts w:ascii="Arial" w:cs="Arial" w:eastAsia="Arial" w:hAnsi="Arial"/>
                <w:sz w:val="14"/>
                <w:szCs w:val="14"/>
                <w:color w:val="auto"/>
                <w:w w:val="91"/>
              </w:rPr>
              <w:t>2007 revenue lift of $5 million</w:t>
            </w:r>
          </w:p>
        </w:tc>
        <w:tc>
          <w:tcPr>
            <w:tcW w:w="178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8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560" w:type="dxa"/>
            <w:vAlign w:val="bottom"/>
            <w:gridSpan w:val="3"/>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5"/>
              </w:rPr>
              <w:t>million</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rPr>
              <w:t>million</w:t>
            </w: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20" w:type="dxa"/>
            <w:vAlign w:val="bottom"/>
            <w:gridSpan w:val="2"/>
            <w:vMerge w:val="restart"/>
          </w:tcPr>
          <w:p>
            <w:pPr>
              <w:jc w:val="center"/>
              <w:ind w:right="752"/>
              <w:spacing w:after="0"/>
              <w:rPr>
                <w:sz w:val="20"/>
                <w:szCs w:val="20"/>
                <w:color w:val="auto"/>
              </w:rPr>
            </w:pPr>
            <w:r>
              <w:rPr>
                <w:rFonts w:ascii="Arial" w:cs="Arial" w:eastAsia="Arial" w:hAnsi="Arial"/>
                <w:sz w:val="14"/>
                <w:szCs w:val="14"/>
                <w:color w:val="auto"/>
                <w:w w:val="87"/>
              </w:rPr>
              <w:t>acquisition</w:t>
            </w:r>
          </w:p>
        </w:tc>
        <w:tc>
          <w:tcPr>
            <w:tcW w:w="178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80" w:type="dxa"/>
            <w:vAlign w:val="bottom"/>
            <w:vMerge w:val="restart"/>
          </w:tcPr>
          <w:p>
            <w:pPr>
              <w:spacing w:after="0"/>
              <w:rPr>
                <w:sz w:val="20"/>
                <w:szCs w:val="20"/>
                <w:color w:val="auto"/>
              </w:rPr>
            </w:pPr>
            <w:r>
              <w:rPr>
                <w:rFonts w:ascii="Arial" w:cs="Arial" w:eastAsia="Arial" w:hAnsi="Arial"/>
                <w:sz w:val="14"/>
                <w:szCs w:val="14"/>
                <w:color w:val="auto"/>
              </w:rPr>
              <w:t>William B. Shepro</w:t>
            </w: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7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560" w:type="dxa"/>
            <w:vAlign w:val="bottom"/>
            <w:gridSpan w:val="3"/>
            <w:vMerge w:val="restart"/>
          </w:tcPr>
          <w:p>
            <w:pPr>
              <w:jc w:val="center"/>
              <w:spacing w:after="0"/>
              <w:rPr>
                <w:sz w:val="20"/>
                <w:szCs w:val="20"/>
                <w:color w:val="auto"/>
              </w:rPr>
            </w:pPr>
            <w:r>
              <w:rPr>
                <w:rFonts w:ascii="Arial" w:cs="Arial" w:eastAsia="Arial" w:hAnsi="Arial"/>
                <w:sz w:val="14"/>
                <w:szCs w:val="14"/>
                <w:color w:val="auto"/>
                <w:w w:val="87"/>
              </w:rPr>
              <w:t>Achieve Revenue of</w:t>
            </w:r>
          </w:p>
        </w:tc>
        <w:tc>
          <w:tcPr>
            <w:tcW w:w="1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w w:val="92"/>
              </w:rPr>
              <w:t>10%</w:t>
            </w:r>
          </w:p>
        </w:tc>
        <w:tc>
          <w:tcPr>
            <w:tcW w:w="2560" w:type="dxa"/>
            <w:vAlign w:val="bottom"/>
            <w:gridSpan w:val="3"/>
            <w:vMerge w:val="continue"/>
          </w:tcPr>
          <w:p>
            <w:pPr>
              <w:spacing w:after="0"/>
              <w:rPr>
                <w:sz w:val="10"/>
                <w:szCs w:val="10"/>
                <w:color w:val="auto"/>
              </w:rPr>
            </w:pPr>
          </w:p>
        </w:tc>
        <w:tc>
          <w:tcPr>
            <w:tcW w:w="1780" w:type="dxa"/>
            <w:vAlign w:val="bottom"/>
            <w:vMerge w:val="restart"/>
          </w:tcPr>
          <w:p>
            <w:pPr>
              <w:jc w:val="center"/>
              <w:ind w:right="12"/>
              <w:spacing w:after="0"/>
              <w:rPr>
                <w:sz w:val="20"/>
                <w:szCs w:val="20"/>
                <w:color w:val="auto"/>
              </w:rPr>
            </w:pPr>
            <w:r>
              <w:rPr>
                <w:rFonts w:ascii="Arial" w:cs="Arial" w:eastAsia="Arial" w:hAnsi="Arial"/>
                <w:sz w:val="14"/>
                <w:szCs w:val="14"/>
                <w:color w:val="auto"/>
                <w:w w:val="94"/>
              </w:rPr>
              <w:t>$33.7 million</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4"/>
              </w:rPr>
              <w:t>$35.5 million</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1"/>
              </w:rPr>
              <w:t>$37.2 million</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720" w:type="dxa"/>
            <w:vAlign w:val="bottom"/>
            <w:gridSpan w:val="2"/>
            <w:vMerge w:val="restart"/>
          </w:tcPr>
          <w:p>
            <w:pPr>
              <w:jc w:val="center"/>
              <w:ind w:right="752"/>
              <w:spacing w:after="0"/>
              <w:rPr>
                <w:sz w:val="20"/>
                <w:szCs w:val="20"/>
                <w:color w:val="auto"/>
              </w:rPr>
            </w:pPr>
            <w:r>
              <w:rPr>
                <w:rFonts w:ascii="Arial" w:cs="Arial" w:eastAsia="Arial" w:hAnsi="Arial"/>
                <w:sz w:val="14"/>
                <w:szCs w:val="14"/>
                <w:color w:val="auto"/>
                <w:w w:val="94"/>
              </w:rPr>
              <w:t>$35.5 million</w:t>
            </w:r>
          </w:p>
        </w:tc>
        <w:tc>
          <w:tcPr>
            <w:tcW w:w="178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7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1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560" w:type="dxa"/>
            <w:vAlign w:val="bottom"/>
            <w:gridSpan w:val="3"/>
          </w:tcPr>
          <w:p>
            <w:pPr>
              <w:jc w:val="center"/>
              <w:spacing w:after="0"/>
              <w:rPr>
                <w:sz w:val="20"/>
                <w:szCs w:val="20"/>
                <w:color w:val="auto"/>
              </w:rPr>
            </w:pPr>
            <w:r>
              <w:rPr>
                <w:rFonts w:ascii="Arial" w:cs="Arial" w:eastAsia="Arial" w:hAnsi="Arial"/>
                <w:sz w:val="14"/>
                <w:szCs w:val="14"/>
                <w:color w:val="auto"/>
                <w:w w:val="87"/>
              </w:rPr>
              <w:t>Achieve operating expense budget of</w:t>
            </w:r>
          </w:p>
        </w:tc>
        <w:tc>
          <w:tcPr>
            <w:tcW w:w="1780" w:type="dxa"/>
            <w:vAlign w:val="bottom"/>
            <w:vMerge w:val="restart"/>
          </w:tcPr>
          <w:p>
            <w:pPr>
              <w:jc w:val="center"/>
              <w:ind w:right="12"/>
              <w:spacing w:after="0"/>
              <w:rPr>
                <w:sz w:val="20"/>
                <w:szCs w:val="20"/>
                <w:color w:val="auto"/>
              </w:rPr>
            </w:pPr>
            <w:r>
              <w:rPr>
                <w:rFonts w:ascii="Arial" w:cs="Arial" w:eastAsia="Arial" w:hAnsi="Arial"/>
                <w:sz w:val="14"/>
                <w:szCs w:val="14"/>
                <w:color w:val="auto"/>
                <w:w w:val="84"/>
              </w:rPr>
              <w:t>Operating expense no greater</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86"/>
              </w:rPr>
              <w:t>Achieve operating expense</w:t>
            </w:r>
          </w:p>
        </w:tc>
        <w:tc>
          <w:tcPr>
            <w:tcW w:w="18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5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auto"/>
                <w:w w:val="89"/>
              </w:rPr>
              <w:t>$26.6 million or maintain operating</w:t>
            </w:r>
          </w:p>
        </w:tc>
        <w:tc>
          <w:tcPr>
            <w:tcW w:w="178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18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5"/>
              </w:rPr>
              <w:t>Operating expenses at 90% of</w:t>
            </w: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10%</w:t>
            </w:r>
          </w:p>
        </w:tc>
        <w:tc>
          <w:tcPr>
            <w:tcW w:w="2560" w:type="dxa"/>
            <w:vAlign w:val="bottom"/>
            <w:gridSpan w:val="3"/>
            <w:vMerge w:val="continue"/>
          </w:tcPr>
          <w:p>
            <w:pPr>
              <w:spacing w:after="0"/>
              <w:rPr>
                <w:sz w:val="7"/>
                <w:szCs w:val="7"/>
                <w:color w:val="auto"/>
              </w:rPr>
            </w:pPr>
          </w:p>
        </w:tc>
        <w:tc>
          <w:tcPr>
            <w:tcW w:w="1780" w:type="dxa"/>
            <w:vAlign w:val="bottom"/>
            <w:vMerge w:val="restart"/>
          </w:tcPr>
          <w:p>
            <w:pPr>
              <w:jc w:val="center"/>
              <w:ind w:right="12"/>
              <w:spacing w:after="0" w:line="149" w:lineRule="exact"/>
              <w:rPr>
                <w:sz w:val="20"/>
                <w:szCs w:val="20"/>
                <w:color w:val="auto"/>
              </w:rPr>
            </w:pPr>
            <w:r>
              <w:rPr>
                <w:rFonts w:ascii="Arial" w:cs="Arial" w:eastAsia="Arial" w:hAnsi="Arial"/>
                <w:sz w:val="14"/>
                <w:szCs w:val="14"/>
                <w:color w:val="auto"/>
                <w:w w:val="87"/>
              </w:rPr>
              <w:t>than 110% of plan or pro rata</w:t>
            </w:r>
          </w:p>
        </w:tc>
        <w:tc>
          <w:tcPr>
            <w:tcW w:w="17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6"/>
              </w:rPr>
              <w:t>budget pro rata with revenue</w:t>
            </w:r>
          </w:p>
        </w:tc>
        <w:tc>
          <w:tcPr>
            <w:tcW w:w="1800" w:type="dxa"/>
            <w:vAlign w:val="bottom"/>
            <w:vMerge w:val="continue"/>
          </w:tcPr>
          <w:p>
            <w:pPr>
              <w:spacing w:after="0"/>
              <w:rPr>
                <w:sz w:val="7"/>
                <w:szCs w:val="7"/>
                <w:color w:val="auto"/>
              </w:rPr>
            </w:pPr>
          </w:p>
        </w:tc>
        <w:tc>
          <w:tcPr>
            <w:tcW w:w="18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0"/>
              </w:rPr>
              <w:t>Below Threshold</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5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auto"/>
                <w:w w:val="85"/>
              </w:rPr>
              <w:t>expenses at 75% of revenue if revenue</w:t>
            </w:r>
          </w:p>
        </w:tc>
        <w:tc>
          <w:tcPr>
            <w:tcW w:w="178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18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8"/>
              </w:rPr>
              <w:t>plan or pro rata actual</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560" w:type="dxa"/>
            <w:vAlign w:val="bottom"/>
            <w:gridSpan w:val="3"/>
            <w:vMerge w:val="continue"/>
          </w:tcPr>
          <w:p>
            <w:pPr>
              <w:spacing w:after="0"/>
              <w:rPr>
                <w:sz w:val="7"/>
                <w:szCs w:val="7"/>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85"/>
              </w:rPr>
              <w:t>actual</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88"/>
              </w:rPr>
              <w:t>achievement</w:t>
            </w:r>
          </w:p>
        </w:tc>
        <w:tc>
          <w:tcPr>
            <w:tcW w:w="1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560" w:type="dxa"/>
            <w:vAlign w:val="bottom"/>
            <w:gridSpan w:val="3"/>
            <w:vMerge w:val="restart"/>
          </w:tcPr>
          <w:p>
            <w:pPr>
              <w:jc w:val="center"/>
              <w:spacing w:after="0"/>
              <w:rPr>
                <w:sz w:val="20"/>
                <w:szCs w:val="20"/>
                <w:color w:val="auto"/>
              </w:rPr>
            </w:pPr>
            <w:r>
              <w:rPr>
                <w:rFonts w:ascii="Arial" w:cs="Arial" w:eastAsia="Arial" w:hAnsi="Arial"/>
                <w:sz w:val="14"/>
                <w:szCs w:val="14"/>
                <w:color w:val="auto"/>
                <w:w w:val="84"/>
              </w:rPr>
              <w:t>exceeds budget for current businesses</w:t>
            </w:r>
          </w:p>
        </w:tc>
        <w:tc>
          <w:tcPr>
            <w:tcW w:w="178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560" w:type="dxa"/>
            <w:vAlign w:val="bottom"/>
            <w:gridSpan w:val="3"/>
            <w:vMerge w:val="continue"/>
          </w:tcPr>
          <w:p>
            <w:pPr>
              <w:spacing w:after="0"/>
              <w:rPr>
                <w:sz w:val="7"/>
                <w:szCs w:val="7"/>
                <w:color w:val="auto"/>
              </w:rPr>
            </w:pPr>
          </w:p>
        </w:tc>
        <w:tc>
          <w:tcPr>
            <w:tcW w:w="17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1180" w:type="dxa"/>
            <w:vAlign w:val="bottom"/>
          </w:tcPr>
          <w:p>
            <w:pPr>
              <w:spacing w:after="0"/>
              <w:rPr>
                <w:sz w:val="23"/>
                <w:szCs w:val="23"/>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w w:val="92"/>
              </w:rPr>
              <w:t>20%</w:t>
            </w:r>
          </w:p>
        </w:tc>
        <w:tc>
          <w:tcPr>
            <w:tcW w:w="2560" w:type="dxa"/>
            <w:vAlign w:val="bottom"/>
            <w:gridSpan w:val="3"/>
            <w:vMerge w:val="restart"/>
          </w:tcPr>
          <w:p>
            <w:pPr>
              <w:jc w:val="center"/>
              <w:spacing w:after="0"/>
              <w:rPr>
                <w:sz w:val="20"/>
                <w:szCs w:val="20"/>
                <w:color w:val="auto"/>
              </w:rPr>
            </w:pPr>
            <w:r>
              <w:rPr>
                <w:rFonts w:ascii="Arial" w:cs="Arial" w:eastAsia="Arial" w:hAnsi="Arial"/>
                <w:sz w:val="14"/>
                <w:szCs w:val="14"/>
                <w:color w:val="auto"/>
                <w:w w:val="87"/>
              </w:rPr>
              <w:t>Sell or wind down businesses</w:t>
            </w:r>
          </w:p>
        </w:tc>
        <w:tc>
          <w:tcPr>
            <w:tcW w:w="1780" w:type="dxa"/>
            <w:vAlign w:val="bottom"/>
          </w:tcPr>
          <w:p>
            <w:pPr>
              <w:jc w:val="center"/>
              <w:spacing w:after="0"/>
              <w:rPr>
                <w:sz w:val="20"/>
                <w:szCs w:val="20"/>
                <w:color w:val="auto"/>
              </w:rPr>
            </w:pPr>
            <w:r>
              <w:rPr>
                <w:rFonts w:ascii="Arial" w:cs="Arial" w:eastAsia="Arial" w:hAnsi="Arial"/>
                <w:sz w:val="14"/>
                <w:szCs w:val="14"/>
                <w:color w:val="auto"/>
                <w:w w:val="85"/>
              </w:rPr>
              <w:t>2 businesses sold or wound</w:t>
            </w:r>
          </w:p>
        </w:tc>
        <w:tc>
          <w:tcPr>
            <w:tcW w:w="1780" w:type="dxa"/>
            <w:vAlign w:val="bottom"/>
          </w:tcPr>
          <w:p>
            <w:pPr>
              <w:jc w:val="center"/>
              <w:spacing w:after="0"/>
              <w:rPr>
                <w:sz w:val="20"/>
                <w:szCs w:val="20"/>
                <w:color w:val="auto"/>
              </w:rPr>
            </w:pPr>
            <w:r>
              <w:rPr>
                <w:rFonts w:ascii="Arial" w:cs="Arial" w:eastAsia="Arial" w:hAnsi="Arial"/>
                <w:sz w:val="14"/>
                <w:szCs w:val="14"/>
                <w:color w:val="auto"/>
                <w:w w:val="84"/>
              </w:rPr>
              <w:t>3 businesses sold or wound</w:t>
            </w:r>
          </w:p>
        </w:tc>
        <w:tc>
          <w:tcPr>
            <w:tcW w:w="1800" w:type="dxa"/>
            <w:vAlign w:val="bottom"/>
          </w:tcPr>
          <w:p>
            <w:pPr>
              <w:jc w:val="center"/>
              <w:spacing w:after="0"/>
              <w:rPr>
                <w:sz w:val="20"/>
                <w:szCs w:val="20"/>
                <w:color w:val="auto"/>
              </w:rPr>
            </w:pPr>
            <w:r>
              <w:rPr>
                <w:rFonts w:ascii="Arial" w:cs="Arial" w:eastAsia="Arial" w:hAnsi="Arial"/>
                <w:sz w:val="14"/>
                <w:szCs w:val="14"/>
                <w:color w:val="auto"/>
                <w:w w:val="85"/>
              </w:rPr>
              <w:t>4 businesses sold or wound</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83"/>
              </w:rPr>
              <w:t>Target</w:t>
            </w: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560" w:type="dxa"/>
            <w:vAlign w:val="bottom"/>
            <w:gridSpan w:val="3"/>
            <w:vMerge w:val="continue"/>
          </w:tcPr>
          <w:p>
            <w:pPr>
              <w:spacing w:after="0"/>
              <w:rPr>
                <w:sz w:val="7"/>
                <w:szCs w:val="7"/>
                <w:color w:val="auto"/>
              </w:rPr>
            </w:pPr>
          </w:p>
        </w:tc>
        <w:tc>
          <w:tcPr>
            <w:tcW w:w="1780" w:type="dxa"/>
            <w:vAlign w:val="bottom"/>
            <w:vMerge w:val="restart"/>
          </w:tcPr>
          <w:p>
            <w:pPr>
              <w:jc w:val="center"/>
              <w:ind w:right="12"/>
              <w:spacing w:after="0"/>
              <w:rPr>
                <w:sz w:val="20"/>
                <w:szCs w:val="20"/>
                <w:color w:val="auto"/>
              </w:rPr>
            </w:pPr>
            <w:r>
              <w:rPr>
                <w:rFonts w:ascii="Arial" w:cs="Arial" w:eastAsia="Arial" w:hAnsi="Arial"/>
                <w:sz w:val="14"/>
                <w:szCs w:val="14"/>
                <w:color w:val="auto"/>
                <w:w w:val="89"/>
              </w:rPr>
              <w:t>down</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89"/>
              </w:rPr>
              <w:t>down</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89"/>
              </w:rPr>
              <w:t>down</w:t>
            </w: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scorecards are communicated to all incentive-eligible employees by the Human Resource Department or the employee’s immediate supervisor and are available to employees at all times in our performance management tracking system. Performance against such scorecards is reviewed with senior management on a quarterly basis and after the end of each year. Annual incentive compensation is paid to our executives and other incentive-eligible employees after Compensation Committee approval following the service year associated with the incentive.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3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timing of compensation decisions is driven by a variety of 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We obtained shareholder approval of the 1998 Annual Incentive Plan, including all amendments thereto, and the 2007 Equity Incentive Plan in order to qualify awards under such plans as performance-based compensation under Section 162(m) of the Code. It is the Compensation Committee’s intention to qualify all performance-based compensation for the exclusion from the deductibility limitation of 162(m), except in situations where qualifying compensation for the exclusion would be inconsistent with our overall best interest. In order to satisfy the deductibility requirements under Section 162(m) of the Internal Revenue Code of 1986, performance objectives must be established in the first 90 days of the performance period. For annual incentive awards, this means performance objectives must be established no later than the end of March. In addition, in order to avoid being considered deferred compensation under Section 409A of the Internal Revenue Code and to be deductible for the prior tax year, our annual incentive awards with respect to the prior year must be paid out by March 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31"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All of our executive officers execute an intellectual property and non-disclosure agreement upon commencement of their employment. This agreement requires the executive officer to hold all confidential information in trust for us and prohibits the executive officer from using or disclosing such confidential information except as necessary in the regular course of our business or that of our affiliates. Other than these restrictive covenants, we generally do not</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6" w:name="page27"/>
    <w:bookmarkEnd w:id="26"/>
    <w:p>
      <w:pPr>
        <w:ind w:right="380"/>
        <w:spacing w:after="0" w:line="268" w:lineRule="auto"/>
        <w:rPr>
          <w:sz w:val="20"/>
          <w:szCs w:val="20"/>
          <w:color w:val="auto"/>
        </w:rPr>
      </w:pPr>
      <w:r>
        <w:rPr>
          <w:rFonts w:ascii="Arial" w:cs="Arial" w:eastAsia="Arial" w:hAnsi="Arial"/>
          <w:sz w:val="18"/>
          <w:szCs w:val="18"/>
          <w:color w:val="auto"/>
        </w:rPr>
        <w:t>have employment, non-competition, or non-solicitation agreements with our executive officers. From time to time, we enter into separation agreements with executive officers that contain these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not developed stock ownership or retention policies, guidelines or requirements as of yet. The Compensation Committee may consider adopting such a policy in the future for all or a select portion of our executive officers; however, we maintain a management directive detailing our window period policy for directors and employees and our insider trading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3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2007 Equity Incentive Plan was developed by management and approved by our shareholders at the 2007 Annual Meeting. The plan is administered by the Compensation Committee and authorizes the grant of restricted stock, options, stock appreciation rights, stock purchase rights, or other equity-based awards to our employees. Options granted under the plan may be either “incentive stock options” as defined in section 422 of the Internal Revenue Code, or nonqualified stock options, as determined by the Compensation Committee.</w:t>
      </w:r>
    </w:p>
    <w:p>
      <w:pPr>
        <w:spacing w:after="0" w:line="197"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Each award granted under the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are again available for future grant. In addition, any shares under the plan that are used to satisfy award obligations under the plan of another entity that is acquired by us do not count against the remaining number of shares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executive officers, that are comparable to benefits offered by companies of a similar size to ours. A competitive comprehensive benefit program is essential to achieving the goal of attracting and retaining highly qualified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Termination</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we have no employment agreements with our executive officers other than the restrictive covenants noted above, we handle each termination as appropriate in light of the circumstances. Without any special agreement related to termination, an executive officer typically would be entitled to receive his or her base salary and applicable employee benefit plans and programs through the date of termination. In addition, the executive officer would be entitled to retain any vested portion of prior equity awards granted through the 1998 Annual Incentive Plan, the 1991 Non-Qualified Stock Option Plan, or the 2007 Equity Incentive Plan. For termination not due to death, disability or retirement, the executive officer would have six months in which to exercise stock options pursuant to our stock option agreements. Otherwise, the executive officer would be afforded the time permitted in the original grant. Any portion of an equity award not vested, would be forfeited in either circumstance unless alternate arrangements are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do not have a formal severance plan or policy. We handle each departure from the company on a case by case basis in light of the circumstances, which may include duration of service to the company, performance against goals and reason for departure. When an executive officer separates from the company as a result of a reduction in work force, we typically provide the executive with two months salary for each year of service to the company up to a maximum of six months salary in exchange for a separation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discloses compensation received for the past two years by our Chief Executive Officer, our Chief Financial Officer and our other named executive officers who served during fiscal year 2007.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292"/>
              <w:spacing w:after="0"/>
              <w:rPr>
                <w:sz w:val="20"/>
                <w:szCs w:val="20"/>
                <w:color w:val="auto"/>
              </w:rPr>
            </w:pPr>
            <w:r>
              <w:rPr>
                <w:rFonts w:ascii="Arial" w:cs="Arial" w:eastAsia="Arial" w:hAnsi="Arial"/>
                <w:sz w:val="14"/>
                <w:szCs w:val="14"/>
                <w:b w:val="1"/>
                <w:bCs w:val="1"/>
                <w:color w:val="auto"/>
                <w:w w:val="99"/>
              </w:rPr>
              <w:t>Non-Equity</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2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Name and</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w w:val="97"/>
              </w:rPr>
              <w:t xml:space="preserve">Salary </w:t>
            </w:r>
            <w:r>
              <w:rPr>
                <w:rFonts w:ascii="Arial" w:cs="Arial" w:eastAsia="Arial" w:hAnsi="Arial"/>
                <w:sz w:val="22"/>
                <w:szCs w:val="22"/>
                <w:color w:val="auto"/>
                <w:w w:val="97"/>
                <w:vertAlign w:val="superscript"/>
              </w:rPr>
              <w:t>(1)</w:t>
            </w:r>
          </w:p>
        </w:tc>
        <w:tc>
          <w:tcPr>
            <w:tcW w:w="280" w:type="dxa"/>
            <w:vAlign w:val="bottom"/>
          </w:tcPr>
          <w:p>
            <w:pPr>
              <w:spacing w:after="0"/>
              <w:rPr>
                <w:sz w:val="13"/>
                <w:szCs w:val="13"/>
                <w:color w:val="auto"/>
              </w:rPr>
            </w:pPr>
          </w:p>
        </w:tc>
        <w:tc>
          <w:tcPr>
            <w:tcW w:w="1100" w:type="dxa"/>
            <w:vAlign w:val="bottom"/>
          </w:tcPr>
          <w:p>
            <w:pPr>
              <w:jc w:val="right"/>
              <w:ind w:right="453"/>
              <w:spacing w:after="0" w:line="156" w:lineRule="exact"/>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3"/>
                <w:szCs w:val="13"/>
                <w:color w:val="auto"/>
              </w:rPr>
            </w:pPr>
          </w:p>
        </w:tc>
        <w:tc>
          <w:tcPr>
            <w:tcW w:w="1180" w:type="dxa"/>
            <w:vAlign w:val="bottom"/>
          </w:tcPr>
          <w:p>
            <w:pPr>
              <w:jc w:val="right"/>
              <w:ind w:right="514"/>
              <w:spacing w:after="0" w:line="156"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3"/>
                <w:szCs w:val="13"/>
                <w:color w:val="auto"/>
              </w:rPr>
            </w:pPr>
          </w:p>
        </w:tc>
        <w:tc>
          <w:tcPr>
            <w:tcW w:w="1120" w:type="dxa"/>
            <w:vAlign w:val="bottom"/>
          </w:tcPr>
          <w:p>
            <w:pPr>
              <w:jc w:val="right"/>
              <w:ind w:right="212"/>
              <w:spacing w:after="0" w:line="156" w:lineRule="exact"/>
              <w:rPr>
                <w:sz w:val="20"/>
                <w:szCs w:val="20"/>
                <w:color w:val="auto"/>
              </w:rPr>
            </w:pPr>
            <w:r>
              <w:rPr>
                <w:rFonts w:ascii="Arial" w:cs="Arial" w:eastAsia="Arial" w:hAnsi="Arial"/>
                <w:sz w:val="14"/>
                <w:szCs w:val="14"/>
                <w:b w:val="1"/>
                <w:bCs w:val="1"/>
                <w:color w:val="auto"/>
                <w:w w:val="87"/>
              </w:rPr>
              <w:t>Incentive Plan</w:t>
            </w:r>
          </w:p>
        </w:tc>
        <w:tc>
          <w:tcPr>
            <w:tcW w:w="340" w:type="dxa"/>
            <w:vAlign w:val="bottom"/>
          </w:tcPr>
          <w:p>
            <w:pPr>
              <w:spacing w:after="0"/>
              <w:rPr>
                <w:sz w:val="13"/>
                <w:szCs w:val="13"/>
                <w:color w:val="auto"/>
              </w:rPr>
            </w:pPr>
          </w:p>
        </w:tc>
        <w:tc>
          <w:tcPr>
            <w:tcW w:w="1160" w:type="dxa"/>
            <w:vAlign w:val="bottom"/>
          </w:tcPr>
          <w:p>
            <w:pPr>
              <w:jc w:val="right"/>
              <w:ind w:right="452"/>
              <w:spacing w:after="0" w:line="156" w:lineRule="exact"/>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Year</w:t>
            </w: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3"/>
              <w:spacing w:after="0" w:line="289" w:lineRule="exact"/>
              <w:rPr>
                <w:sz w:val="20"/>
                <w:szCs w:val="20"/>
                <w:color w:val="auto"/>
              </w:rPr>
            </w:pPr>
            <w:r>
              <w:rPr>
                <w:rFonts w:ascii="Arial" w:cs="Arial" w:eastAsia="Arial" w:hAnsi="Arial"/>
                <w:sz w:val="27"/>
                <w:szCs w:val="27"/>
                <w:b w:val="1"/>
                <w:bCs w:val="1"/>
                <w:color w:val="auto"/>
                <w:w w:val="79"/>
                <w:vertAlign w:val="subscript"/>
              </w:rPr>
              <w:t>Awards</w:t>
            </w:r>
            <w:r>
              <w:rPr>
                <w:rFonts w:ascii="Arial" w:cs="Arial" w:eastAsia="Arial" w:hAnsi="Arial"/>
                <w:sz w:val="11"/>
                <w:szCs w:val="11"/>
                <w:color w:val="auto"/>
                <w:w w:val="79"/>
              </w:rPr>
              <w:t xml:space="preserve"> (2)(3)</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line="289" w:lineRule="exact"/>
              <w:rPr>
                <w:sz w:val="20"/>
                <w:szCs w:val="20"/>
                <w:color w:val="auto"/>
              </w:rPr>
            </w:pPr>
            <w:r>
              <w:rPr>
                <w:rFonts w:ascii="Arial" w:cs="Arial" w:eastAsia="Arial" w:hAnsi="Arial"/>
                <w:sz w:val="27"/>
                <w:szCs w:val="27"/>
                <w:b w:val="1"/>
                <w:bCs w:val="1"/>
                <w:color w:val="auto"/>
                <w:w w:val="78"/>
                <w:vertAlign w:val="subscript"/>
              </w:rPr>
              <w:t>Awards</w:t>
            </w:r>
            <w:r>
              <w:rPr>
                <w:rFonts w:ascii="Arial" w:cs="Arial" w:eastAsia="Arial" w:hAnsi="Arial"/>
                <w:sz w:val="11"/>
                <w:szCs w:val="11"/>
                <w:color w:val="auto"/>
                <w:w w:val="78"/>
              </w:rPr>
              <w:t>(2)(3)</w:t>
            </w: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22"/>
                <w:szCs w:val="22"/>
                <w:color w:val="auto"/>
                <w:w w:val="98"/>
                <w:vertAlign w:val="superscript"/>
              </w:rPr>
              <w:t>(4)</w:t>
            </w:r>
          </w:p>
        </w:tc>
        <w:tc>
          <w:tcPr>
            <w:tcW w:w="15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22"/>
                <w:szCs w:val="22"/>
                <w:color w:val="auto"/>
                <w:vertAlign w:val="superscript"/>
              </w:rPr>
              <w:t>(5)</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600" w:type="dxa"/>
            <w:vAlign w:val="bottom"/>
            <w:shd w:val="clear" w:color="auto" w:fill="EAF9E8"/>
          </w:tcPr>
          <w:p>
            <w:pPr>
              <w:spacing w:after="0" w:line="138" w:lineRule="exact"/>
              <w:rPr>
                <w:sz w:val="20"/>
                <w:szCs w:val="20"/>
                <w:color w:val="auto"/>
              </w:rPr>
            </w:pPr>
            <w:r>
              <w:rPr>
                <w:rFonts w:ascii="Arial" w:cs="Arial" w:eastAsia="Arial" w:hAnsi="Arial"/>
                <w:sz w:val="14"/>
                <w:szCs w:val="14"/>
                <w:b w:val="1"/>
                <w:bCs w:val="1"/>
                <w:color w:val="auto"/>
              </w:rPr>
              <w:t>William C. Erbey</w:t>
            </w:r>
          </w:p>
        </w:tc>
        <w:tc>
          <w:tcPr>
            <w:tcW w:w="340" w:type="dxa"/>
            <w:vAlign w:val="bottom"/>
            <w:shd w:val="clear" w:color="auto" w:fill="EAF9E8"/>
          </w:tcPr>
          <w:p>
            <w:pPr>
              <w:spacing w:after="0"/>
              <w:rPr>
                <w:sz w:val="11"/>
                <w:szCs w:val="11"/>
                <w:color w:val="auto"/>
              </w:rPr>
            </w:pPr>
          </w:p>
        </w:tc>
        <w:tc>
          <w:tcPr>
            <w:tcW w:w="1040" w:type="dxa"/>
            <w:vAlign w:val="bottom"/>
            <w:vMerge w:val="restart"/>
            <w:shd w:val="clear" w:color="auto" w:fill="EAF9E8"/>
          </w:tcPr>
          <w:p>
            <w:pPr>
              <w:jc w:val="right"/>
              <w:ind w:right="272"/>
              <w:spacing w:after="0"/>
              <w:rPr>
                <w:sz w:val="20"/>
                <w:szCs w:val="20"/>
                <w:color w:val="auto"/>
              </w:rPr>
            </w:pPr>
            <w:r>
              <w:rPr>
                <w:rFonts w:ascii="Arial" w:cs="Arial" w:eastAsia="Arial" w:hAnsi="Arial"/>
                <w:sz w:val="14"/>
                <w:szCs w:val="14"/>
                <w:color w:val="auto"/>
              </w:rPr>
              <w:t>2007</w:t>
            </w:r>
          </w:p>
        </w:tc>
        <w:tc>
          <w:tcPr>
            <w:tcW w:w="480" w:type="dxa"/>
            <w:vAlign w:val="bottom"/>
            <w:vMerge w:val="restart"/>
            <w:shd w:val="clear" w:color="auto" w:fill="EAF9E8"/>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EAF9E8"/>
          </w:tcPr>
          <w:p>
            <w:pPr>
              <w:jc w:val="right"/>
              <w:ind w:right="92"/>
              <w:spacing w:after="0"/>
              <w:rPr>
                <w:sz w:val="20"/>
                <w:szCs w:val="20"/>
                <w:color w:val="auto"/>
              </w:rPr>
            </w:pPr>
            <w:r>
              <w:rPr>
                <w:rFonts w:ascii="Arial" w:cs="Arial" w:eastAsia="Arial" w:hAnsi="Arial"/>
                <w:sz w:val="14"/>
                <w:szCs w:val="14"/>
                <w:color w:val="auto"/>
              </w:rPr>
              <w:t>473,077</w:t>
            </w:r>
          </w:p>
        </w:tc>
        <w:tc>
          <w:tcPr>
            <w:tcW w:w="28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EAF9E8"/>
          </w:tcPr>
          <w:p>
            <w:pPr>
              <w:jc w:val="right"/>
              <w:ind w:right="93"/>
              <w:spacing w:after="0"/>
              <w:rPr>
                <w:sz w:val="20"/>
                <w:szCs w:val="20"/>
                <w:color w:val="auto"/>
              </w:rPr>
            </w:pPr>
            <w:r>
              <w:rPr>
                <w:rFonts w:ascii="Arial" w:cs="Arial" w:eastAsia="Arial" w:hAnsi="Arial"/>
                <w:sz w:val="14"/>
                <w:szCs w:val="14"/>
                <w:color w:val="auto"/>
              </w:rPr>
              <w:t>242,355</w:t>
            </w:r>
          </w:p>
        </w:tc>
        <w:tc>
          <w:tcPr>
            <w:tcW w:w="30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EAF9E8"/>
          </w:tcPr>
          <w:p>
            <w:pPr>
              <w:jc w:val="right"/>
              <w:ind w:right="74"/>
              <w:spacing w:after="0" w:line="217" w:lineRule="exact"/>
              <w:rPr>
                <w:sz w:val="20"/>
                <w:szCs w:val="20"/>
                <w:color w:val="auto"/>
              </w:rPr>
            </w:pPr>
            <w:r>
              <w:rPr>
                <w:rFonts w:ascii="Arial" w:cs="Arial" w:eastAsia="Arial" w:hAnsi="Arial"/>
                <w:sz w:val="14"/>
                <w:szCs w:val="14"/>
                <w:color w:val="auto"/>
              </w:rPr>
              <w:t>818,847</w:t>
            </w:r>
            <w:r>
              <w:rPr>
                <w:rFonts w:ascii="Arial" w:cs="Arial" w:eastAsia="Arial" w:hAnsi="Arial"/>
                <w:sz w:val="22"/>
                <w:szCs w:val="22"/>
                <w:color w:val="auto"/>
                <w:vertAlign w:val="superscript"/>
              </w:rPr>
              <w:t>(6)</w:t>
            </w:r>
          </w:p>
        </w:tc>
        <w:tc>
          <w:tcPr>
            <w:tcW w:w="160" w:type="dxa"/>
            <w:vAlign w:val="bottom"/>
            <w:vMerge w:val="restart"/>
            <w:shd w:val="clear" w:color="auto" w:fill="EAF9E8"/>
          </w:tcPr>
          <w:p>
            <w:pPr>
              <w:ind w:left="6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EAF9E8"/>
          </w:tcPr>
          <w:p>
            <w:pPr>
              <w:jc w:val="right"/>
              <w:ind w:right="112"/>
              <w:spacing w:after="0"/>
              <w:rPr>
                <w:sz w:val="20"/>
                <w:szCs w:val="20"/>
                <w:color w:val="auto"/>
              </w:rPr>
            </w:pPr>
            <w:r>
              <w:rPr>
                <w:rFonts w:ascii="Arial" w:cs="Arial" w:eastAsia="Arial" w:hAnsi="Arial"/>
                <w:sz w:val="14"/>
                <w:szCs w:val="14"/>
                <w:color w:val="auto"/>
              </w:rPr>
              <w:t>953,399</w:t>
            </w:r>
          </w:p>
        </w:tc>
        <w:tc>
          <w:tcPr>
            <w:tcW w:w="340" w:type="dxa"/>
            <w:vAlign w:val="bottom"/>
            <w:vMerge w:val="restart"/>
            <w:shd w:val="clear" w:color="auto" w:fill="EAF9E8"/>
          </w:tcPr>
          <w:p>
            <w:pPr>
              <w:ind w:left="1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EAF9E8"/>
          </w:tcPr>
          <w:p>
            <w:pPr>
              <w:jc w:val="right"/>
              <w:ind w:right="192"/>
              <w:spacing w:after="0"/>
              <w:rPr>
                <w:sz w:val="20"/>
                <w:szCs w:val="20"/>
                <w:color w:val="auto"/>
              </w:rPr>
            </w:pPr>
            <w:r>
              <w:rPr>
                <w:rFonts w:ascii="Arial" w:cs="Arial" w:eastAsia="Arial" w:hAnsi="Arial"/>
                <w:sz w:val="14"/>
                <w:szCs w:val="14"/>
                <w:color w:val="auto"/>
              </w:rPr>
              <w:t>4,500</w:t>
            </w:r>
          </w:p>
        </w:tc>
        <w:tc>
          <w:tcPr>
            <w:tcW w:w="300" w:type="dxa"/>
            <w:vAlign w:val="bottom"/>
            <w:vMerge w:val="restart"/>
            <w:shd w:val="clear" w:color="auto" w:fill="EAF9E8"/>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2,492,178</w:t>
            </w: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600" w:type="dxa"/>
            <w:vAlign w:val="bottom"/>
            <w:vMerge w:val="restart"/>
            <w:shd w:val="clear" w:color="auto" w:fill="EAF9E8"/>
          </w:tcPr>
          <w:p>
            <w:pPr>
              <w:spacing w:after="0" w:line="149" w:lineRule="exact"/>
              <w:rPr>
                <w:sz w:val="20"/>
                <w:szCs w:val="20"/>
                <w:color w:val="auto"/>
              </w:rPr>
            </w:pPr>
            <w:r>
              <w:rPr>
                <w:rFonts w:ascii="Arial" w:cs="Arial" w:eastAsia="Arial" w:hAnsi="Arial"/>
                <w:sz w:val="14"/>
                <w:szCs w:val="14"/>
                <w:color w:val="auto"/>
              </w:rPr>
              <w:t>Chairman of the Board</w:t>
            </w:r>
          </w:p>
        </w:tc>
        <w:tc>
          <w:tcPr>
            <w:tcW w:w="340" w:type="dxa"/>
            <w:vAlign w:val="bottom"/>
            <w:shd w:val="clear" w:color="auto" w:fill="EAF9E8"/>
          </w:tcPr>
          <w:p>
            <w:pPr>
              <w:spacing w:after="0"/>
              <w:rPr>
                <w:sz w:val="6"/>
                <w:szCs w:val="6"/>
                <w:color w:val="auto"/>
              </w:rPr>
            </w:pPr>
          </w:p>
        </w:tc>
        <w:tc>
          <w:tcPr>
            <w:tcW w:w="1040" w:type="dxa"/>
            <w:vAlign w:val="bottom"/>
            <w:vMerge w:val="continue"/>
            <w:shd w:val="clear" w:color="auto" w:fill="EAF9E8"/>
          </w:tcPr>
          <w:p>
            <w:pPr>
              <w:spacing w:after="0"/>
              <w:rPr>
                <w:sz w:val="6"/>
                <w:szCs w:val="6"/>
                <w:color w:val="auto"/>
              </w:rPr>
            </w:pPr>
          </w:p>
        </w:tc>
        <w:tc>
          <w:tcPr>
            <w:tcW w:w="480" w:type="dxa"/>
            <w:vAlign w:val="bottom"/>
            <w:vMerge w:val="continue"/>
            <w:shd w:val="clear" w:color="auto" w:fill="EAF9E8"/>
          </w:tcPr>
          <w:p>
            <w:pPr>
              <w:spacing w:after="0"/>
              <w:rPr>
                <w:sz w:val="6"/>
                <w:szCs w:val="6"/>
                <w:color w:val="auto"/>
              </w:rPr>
            </w:pPr>
          </w:p>
        </w:tc>
        <w:tc>
          <w:tcPr>
            <w:tcW w:w="1040" w:type="dxa"/>
            <w:vAlign w:val="bottom"/>
            <w:vMerge w:val="continue"/>
            <w:shd w:val="clear" w:color="auto" w:fill="EAF9E8"/>
          </w:tcPr>
          <w:p>
            <w:pPr>
              <w:spacing w:after="0"/>
              <w:rPr>
                <w:sz w:val="6"/>
                <w:szCs w:val="6"/>
                <w:color w:val="auto"/>
              </w:rPr>
            </w:pPr>
          </w:p>
        </w:tc>
        <w:tc>
          <w:tcPr>
            <w:tcW w:w="280" w:type="dxa"/>
            <w:vAlign w:val="bottom"/>
            <w:vMerge w:val="continue"/>
            <w:shd w:val="clear" w:color="auto" w:fill="EAF9E8"/>
          </w:tcPr>
          <w:p>
            <w:pPr>
              <w:spacing w:after="0"/>
              <w:rPr>
                <w:sz w:val="6"/>
                <w:szCs w:val="6"/>
                <w:color w:val="auto"/>
              </w:rPr>
            </w:pPr>
          </w:p>
        </w:tc>
        <w:tc>
          <w:tcPr>
            <w:tcW w:w="1100" w:type="dxa"/>
            <w:vAlign w:val="bottom"/>
            <w:vMerge w:val="continue"/>
            <w:shd w:val="clear" w:color="auto" w:fill="EAF9E8"/>
          </w:tcPr>
          <w:p>
            <w:pPr>
              <w:spacing w:after="0"/>
              <w:rPr>
                <w:sz w:val="6"/>
                <w:szCs w:val="6"/>
                <w:color w:val="auto"/>
              </w:rPr>
            </w:pPr>
          </w:p>
        </w:tc>
        <w:tc>
          <w:tcPr>
            <w:tcW w:w="300" w:type="dxa"/>
            <w:vAlign w:val="bottom"/>
            <w:vMerge w:val="continue"/>
            <w:shd w:val="clear" w:color="auto" w:fill="EAF9E8"/>
          </w:tcPr>
          <w:p>
            <w:pPr>
              <w:spacing w:after="0"/>
              <w:rPr>
                <w:sz w:val="6"/>
                <w:szCs w:val="6"/>
                <w:color w:val="auto"/>
              </w:rPr>
            </w:pPr>
          </w:p>
        </w:tc>
        <w:tc>
          <w:tcPr>
            <w:tcW w:w="1180" w:type="dxa"/>
            <w:vAlign w:val="bottom"/>
            <w:vMerge w:val="continue"/>
            <w:shd w:val="clear" w:color="auto" w:fill="EAF9E8"/>
          </w:tcPr>
          <w:p>
            <w:pPr>
              <w:spacing w:after="0"/>
              <w:rPr>
                <w:sz w:val="6"/>
                <w:szCs w:val="6"/>
                <w:color w:val="auto"/>
              </w:rPr>
            </w:pPr>
          </w:p>
        </w:tc>
        <w:tc>
          <w:tcPr>
            <w:tcW w:w="160" w:type="dxa"/>
            <w:vAlign w:val="bottom"/>
            <w:vMerge w:val="continue"/>
            <w:shd w:val="clear" w:color="auto" w:fill="EAF9E8"/>
          </w:tcPr>
          <w:p>
            <w:pPr>
              <w:spacing w:after="0"/>
              <w:rPr>
                <w:sz w:val="6"/>
                <w:szCs w:val="6"/>
                <w:color w:val="auto"/>
              </w:rPr>
            </w:pPr>
          </w:p>
        </w:tc>
        <w:tc>
          <w:tcPr>
            <w:tcW w:w="1120" w:type="dxa"/>
            <w:vAlign w:val="bottom"/>
            <w:vMerge w:val="continue"/>
            <w:shd w:val="clear" w:color="auto" w:fill="EAF9E8"/>
          </w:tcPr>
          <w:p>
            <w:pPr>
              <w:spacing w:after="0"/>
              <w:rPr>
                <w:sz w:val="6"/>
                <w:szCs w:val="6"/>
                <w:color w:val="auto"/>
              </w:rPr>
            </w:pPr>
          </w:p>
        </w:tc>
        <w:tc>
          <w:tcPr>
            <w:tcW w:w="340" w:type="dxa"/>
            <w:vAlign w:val="bottom"/>
            <w:vMerge w:val="continue"/>
            <w:shd w:val="clear" w:color="auto" w:fill="EAF9E8"/>
          </w:tcPr>
          <w:p>
            <w:pPr>
              <w:spacing w:after="0"/>
              <w:rPr>
                <w:sz w:val="6"/>
                <w:szCs w:val="6"/>
                <w:color w:val="auto"/>
              </w:rPr>
            </w:pPr>
          </w:p>
        </w:tc>
        <w:tc>
          <w:tcPr>
            <w:tcW w:w="1160" w:type="dxa"/>
            <w:vAlign w:val="bottom"/>
            <w:vMerge w:val="continue"/>
            <w:shd w:val="clear" w:color="auto" w:fill="EAF9E8"/>
          </w:tcPr>
          <w:p>
            <w:pPr>
              <w:spacing w:after="0"/>
              <w:rPr>
                <w:sz w:val="6"/>
                <w:szCs w:val="6"/>
                <w:color w:val="auto"/>
              </w:rPr>
            </w:pPr>
          </w:p>
        </w:tc>
        <w:tc>
          <w:tcPr>
            <w:tcW w:w="300" w:type="dxa"/>
            <w:vAlign w:val="bottom"/>
            <w:vMerge w:val="continue"/>
            <w:shd w:val="clear" w:color="auto" w:fill="EAF9E8"/>
          </w:tcPr>
          <w:p>
            <w:pPr>
              <w:spacing w:after="0"/>
              <w:rPr>
                <w:sz w:val="6"/>
                <w:szCs w:val="6"/>
                <w:color w:val="auto"/>
              </w:rPr>
            </w:pPr>
          </w:p>
        </w:tc>
        <w:tc>
          <w:tcPr>
            <w:tcW w:w="860" w:type="dxa"/>
            <w:vAlign w:val="bottom"/>
            <w:vMerge w:val="continue"/>
            <w:shd w:val="clear" w:color="auto" w:fill="EAF9E8"/>
          </w:tcPr>
          <w:p>
            <w:pPr>
              <w:spacing w:after="0"/>
              <w:rPr>
                <w:sz w:val="6"/>
                <w:szCs w:val="6"/>
                <w:color w:val="auto"/>
              </w:rPr>
            </w:pPr>
          </w:p>
        </w:tc>
        <w:tc>
          <w:tcPr>
            <w:tcW w:w="100" w:type="dxa"/>
            <w:vAlign w:val="bottom"/>
            <w:shd w:val="clear" w:color="auto" w:fill="EAF9E8"/>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600" w:type="dxa"/>
            <w:vAlign w:val="bottom"/>
            <w:vMerge w:val="continue"/>
            <w:shd w:val="clear" w:color="auto" w:fill="EAF9E8"/>
          </w:tcPr>
          <w:p>
            <w:pPr>
              <w:spacing w:after="0"/>
              <w:rPr>
                <w:sz w:val="6"/>
                <w:szCs w:val="6"/>
                <w:color w:val="auto"/>
              </w:rPr>
            </w:pPr>
          </w:p>
        </w:tc>
        <w:tc>
          <w:tcPr>
            <w:tcW w:w="340" w:type="dxa"/>
            <w:vAlign w:val="bottom"/>
            <w:shd w:val="clear" w:color="auto" w:fill="EAF9E8"/>
          </w:tcPr>
          <w:p>
            <w:pPr>
              <w:spacing w:after="0"/>
              <w:rPr>
                <w:sz w:val="6"/>
                <w:szCs w:val="6"/>
                <w:color w:val="auto"/>
              </w:rPr>
            </w:pPr>
          </w:p>
        </w:tc>
        <w:tc>
          <w:tcPr>
            <w:tcW w:w="1040" w:type="dxa"/>
            <w:vAlign w:val="bottom"/>
            <w:shd w:val="clear" w:color="auto" w:fill="EAF9E8"/>
          </w:tcPr>
          <w:p>
            <w:pPr>
              <w:spacing w:after="0"/>
              <w:rPr>
                <w:sz w:val="6"/>
                <w:szCs w:val="6"/>
                <w:color w:val="auto"/>
              </w:rPr>
            </w:pPr>
          </w:p>
        </w:tc>
        <w:tc>
          <w:tcPr>
            <w:tcW w:w="480" w:type="dxa"/>
            <w:vAlign w:val="bottom"/>
            <w:shd w:val="clear" w:color="auto" w:fill="EAF9E8"/>
          </w:tcPr>
          <w:p>
            <w:pPr>
              <w:spacing w:after="0"/>
              <w:rPr>
                <w:sz w:val="6"/>
                <w:szCs w:val="6"/>
                <w:color w:val="auto"/>
              </w:rPr>
            </w:pPr>
          </w:p>
        </w:tc>
        <w:tc>
          <w:tcPr>
            <w:tcW w:w="1040" w:type="dxa"/>
            <w:vAlign w:val="bottom"/>
            <w:shd w:val="clear" w:color="auto" w:fill="EAF9E8"/>
          </w:tcPr>
          <w:p>
            <w:pPr>
              <w:spacing w:after="0"/>
              <w:rPr>
                <w:sz w:val="6"/>
                <w:szCs w:val="6"/>
                <w:color w:val="auto"/>
              </w:rPr>
            </w:pPr>
          </w:p>
        </w:tc>
        <w:tc>
          <w:tcPr>
            <w:tcW w:w="280" w:type="dxa"/>
            <w:vAlign w:val="bottom"/>
            <w:shd w:val="clear" w:color="auto" w:fill="EAF9E8"/>
          </w:tcPr>
          <w:p>
            <w:pPr>
              <w:spacing w:after="0"/>
              <w:rPr>
                <w:sz w:val="6"/>
                <w:szCs w:val="6"/>
                <w:color w:val="auto"/>
              </w:rPr>
            </w:pPr>
          </w:p>
        </w:tc>
        <w:tc>
          <w:tcPr>
            <w:tcW w:w="1100" w:type="dxa"/>
            <w:vAlign w:val="bottom"/>
            <w:shd w:val="clear" w:color="auto" w:fill="EAF9E8"/>
          </w:tcPr>
          <w:p>
            <w:pPr>
              <w:spacing w:after="0"/>
              <w:rPr>
                <w:sz w:val="6"/>
                <w:szCs w:val="6"/>
                <w:color w:val="auto"/>
              </w:rPr>
            </w:pPr>
          </w:p>
        </w:tc>
        <w:tc>
          <w:tcPr>
            <w:tcW w:w="300" w:type="dxa"/>
            <w:vAlign w:val="bottom"/>
            <w:shd w:val="clear" w:color="auto" w:fill="EAF9E8"/>
          </w:tcPr>
          <w:p>
            <w:pPr>
              <w:spacing w:after="0"/>
              <w:rPr>
                <w:sz w:val="6"/>
                <w:szCs w:val="6"/>
                <w:color w:val="auto"/>
              </w:rPr>
            </w:pPr>
          </w:p>
        </w:tc>
        <w:tc>
          <w:tcPr>
            <w:tcW w:w="1180" w:type="dxa"/>
            <w:vAlign w:val="bottom"/>
            <w:shd w:val="clear" w:color="auto" w:fill="EAF9E8"/>
          </w:tcPr>
          <w:p>
            <w:pPr>
              <w:spacing w:after="0"/>
              <w:rPr>
                <w:sz w:val="6"/>
                <w:szCs w:val="6"/>
                <w:color w:val="auto"/>
              </w:rPr>
            </w:pPr>
          </w:p>
        </w:tc>
        <w:tc>
          <w:tcPr>
            <w:tcW w:w="160" w:type="dxa"/>
            <w:vAlign w:val="bottom"/>
            <w:shd w:val="clear" w:color="auto" w:fill="EAF9E8"/>
          </w:tcPr>
          <w:p>
            <w:pPr>
              <w:spacing w:after="0"/>
              <w:rPr>
                <w:sz w:val="6"/>
                <w:szCs w:val="6"/>
                <w:color w:val="auto"/>
              </w:rPr>
            </w:pPr>
          </w:p>
        </w:tc>
        <w:tc>
          <w:tcPr>
            <w:tcW w:w="1120" w:type="dxa"/>
            <w:vAlign w:val="bottom"/>
            <w:shd w:val="clear" w:color="auto" w:fill="EAF9E8"/>
          </w:tcPr>
          <w:p>
            <w:pPr>
              <w:spacing w:after="0"/>
              <w:rPr>
                <w:sz w:val="6"/>
                <w:szCs w:val="6"/>
                <w:color w:val="auto"/>
              </w:rPr>
            </w:pPr>
          </w:p>
        </w:tc>
        <w:tc>
          <w:tcPr>
            <w:tcW w:w="340" w:type="dxa"/>
            <w:vAlign w:val="bottom"/>
            <w:shd w:val="clear" w:color="auto" w:fill="EAF9E8"/>
          </w:tcPr>
          <w:p>
            <w:pPr>
              <w:spacing w:after="0"/>
              <w:rPr>
                <w:sz w:val="6"/>
                <w:szCs w:val="6"/>
                <w:color w:val="auto"/>
              </w:rPr>
            </w:pPr>
          </w:p>
        </w:tc>
        <w:tc>
          <w:tcPr>
            <w:tcW w:w="1160" w:type="dxa"/>
            <w:vAlign w:val="bottom"/>
            <w:vMerge w:val="restart"/>
            <w:shd w:val="clear" w:color="auto" w:fill="EAF9E8"/>
          </w:tcPr>
          <w:p>
            <w:pPr>
              <w:jc w:val="right"/>
              <w:ind w:right="72"/>
              <w:spacing w:after="0" w:line="229" w:lineRule="exact"/>
              <w:rPr>
                <w:sz w:val="20"/>
                <w:szCs w:val="20"/>
                <w:color w:val="auto"/>
              </w:rPr>
            </w:pPr>
            <w:r>
              <w:rPr>
                <w:rFonts w:ascii="Arial" w:cs="Arial" w:eastAsia="Arial" w:hAnsi="Arial"/>
                <w:sz w:val="14"/>
                <w:szCs w:val="14"/>
                <w:color w:val="auto"/>
              </w:rPr>
              <w:t>41,911</w:t>
            </w:r>
            <w:r>
              <w:rPr>
                <w:rFonts w:ascii="Arial" w:cs="Arial" w:eastAsia="Arial" w:hAnsi="Arial"/>
                <w:sz w:val="22"/>
                <w:szCs w:val="22"/>
                <w:color w:val="auto"/>
                <w:vertAlign w:val="superscript"/>
              </w:rPr>
              <w:t>(7)</w:t>
            </w:r>
          </w:p>
        </w:tc>
        <w:tc>
          <w:tcPr>
            <w:tcW w:w="300" w:type="dxa"/>
            <w:vAlign w:val="bottom"/>
            <w:shd w:val="clear" w:color="auto" w:fill="EAF9E8"/>
          </w:tcPr>
          <w:p>
            <w:pPr>
              <w:spacing w:after="0"/>
              <w:rPr>
                <w:sz w:val="6"/>
                <w:szCs w:val="6"/>
                <w:color w:val="auto"/>
              </w:rPr>
            </w:pPr>
          </w:p>
        </w:tc>
        <w:tc>
          <w:tcPr>
            <w:tcW w:w="860" w:type="dxa"/>
            <w:vAlign w:val="bottom"/>
            <w:shd w:val="clear" w:color="auto" w:fill="EAF9E8"/>
          </w:tcPr>
          <w:p>
            <w:pPr>
              <w:spacing w:after="0"/>
              <w:rPr>
                <w:sz w:val="6"/>
                <w:szCs w:val="6"/>
                <w:color w:val="auto"/>
              </w:rPr>
            </w:pPr>
          </w:p>
        </w:tc>
        <w:tc>
          <w:tcPr>
            <w:tcW w:w="100" w:type="dxa"/>
            <w:vAlign w:val="bottom"/>
            <w:shd w:val="clear" w:color="auto" w:fill="EAF9E8"/>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w w:val="93"/>
              </w:rPr>
              <w:t>and Chief Executive Officer</w:t>
            </w:r>
          </w:p>
        </w:tc>
        <w:tc>
          <w:tcPr>
            <w:tcW w:w="340" w:type="dxa"/>
            <w:vAlign w:val="bottom"/>
            <w:shd w:val="clear" w:color="auto" w:fill="EAF9E8"/>
          </w:tcPr>
          <w:p>
            <w:pPr>
              <w:spacing w:after="0"/>
              <w:rPr>
                <w:sz w:val="13"/>
                <w:szCs w:val="13"/>
                <w:color w:val="auto"/>
              </w:rPr>
            </w:pPr>
          </w:p>
        </w:tc>
        <w:tc>
          <w:tcPr>
            <w:tcW w:w="1040" w:type="dxa"/>
            <w:vAlign w:val="bottom"/>
            <w:shd w:val="clear" w:color="auto" w:fill="EAF9E8"/>
          </w:tcPr>
          <w:p>
            <w:pPr>
              <w:jc w:val="right"/>
              <w:ind w:right="272"/>
              <w:spacing w:after="0" w:line="159" w:lineRule="exact"/>
              <w:rPr>
                <w:sz w:val="20"/>
                <w:szCs w:val="20"/>
                <w:color w:val="auto"/>
              </w:rPr>
            </w:pPr>
            <w:r>
              <w:rPr>
                <w:rFonts w:ascii="Arial" w:cs="Arial" w:eastAsia="Arial" w:hAnsi="Arial"/>
                <w:sz w:val="14"/>
                <w:szCs w:val="14"/>
                <w:color w:val="auto"/>
              </w:rPr>
              <w:t>2006</w:t>
            </w:r>
          </w:p>
        </w:tc>
        <w:tc>
          <w:tcPr>
            <w:tcW w:w="480" w:type="dxa"/>
            <w:vAlign w:val="bottom"/>
            <w:shd w:val="clear" w:color="auto" w:fill="EAF9E8"/>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40" w:type="dxa"/>
            <w:vAlign w:val="bottom"/>
            <w:shd w:val="clear" w:color="auto" w:fill="EAF9E8"/>
          </w:tcPr>
          <w:p>
            <w:pPr>
              <w:jc w:val="right"/>
              <w:ind w:right="92"/>
              <w:spacing w:after="0" w:line="159" w:lineRule="exact"/>
              <w:rPr>
                <w:sz w:val="20"/>
                <w:szCs w:val="20"/>
                <w:color w:val="auto"/>
              </w:rPr>
            </w:pPr>
            <w:r>
              <w:rPr>
                <w:rFonts w:ascii="Arial" w:cs="Arial" w:eastAsia="Arial" w:hAnsi="Arial"/>
                <w:sz w:val="14"/>
                <w:szCs w:val="14"/>
                <w:color w:val="auto"/>
              </w:rPr>
              <w:t>360,000</w:t>
            </w:r>
          </w:p>
        </w:tc>
        <w:tc>
          <w:tcPr>
            <w:tcW w:w="2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shd w:val="clear" w:color="auto" w:fill="EAF9E8"/>
          </w:tcPr>
          <w:p>
            <w:pPr>
              <w:jc w:val="right"/>
              <w:ind w:right="93"/>
              <w:spacing w:after="0" w:line="159" w:lineRule="exact"/>
              <w:rPr>
                <w:sz w:val="20"/>
                <w:szCs w:val="20"/>
                <w:color w:val="auto"/>
              </w:rPr>
            </w:pPr>
            <w:r>
              <w:rPr>
                <w:rFonts w:ascii="Arial" w:cs="Arial" w:eastAsia="Arial" w:hAnsi="Arial"/>
                <w:sz w:val="14"/>
                <w:szCs w:val="14"/>
                <w:color w:val="auto"/>
              </w:rPr>
              <w:t>105,723</w:t>
            </w:r>
          </w:p>
        </w:tc>
        <w:tc>
          <w:tcPr>
            <w:tcW w:w="3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1180" w:type="dxa"/>
            <w:vAlign w:val="bottom"/>
            <w:shd w:val="clear" w:color="auto" w:fill="EAF9E8"/>
          </w:tcPr>
          <w:p>
            <w:pPr>
              <w:jc w:val="right"/>
              <w:ind w:right="194"/>
              <w:spacing w:after="0" w:line="159" w:lineRule="exact"/>
              <w:rPr>
                <w:sz w:val="20"/>
                <w:szCs w:val="20"/>
                <w:color w:val="auto"/>
              </w:rPr>
            </w:pPr>
            <w:r>
              <w:rPr>
                <w:rFonts w:ascii="Arial" w:cs="Arial" w:eastAsia="Arial" w:hAnsi="Arial"/>
                <w:sz w:val="14"/>
                <w:szCs w:val="14"/>
                <w:color w:val="auto"/>
              </w:rPr>
              <w:t>206,629</w:t>
            </w:r>
          </w:p>
        </w:tc>
        <w:tc>
          <w:tcPr>
            <w:tcW w:w="160" w:type="dxa"/>
            <w:vAlign w:val="bottom"/>
            <w:shd w:val="clear" w:color="auto" w:fill="EAF9E8"/>
          </w:tcPr>
          <w:p>
            <w:pPr>
              <w:ind w:left="60"/>
              <w:spacing w:after="0" w:line="159" w:lineRule="exact"/>
              <w:rPr>
                <w:sz w:val="20"/>
                <w:szCs w:val="20"/>
                <w:color w:val="auto"/>
              </w:rPr>
            </w:pPr>
            <w:r>
              <w:rPr>
                <w:rFonts w:ascii="Arial" w:cs="Arial" w:eastAsia="Arial" w:hAnsi="Arial"/>
                <w:sz w:val="14"/>
                <w:szCs w:val="14"/>
                <w:color w:val="auto"/>
              </w:rPr>
              <w:t>$</w:t>
            </w:r>
          </w:p>
        </w:tc>
        <w:tc>
          <w:tcPr>
            <w:tcW w:w="1120" w:type="dxa"/>
            <w:vAlign w:val="bottom"/>
            <w:shd w:val="clear" w:color="auto" w:fill="EAF9E8"/>
          </w:tcPr>
          <w:p>
            <w:pPr>
              <w:jc w:val="right"/>
              <w:ind w:right="112"/>
              <w:spacing w:after="0" w:line="159" w:lineRule="exact"/>
              <w:rPr>
                <w:sz w:val="20"/>
                <w:szCs w:val="20"/>
                <w:color w:val="auto"/>
              </w:rPr>
            </w:pPr>
            <w:r>
              <w:rPr>
                <w:rFonts w:ascii="Arial" w:cs="Arial" w:eastAsia="Arial" w:hAnsi="Arial"/>
                <w:sz w:val="14"/>
                <w:szCs w:val="14"/>
                <w:color w:val="auto"/>
              </w:rPr>
              <w:t>501,429</w:t>
            </w:r>
          </w:p>
        </w:tc>
        <w:tc>
          <w:tcPr>
            <w:tcW w:w="340" w:type="dxa"/>
            <w:vAlign w:val="bottom"/>
            <w:shd w:val="clear" w:color="auto" w:fill="EAF9E8"/>
          </w:tcPr>
          <w:p>
            <w:pPr>
              <w:ind w:left="180"/>
              <w:spacing w:after="0" w:line="159" w:lineRule="exact"/>
              <w:rPr>
                <w:sz w:val="20"/>
                <w:szCs w:val="20"/>
                <w:color w:val="auto"/>
              </w:rPr>
            </w:pPr>
            <w:r>
              <w:rPr>
                <w:rFonts w:ascii="Arial" w:cs="Arial" w:eastAsia="Arial" w:hAnsi="Arial"/>
                <w:sz w:val="14"/>
                <w:szCs w:val="14"/>
                <w:color w:val="auto"/>
              </w:rPr>
              <w:t>$</w:t>
            </w:r>
          </w:p>
        </w:tc>
        <w:tc>
          <w:tcPr>
            <w:tcW w:w="1160" w:type="dxa"/>
            <w:vAlign w:val="bottom"/>
            <w:vMerge w:val="continue"/>
            <w:shd w:val="clear" w:color="auto" w:fill="EAF9E8"/>
          </w:tcPr>
          <w:p>
            <w:pPr>
              <w:spacing w:after="0"/>
              <w:rPr>
                <w:sz w:val="13"/>
                <w:szCs w:val="13"/>
                <w:color w:val="auto"/>
              </w:rPr>
            </w:pPr>
          </w:p>
        </w:tc>
        <w:tc>
          <w:tcPr>
            <w:tcW w:w="300" w:type="dxa"/>
            <w:vAlign w:val="bottom"/>
            <w:shd w:val="clear" w:color="auto" w:fill="EAF9E8"/>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1,215,692</w:t>
            </w:r>
          </w:p>
        </w:tc>
        <w:tc>
          <w:tcPr>
            <w:tcW w:w="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Ronald M. Faris</w:t>
            </w:r>
          </w:p>
        </w:tc>
        <w:tc>
          <w:tcPr>
            <w:tcW w:w="1380" w:type="dxa"/>
            <w:vAlign w:val="bottom"/>
            <w:gridSpan w:val="2"/>
          </w:tcPr>
          <w:p>
            <w:pPr>
              <w:jc w:val="right"/>
              <w:ind w:right="272"/>
              <w:spacing w:after="0"/>
              <w:rPr>
                <w:sz w:val="20"/>
                <w:szCs w:val="20"/>
                <w:color w:val="auto"/>
              </w:rPr>
            </w:pPr>
            <w:r>
              <w:rPr>
                <w:rFonts w:ascii="Arial" w:cs="Arial" w:eastAsia="Arial" w:hAnsi="Arial"/>
                <w:sz w:val="14"/>
                <w:szCs w:val="14"/>
                <w:color w:val="auto"/>
              </w:rPr>
              <w:t>2007</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2"/>
              <w:spacing w:after="0"/>
              <w:rPr>
                <w:sz w:val="20"/>
                <w:szCs w:val="20"/>
                <w:color w:val="auto"/>
              </w:rPr>
            </w:pPr>
            <w:r>
              <w:rPr>
                <w:rFonts w:ascii="Arial" w:cs="Arial" w:eastAsia="Arial" w:hAnsi="Arial"/>
                <w:sz w:val="14"/>
                <w:szCs w:val="14"/>
                <w:color w:val="auto"/>
              </w:rPr>
              <w:t>380,440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3"/>
              <w:spacing w:after="0"/>
              <w:rPr>
                <w:sz w:val="20"/>
                <w:szCs w:val="20"/>
                <w:color w:val="auto"/>
              </w:rPr>
            </w:pPr>
            <w:r>
              <w:rPr>
                <w:rFonts w:ascii="Arial" w:cs="Arial" w:eastAsia="Arial" w:hAnsi="Arial"/>
                <w:sz w:val="14"/>
                <w:szCs w:val="14"/>
                <w:color w:val="auto"/>
              </w:rPr>
              <w:t>208,627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372,284</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622,066</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92"/>
              <w:spacing w:after="0"/>
              <w:rPr>
                <w:sz w:val="20"/>
                <w:szCs w:val="20"/>
                <w:color w:val="auto"/>
              </w:rPr>
            </w:pPr>
            <w:r>
              <w:rPr>
                <w:rFonts w:ascii="Arial" w:cs="Arial" w:eastAsia="Arial" w:hAnsi="Arial"/>
                <w:sz w:val="14"/>
                <w:szCs w:val="14"/>
                <w:color w:val="auto"/>
              </w:rPr>
              <w:t>4,500</w:t>
            </w:r>
          </w:p>
        </w:tc>
        <w:tc>
          <w:tcPr>
            <w:tcW w:w="3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1,587,917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2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1380" w:type="dxa"/>
            <w:vAlign w:val="bottom"/>
            <w:gridSpan w:val="2"/>
          </w:tcPr>
          <w:p>
            <w:pPr>
              <w:jc w:val="right"/>
              <w:ind w:right="272"/>
              <w:spacing w:after="0"/>
              <w:rPr>
                <w:sz w:val="20"/>
                <w:szCs w:val="20"/>
                <w:color w:val="auto"/>
              </w:rPr>
            </w:pPr>
            <w:r>
              <w:rPr>
                <w:rFonts w:ascii="Arial" w:cs="Arial" w:eastAsia="Arial" w:hAnsi="Arial"/>
                <w:sz w:val="14"/>
                <w:szCs w:val="14"/>
                <w:color w:val="auto"/>
              </w:rPr>
              <w:t>2006</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2"/>
              <w:spacing w:after="0"/>
              <w:rPr>
                <w:sz w:val="20"/>
                <w:szCs w:val="20"/>
                <w:color w:val="auto"/>
              </w:rPr>
            </w:pPr>
            <w:r>
              <w:rPr>
                <w:rFonts w:ascii="Arial" w:cs="Arial" w:eastAsia="Arial" w:hAnsi="Arial"/>
                <w:sz w:val="14"/>
                <w:szCs w:val="14"/>
                <w:color w:val="auto"/>
              </w:rPr>
              <w:t>367,882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3"/>
              <w:spacing w:after="0"/>
              <w:rPr>
                <w:sz w:val="20"/>
                <w:szCs w:val="20"/>
                <w:color w:val="auto"/>
              </w:rPr>
            </w:pPr>
            <w:r>
              <w:rPr>
                <w:rFonts w:ascii="Arial" w:cs="Arial" w:eastAsia="Arial" w:hAnsi="Arial"/>
                <w:sz w:val="14"/>
                <w:szCs w:val="14"/>
                <w:color w:val="auto"/>
              </w:rPr>
              <w:t>87,697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188,610</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2"/>
              <w:spacing w:after="0"/>
              <w:rPr>
                <w:sz w:val="20"/>
                <w:szCs w:val="20"/>
                <w:color w:val="auto"/>
              </w:rPr>
            </w:pPr>
            <w:r>
              <w:rPr>
                <w:rFonts w:ascii="Arial" w:cs="Arial" w:eastAsia="Arial" w:hAnsi="Arial"/>
                <w:sz w:val="14"/>
                <w:szCs w:val="14"/>
                <w:color w:val="auto"/>
              </w:rPr>
              <w:t>413,842</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92"/>
              <w:spacing w:after="0"/>
              <w:rPr>
                <w:sz w:val="20"/>
                <w:szCs w:val="20"/>
                <w:color w:val="auto"/>
              </w:rPr>
            </w:pPr>
            <w:r>
              <w:rPr>
                <w:rFonts w:ascii="Arial" w:cs="Arial" w:eastAsia="Arial" w:hAnsi="Arial"/>
                <w:sz w:val="14"/>
                <w:szCs w:val="14"/>
                <w:color w:val="auto"/>
              </w:rPr>
              <w:t>4,400</w:t>
            </w:r>
          </w:p>
        </w:tc>
        <w:tc>
          <w:tcPr>
            <w:tcW w:w="3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1,062,431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2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600" w:type="dxa"/>
            <w:vAlign w:val="bottom"/>
            <w:shd w:val="clear" w:color="auto" w:fill="EAF9E8"/>
          </w:tcPr>
          <w:p>
            <w:pPr>
              <w:spacing w:after="0" w:line="138" w:lineRule="exact"/>
              <w:rPr>
                <w:sz w:val="20"/>
                <w:szCs w:val="20"/>
                <w:color w:val="auto"/>
              </w:rPr>
            </w:pPr>
            <w:r>
              <w:rPr>
                <w:rFonts w:ascii="Arial" w:cs="Arial" w:eastAsia="Arial" w:hAnsi="Arial"/>
                <w:sz w:val="14"/>
                <w:szCs w:val="14"/>
                <w:b w:val="1"/>
                <w:bCs w:val="1"/>
                <w:color w:val="auto"/>
              </w:rPr>
              <w:t>David J. Gunter</w:t>
            </w:r>
          </w:p>
        </w:tc>
        <w:tc>
          <w:tcPr>
            <w:tcW w:w="340" w:type="dxa"/>
            <w:vAlign w:val="bottom"/>
            <w:shd w:val="clear" w:color="auto" w:fill="EAF9E8"/>
          </w:tcPr>
          <w:p>
            <w:pPr>
              <w:spacing w:after="0"/>
              <w:rPr>
                <w:sz w:val="11"/>
                <w:szCs w:val="11"/>
                <w:color w:val="auto"/>
              </w:rPr>
            </w:pPr>
          </w:p>
        </w:tc>
        <w:tc>
          <w:tcPr>
            <w:tcW w:w="1040" w:type="dxa"/>
            <w:vAlign w:val="bottom"/>
            <w:shd w:val="clear" w:color="auto" w:fill="EAF9E8"/>
          </w:tcPr>
          <w:p>
            <w:pPr>
              <w:spacing w:after="0"/>
              <w:rPr>
                <w:sz w:val="11"/>
                <w:szCs w:val="11"/>
                <w:color w:val="auto"/>
              </w:rPr>
            </w:pPr>
          </w:p>
        </w:tc>
        <w:tc>
          <w:tcPr>
            <w:tcW w:w="480" w:type="dxa"/>
            <w:vAlign w:val="bottom"/>
            <w:shd w:val="clear" w:color="auto" w:fill="EAF9E8"/>
          </w:tcPr>
          <w:p>
            <w:pPr>
              <w:spacing w:after="0"/>
              <w:rPr>
                <w:sz w:val="11"/>
                <w:szCs w:val="11"/>
                <w:color w:val="auto"/>
              </w:rPr>
            </w:pPr>
          </w:p>
        </w:tc>
        <w:tc>
          <w:tcPr>
            <w:tcW w:w="1040" w:type="dxa"/>
            <w:vAlign w:val="bottom"/>
            <w:shd w:val="clear" w:color="auto" w:fill="EAF9E8"/>
          </w:tcPr>
          <w:p>
            <w:pPr>
              <w:spacing w:after="0"/>
              <w:rPr>
                <w:sz w:val="11"/>
                <w:szCs w:val="11"/>
                <w:color w:val="auto"/>
              </w:rPr>
            </w:pPr>
          </w:p>
        </w:tc>
        <w:tc>
          <w:tcPr>
            <w:tcW w:w="280" w:type="dxa"/>
            <w:vAlign w:val="bottom"/>
            <w:shd w:val="clear" w:color="auto" w:fill="EAF9E8"/>
          </w:tcPr>
          <w:p>
            <w:pPr>
              <w:spacing w:after="0"/>
              <w:rPr>
                <w:sz w:val="11"/>
                <w:szCs w:val="11"/>
                <w:color w:val="auto"/>
              </w:rPr>
            </w:pPr>
          </w:p>
        </w:tc>
        <w:tc>
          <w:tcPr>
            <w:tcW w:w="110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1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1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w w:val="90"/>
              </w:rPr>
              <w:t>Senior Vice President, Chief</w:t>
            </w:r>
          </w:p>
        </w:tc>
        <w:tc>
          <w:tcPr>
            <w:tcW w:w="340" w:type="dxa"/>
            <w:vAlign w:val="bottom"/>
            <w:shd w:val="clear" w:color="auto" w:fill="EAF9E8"/>
          </w:tcPr>
          <w:p>
            <w:pPr>
              <w:spacing w:after="0"/>
              <w:rPr>
                <w:sz w:val="13"/>
                <w:szCs w:val="13"/>
                <w:color w:val="auto"/>
              </w:rPr>
            </w:pPr>
          </w:p>
        </w:tc>
        <w:tc>
          <w:tcPr>
            <w:tcW w:w="1040" w:type="dxa"/>
            <w:vAlign w:val="bottom"/>
            <w:shd w:val="clear" w:color="auto" w:fill="EAF9E8"/>
          </w:tcPr>
          <w:p>
            <w:pPr>
              <w:jc w:val="right"/>
              <w:ind w:right="272"/>
              <w:spacing w:after="0" w:line="159" w:lineRule="exact"/>
              <w:rPr>
                <w:sz w:val="20"/>
                <w:szCs w:val="20"/>
                <w:color w:val="auto"/>
              </w:rPr>
            </w:pPr>
            <w:r>
              <w:rPr>
                <w:rFonts w:ascii="Arial" w:cs="Arial" w:eastAsia="Arial" w:hAnsi="Arial"/>
                <w:sz w:val="14"/>
                <w:szCs w:val="14"/>
                <w:color w:val="auto"/>
              </w:rPr>
              <w:t>2007</w:t>
            </w:r>
          </w:p>
        </w:tc>
        <w:tc>
          <w:tcPr>
            <w:tcW w:w="480" w:type="dxa"/>
            <w:vAlign w:val="bottom"/>
            <w:shd w:val="clear" w:color="auto" w:fill="EAF9E8"/>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40" w:type="dxa"/>
            <w:vAlign w:val="bottom"/>
            <w:shd w:val="clear" w:color="auto" w:fill="EAF9E8"/>
          </w:tcPr>
          <w:p>
            <w:pPr>
              <w:jc w:val="right"/>
              <w:ind w:right="92"/>
              <w:spacing w:after="0" w:line="159" w:lineRule="exact"/>
              <w:rPr>
                <w:sz w:val="20"/>
                <w:szCs w:val="20"/>
                <w:color w:val="auto"/>
              </w:rPr>
            </w:pPr>
            <w:r>
              <w:rPr>
                <w:rFonts w:ascii="Arial" w:cs="Arial" w:eastAsia="Arial" w:hAnsi="Arial"/>
                <w:sz w:val="14"/>
                <w:szCs w:val="14"/>
                <w:color w:val="auto"/>
              </w:rPr>
              <w:t>308,653</w:t>
            </w:r>
          </w:p>
        </w:tc>
        <w:tc>
          <w:tcPr>
            <w:tcW w:w="2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shd w:val="clear" w:color="auto" w:fill="EAF9E8"/>
          </w:tcPr>
          <w:p>
            <w:pPr>
              <w:jc w:val="right"/>
              <w:ind w:right="93"/>
              <w:spacing w:after="0" w:line="159" w:lineRule="exact"/>
              <w:rPr>
                <w:sz w:val="20"/>
                <w:szCs w:val="20"/>
                <w:color w:val="auto"/>
              </w:rPr>
            </w:pPr>
            <w:r>
              <w:rPr>
                <w:rFonts w:ascii="Arial" w:cs="Arial" w:eastAsia="Arial" w:hAnsi="Arial"/>
                <w:sz w:val="14"/>
                <w:szCs w:val="14"/>
                <w:color w:val="auto"/>
              </w:rPr>
              <w:t>27,419</w:t>
            </w:r>
          </w:p>
        </w:tc>
        <w:tc>
          <w:tcPr>
            <w:tcW w:w="3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1180" w:type="dxa"/>
            <w:vAlign w:val="bottom"/>
            <w:shd w:val="clear" w:color="auto" w:fill="EAF9E8"/>
          </w:tcPr>
          <w:p>
            <w:pPr>
              <w:jc w:val="right"/>
              <w:ind w:right="194"/>
              <w:spacing w:after="0" w:line="159" w:lineRule="exact"/>
              <w:rPr>
                <w:sz w:val="20"/>
                <w:szCs w:val="20"/>
                <w:color w:val="auto"/>
              </w:rPr>
            </w:pPr>
            <w:r>
              <w:rPr>
                <w:rFonts w:ascii="Arial" w:cs="Arial" w:eastAsia="Arial" w:hAnsi="Arial"/>
                <w:sz w:val="14"/>
                <w:szCs w:val="14"/>
                <w:color w:val="auto"/>
              </w:rPr>
              <w:t>42,144</w:t>
            </w:r>
          </w:p>
        </w:tc>
        <w:tc>
          <w:tcPr>
            <w:tcW w:w="160" w:type="dxa"/>
            <w:vAlign w:val="bottom"/>
            <w:shd w:val="clear" w:color="auto" w:fill="EAF9E8"/>
          </w:tcPr>
          <w:p>
            <w:pPr>
              <w:ind w:left="60"/>
              <w:spacing w:after="0" w:line="159" w:lineRule="exact"/>
              <w:rPr>
                <w:sz w:val="20"/>
                <w:szCs w:val="20"/>
                <w:color w:val="auto"/>
              </w:rPr>
            </w:pPr>
            <w:r>
              <w:rPr>
                <w:rFonts w:ascii="Arial" w:cs="Arial" w:eastAsia="Arial" w:hAnsi="Arial"/>
                <w:sz w:val="14"/>
                <w:szCs w:val="14"/>
                <w:color w:val="auto"/>
              </w:rPr>
              <w:t>$</w:t>
            </w:r>
          </w:p>
        </w:tc>
        <w:tc>
          <w:tcPr>
            <w:tcW w:w="1120" w:type="dxa"/>
            <w:vAlign w:val="bottom"/>
            <w:shd w:val="clear" w:color="auto" w:fill="EAF9E8"/>
          </w:tcPr>
          <w:p>
            <w:pPr>
              <w:jc w:val="right"/>
              <w:ind w:right="112"/>
              <w:spacing w:after="0" w:line="159" w:lineRule="exact"/>
              <w:rPr>
                <w:sz w:val="20"/>
                <w:szCs w:val="20"/>
                <w:color w:val="auto"/>
              </w:rPr>
            </w:pPr>
            <w:r>
              <w:rPr>
                <w:rFonts w:ascii="Arial" w:cs="Arial" w:eastAsia="Arial" w:hAnsi="Arial"/>
                <w:sz w:val="14"/>
                <w:szCs w:val="14"/>
                <w:color w:val="auto"/>
              </w:rPr>
              <w:t>219,157</w:t>
            </w:r>
          </w:p>
        </w:tc>
        <w:tc>
          <w:tcPr>
            <w:tcW w:w="340" w:type="dxa"/>
            <w:vAlign w:val="bottom"/>
            <w:shd w:val="clear" w:color="auto" w:fill="EAF9E8"/>
          </w:tcPr>
          <w:p>
            <w:pPr>
              <w:spacing w:after="0"/>
              <w:rPr>
                <w:sz w:val="13"/>
                <w:szCs w:val="13"/>
                <w:color w:val="auto"/>
              </w:rPr>
            </w:pPr>
          </w:p>
        </w:tc>
        <w:tc>
          <w:tcPr>
            <w:tcW w:w="1160" w:type="dxa"/>
            <w:vAlign w:val="bottom"/>
            <w:shd w:val="clear" w:color="auto" w:fill="EAF9E8"/>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597,373</w:t>
            </w:r>
          </w:p>
        </w:tc>
        <w:tc>
          <w:tcPr>
            <w:tcW w:w="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Financial Officer and</w:t>
            </w:r>
          </w:p>
        </w:tc>
        <w:tc>
          <w:tcPr>
            <w:tcW w:w="340" w:type="dxa"/>
            <w:vAlign w:val="bottom"/>
            <w:shd w:val="clear" w:color="auto" w:fill="EAF9E8"/>
          </w:tcPr>
          <w:p>
            <w:pPr>
              <w:spacing w:after="0"/>
              <w:rPr>
                <w:sz w:val="11"/>
                <w:szCs w:val="11"/>
                <w:color w:val="auto"/>
              </w:rPr>
            </w:pPr>
          </w:p>
        </w:tc>
        <w:tc>
          <w:tcPr>
            <w:tcW w:w="1040" w:type="dxa"/>
            <w:vAlign w:val="bottom"/>
            <w:shd w:val="clear" w:color="auto" w:fill="EAF9E8"/>
          </w:tcPr>
          <w:p>
            <w:pPr>
              <w:spacing w:after="0"/>
              <w:rPr>
                <w:sz w:val="11"/>
                <w:szCs w:val="11"/>
                <w:color w:val="auto"/>
              </w:rPr>
            </w:pPr>
          </w:p>
        </w:tc>
        <w:tc>
          <w:tcPr>
            <w:tcW w:w="480" w:type="dxa"/>
            <w:vAlign w:val="bottom"/>
            <w:shd w:val="clear" w:color="auto" w:fill="EAF9E8"/>
          </w:tcPr>
          <w:p>
            <w:pPr>
              <w:spacing w:after="0"/>
              <w:rPr>
                <w:sz w:val="11"/>
                <w:szCs w:val="11"/>
                <w:color w:val="auto"/>
              </w:rPr>
            </w:pPr>
          </w:p>
        </w:tc>
        <w:tc>
          <w:tcPr>
            <w:tcW w:w="1040" w:type="dxa"/>
            <w:vAlign w:val="bottom"/>
            <w:shd w:val="clear" w:color="auto" w:fill="EAF9E8"/>
          </w:tcPr>
          <w:p>
            <w:pPr>
              <w:spacing w:after="0"/>
              <w:rPr>
                <w:sz w:val="11"/>
                <w:szCs w:val="11"/>
                <w:color w:val="auto"/>
              </w:rPr>
            </w:pPr>
          </w:p>
        </w:tc>
        <w:tc>
          <w:tcPr>
            <w:tcW w:w="280" w:type="dxa"/>
            <w:vAlign w:val="bottom"/>
            <w:shd w:val="clear" w:color="auto" w:fill="EAF9E8"/>
          </w:tcPr>
          <w:p>
            <w:pPr>
              <w:spacing w:after="0"/>
              <w:rPr>
                <w:sz w:val="11"/>
                <w:szCs w:val="11"/>
                <w:color w:val="auto"/>
              </w:rPr>
            </w:pPr>
          </w:p>
        </w:tc>
        <w:tc>
          <w:tcPr>
            <w:tcW w:w="110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1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1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Treasurer</w:t>
            </w:r>
          </w:p>
        </w:tc>
        <w:tc>
          <w:tcPr>
            <w:tcW w:w="340" w:type="dxa"/>
            <w:vAlign w:val="bottom"/>
            <w:shd w:val="clear" w:color="auto" w:fill="EAF9E8"/>
          </w:tcPr>
          <w:p>
            <w:pPr>
              <w:spacing w:after="0"/>
              <w:rPr>
                <w:sz w:val="13"/>
                <w:szCs w:val="13"/>
                <w:color w:val="auto"/>
              </w:rPr>
            </w:pPr>
          </w:p>
        </w:tc>
        <w:tc>
          <w:tcPr>
            <w:tcW w:w="1040" w:type="dxa"/>
            <w:vAlign w:val="bottom"/>
            <w:shd w:val="clear" w:color="auto" w:fill="EAF9E8"/>
          </w:tcPr>
          <w:p>
            <w:pPr>
              <w:jc w:val="right"/>
              <w:ind w:right="272"/>
              <w:spacing w:after="0" w:line="159" w:lineRule="exact"/>
              <w:rPr>
                <w:sz w:val="20"/>
                <w:szCs w:val="20"/>
                <w:color w:val="auto"/>
              </w:rPr>
            </w:pPr>
            <w:r>
              <w:rPr>
                <w:rFonts w:ascii="Arial" w:cs="Arial" w:eastAsia="Arial" w:hAnsi="Arial"/>
                <w:sz w:val="14"/>
                <w:szCs w:val="14"/>
                <w:color w:val="auto"/>
              </w:rPr>
              <w:t>2006</w:t>
            </w:r>
          </w:p>
        </w:tc>
        <w:tc>
          <w:tcPr>
            <w:tcW w:w="480" w:type="dxa"/>
            <w:vAlign w:val="bottom"/>
            <w:shd w:val="clear" w:color="auto" w:fill="EAF9E8"/>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40" w:type="dxa"/>
            <w:vAlign w:val="bottom"/>
            <w:shd w:val="clear" w:color="auto" w:fill="EAF9E8"/>
          </w:tcPr>
          <w:p>
            <w:pPr>
              <w:jc w:val="right"/>
              <w:ind w:right="92"/>
              <w:spacing w:after="0" w:line="159" w:lineRule="exact"/>
              <w:rPr>
                <w:sz w:val="20"/>
                <w:szCs w:val="20"/>
                <w:color w:val="auto"/>
              </w:rPr>
            </w:pPr>
            <w:r>
              <w:rPr>
                <w:rFonts w:ascii="Arial" w:cs="Arial" w:eastAsia="Arial" w:hAnsi="Arial"/>
                <w:sz w:val="14"/>
                <w:szCs w:val="14"/>
                <w:color w:val="auto"/>
              </w:rPr>
              <w:t>201,923</w:t>
            </w:r>
          </w:p>
        </w:tc>
        <w:tc>
          <w:tcPr>
            <w:tcW w:w="280" w:type="dxa"/>
            <w:vAlign w:val="bottom"/>
            <w:shd w:val="clear" w:color="auto" w:fill="EAF9E8"/>
          </w:tcPr>
          <w:p>
            <w:pPr>
              <w:spacing w:after="0"/>
              <w:rPr>
                <w:sz w:val="13"/>
                <w:szCs w:val="13"/>
                <w:color w:val="auto"/>
              </w:rPr>
            </w:pPr>
          </w:p>
        </w:tc>
        <w:tc>
          <w:tcPr>
            <w:tcW w:w="1100" w:type="dxa"/>
            <w:vAlign w:val="bottom"/>
            <w:shd w:val="clear" w:color="auto" w:fill="EAF9E8"/>
          </w:tcPr>
          <w:p>
            <w:pPr>
              <w:jc w:val="right"/>
              <w:ind w:right="93"/>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spacing w:after="0"/>
              <w:rPr>
                <w:sz w:val="13"/>
                <w:szCs w:val="13"/>
                <w:color w:val="auto"/>
              </w:rPr>
            </w:pPr>
          </w:p>
        </w:tc>
        <w:tc>
          <w:tcPr>
            <w:tcW w:w="1180" w:type="dxa"/>
            <w:vAlign w:val="bottom"/>
            <w:shd w:val="clear" w:color="auto" w:fill="EAF9E8"/>
          </w:tcPr>
          <w:p>
            <w:pPr>
              <w:jc w:val="right"/>
              <w:ind w:right="194"/>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ind w:left="60"/>
              <w:spacing w:after="0" w:line="159" w:lineRule="exact"/>
              <w:rPr>
                <w:sz w:val="20"/>
                <w:szCs w:val="20"/>
                <w:color w:val="auto"/>
              </w:rPr>
            </w:pPr>
            <w:r>
              <w:rPr>
                <w:rFonts w:ascii="Arial" w:cs="Arial" w:eastAsia="Arial" w:hAnsi="Arial"/>
                <w:sz w:val="14"/>
                <w:szCs w:val="14"/>
                <w:color w:val="auto"/>
              </w:rPr>
              <w:t>$</w:t>
            </w:r>
          </w:p>
        </w:tc>
        <w:tc>
          <w:tcPr>
            <w:tcW w:w="1120" w:type="dxa"/>
            <w:vAlign w:val="bottom"/>
            <w:shd w:val="clear" w:color="auto" w:fill="EAF9E8"/>
          </w:tcPr>
          <w:p>
            <w:pPr>
              <w:jc w:val="right"/>
              <w:ind w:right="112"/>
              <w:spacing w:after="0" w:line="159" w:lineRule="exact"/>
              <w:rPr>
                <w:sz w:val="20"/>
                <w:szCs w:val="20"/>
                <w:color w:val="auto"/>
              </w:rPr>
            </w:pPr>
            <w:r>
              <w:rPr>
                <w:rFonts w:ascii="Arial" w:cs="Arial" w:eastAsia="Arial" w:hAnsi="Arial"/>
                <w:sz w:val="14"/>
                <w:szCs w:val="14"/>
                <w:color w:val="auto"/>
              </w:rPr>
              <w:t>82,226</w:t>
            </w:r>
          </w:p>
        </w:tc>
        <w:tc>
          <w:tcPr>
            <w:tcW w:w="340" w:type="dxa"/>
            <w:vAlign w:val="bottom"/>
            <w:shd w:val="clear" w:color="auto" w:fill="EAF9E8"/>
          </w:tcPr>
          <w:p>
            <w:pPr>
              <w:spacing w:after="0"/>
              <w:rPr>
                <w:sz w:val="13"/>
                <w:szCs w:val="13"/>
                <w:color w:val="auto"/>
              </w:rPr>
            </w:pPr>
          </w:p>
        </w:tc>
        <w:tc>
          <w:tcPr>
            <w:tcW w:w="1160" w:type="dxa"/>
            <w:vAlign w:val="bottom"/>
            <w:shd w:val="clear" w:color="auto" w:fill="EAF9E8"/>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284,149</w:t>
            </w:r>
          </w:p>
        </w:tc>
        <w:tc>
          <w:tcPr>
            <w:tcW w:w="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5"/>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Paul A. Koches</w:t>
            </w:r>
            <w:r>
              <w:rPr>
                <w:rFonts w:ascii="Arial" w:cs="Arial" w:eastAsia="Arial" w:hAnsi="Arial"/>
                <w:sz w:val="22"/>
                <w:szCs w:val="22"/>
                <w:color w:val="auto"/>
                <w:vertAlign w:val="superscript"/>
              </w:rPr>
              <w:t>(8)</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w w:val="98"/>
              </w:rPr>
              <w:t>Senior Vice President and</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72"/>
              <w:spacing w:after="0"/>
              <w:rPr>
                <w:sz w:val="20"/>
                <w:szCs w:val="20"/>
                <w:color w:val="auto"/>
              </w:rPr>
            </w:pPr>
            <w:r>
              <w:rPr>
                <w:rFonts w:ascii="Arial" w:cs="Arial" w:eastAsia="Arial" w:hAnsi="Arial"/>
                <w:sz w:val="14"/>
                <w:szCs w:val="14"/>
                <w:color w:val="auto"/>
              </w:rPr>
              <w:t>80,788</w:t>
            </w:r>
            <w:r>
              <w:rPr>
                <w:rFonts w:ascii="Arial" w:cs="Arial" w:eastAsia="Arial" w:hAnsi="Arial"/>
                <w:sz w:val="22"/>
                <w:szCs w:val="22"/>
                <w:color w:val="auto"/>
                <w:vertAlign w:val="superscript"/>
              </w:rPr>
              <w:t>(9)</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General Counsel</w:t>
            </w:r>
          </w:p>
        </w:tc>
        <w:tc>
          <w:tcPr>
            <w:tcW w:w="13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color w:val="auto"/>
              </w:rPr>
              <w:t>2007</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300,000</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335,045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vMerge w:val="continue"/>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715,833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W. Michael Linn</w:t>
            </w:r>
          </w:p>
        </w:tc>
        <w:tc>
          <w:tcPr>
            <w:tcW w:w="340" w:type="dxa"/>
            <w:vAlign w:val="bottom"/>
            <w:shd w:val="clear" w:color="auto" w:fill="EAF9E8"/>
          </w:tcPr>
          <w:p>
            <w:pPr>
              <w:spacing w:after="0"/>
              <w:rPr>
                <w:sz w:val="12"/>
                <w:szCs w:val="12"/>
                <w:color w:val="auto"/>
              </w:rPr>
            </w:pPr>
          </w:p>
        </w:tc>
        <w:tc>
          <w:tcPr>
            <w:tcW w:w="1040" w:type="dxa"/>
            <w:vAlign w:val="bottom"/>
            <w:shd w:val="clear" w:color="auto" w:fill="EAF9E8"/>
          </w:tcPr>
          <w:p>
            <w:pPr>
              <w:jc w:val="right"/>
              <w:ind w:right="272"/>
              <w:spacing w:after="0" w:line="149" w:lineRule="exact"/>
              <w:rPr>
                <w:sz w:val="20"/>
                <w:szCs w:val="20"/>
                <w:color w:val="auto"/>
              </w:rPr>
            </w:pPr>
            <w:r>
              <w:rPr>
                <w:rFonts w:ascii="Arial" w:cs="Arial" w:eastAsia="Arial" w:hAnsi="Arial"/>
                <w:sz w:val="14"/>
                <w:szCs w:val="14"/>
                <w:color w:val="auto"/>
              </w:rPr>
              <w:t>2007</w:t>
            </w:r>
          </w:p>
        </w:tc>
        <w:tc>
          <w:tcPr>
            <w:tcW w:w="4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EAF9E8"/>
          </w:tcPr>
          <w:p>
            <w:pPr>
              <w:jc w:val="right"/>
              <w:ind w:right="92"/>
              <w:spacing w:after="0" w:line="149" w:lineRule="exact"/>
              <w:rPr>
                <w:sz w:val="20"/>
                <w:szCs w:val="20"/>
                <w:color w:val="auto"/>
              </w:rPr>
            </w:pPr>
            <w:r>
              <w:rPr>
                <w:rFonts w:ascii="Arial" w:cs="Arial" w:eastAsia="Arial" w:hAnsi="Arial"/>
                <w:sz w:val="14"/>
                <w:szCs w:val="14"/>
                <w:color w:val="auto"/>
              </w:rPr>
              <w:t>103,385</w:t>
            </w:r>
          </w:p>
        </w:tc>
        <w:tc>
          <w:tcPr>
            <w:tcW w:w="2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EAF9E8"/>
          </w:tcPr>
          <w:p>
            <w:pPr>
              <w:jc w:val="right"/>
              <w:ind w:right="93"/>
              <w:spacing w:after="0" w:line="149" w:lineRule="exact"/>
              <w:rPr>
                <w:sz w:val="20"/>
                <w:szCs w:val="20"/>
                <w:color w:val="auto"/>
              </w:rPr>
            </w:pPr>
            <w:r>
              <w:rPr>
                <w:rFonts w:ascii="Arial" w:cs="Arial" w:eastAsia="Arial" w:hAnsi="Arial"/>
                <w:sz w:val="14"/>
                <w:szCs w:val="14"/>
                <w:color w:val="auto"/>
              </w:rPr>
              <w:t>74,189</w:t>
            </w:r>
          </w:p>
        </w:tc>
        <w:tc>
          <w:tcPr>
            <w:tcW w:w="3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EAF9E8"/>
          </w:tcPr>
          <w:p>
            <w:pPr>
              <w:jc w:val="right"/>
              <w:ind w:right="14"/>
              <w:spacing w:after="0" w:line="149" w:lineRule="exact"/>
              <w:rPr>
                <w:sz w:val="20"/>
                <w:szCs w:val="20"/>
                <w:color w:val="auto"/>
              </w:rPr>
            </w:pPr>
            <w:r>
              <w:rPr>
                <w:rFonts w:ascii="Arial" w:cs="Arial" w:eastAsia="Arial" w:hAnsi="Arial"/>
                <w:sz w:val="11"/>
                <w:szCs w:val="11"/>
                <w:color w:val="auto"/>
              </w:rPr>
              <w:t>318,813</w:t>
            </w:r>
            <w:r>
              <w:rPr>
                <w:rFonts w:ascii="Arial" w:cs="Arial" w:eastAsia="Arial" w:hAnsi="Arial"/>
                <w:sz w:val="17"/>
                <w:szCs w:val="17"/>
                <w:color w:val="auto"/>
                <w:vertAlign w:val="superscript"/>
              </w:rPr>
              <w:t>(10)</w:t>
            </w:r>
          </w:p>
        </w:tc>
        <w:tc>
          <w:tcPr>
            <w:tcW w:w="160" w:type="dxa"/>
            <w:vAlign w:val="bottom"/>
            <w:shd w:val="clear" w:color="auto" w:fill="EAF9E8"/>
          </w:tcPr>
          <w:p>
            <w:pPr>
              <w:spacing w:after="0"/>
              <w:rPr>
                <w:sz w:val="12"/>
                <w:szCs w:val="12"/>
                <w:color w:val="auto"/>
              </w:rPr>
            </w:pPr>
          </w:p>
        </w:tc>
        <w:tc>
          <w:tcPr>
            <w:tcW w:w="11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EAF9E8"/>
          </w:tcPr>
          <w:p>
            <w:pPr>
              <w:jc w:val="right"/>
              <w:ind w:right="192"/>
              <w:spacing w:after="0" w:line="149" w:lineRule="exact"/>
              <w:rPr>
                <w:sz w:val="20"/>
                <w:szCs w:val="20"/>
                <w:color w:val="auto"/>
              </w:rPr>
            </w:pPr>
            <w:r>
              <w:rPr>
                <w:rFonts w:ascii="Arial" w:cs="Arial" w:eastAsia="Arial" w:hAnsi="Arial"/>
                <w:sz w:val="14"/>
                <w:szCs w:val="14"/>
                <w:color w:val="auto"/>
              </w:rPr>
              <w:t>4,500</w:t>
            </w:r>
          </w:p>
        </w:tc>
        <w:tc>
          <w:tcPr>
            <w:tcW w:w="300" w:type="dxa"/>
            <w:vAlign w:val="bottom"/>
            <w:shd w:val="clear" w:color="auto" w:fill="EAF9E8"/>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500,887</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Executive Vice President</w:t>
            </w:r>
          </w:p>
        </w:tc>
        <w:tc>
          <w:tcPr>
            <w:tcW w:w="340" w:type="dxa"/>
            <w:vAlign w:val="bottom"/>
            <w:shd w:val="clear" w:color="auto" w:fill="EAF9E8"/>
          </w:tcPr>
          <w:p>
            <w:pPr>
              <w:spacing w:after="0"/>
              <w:rPr>
                <w:sz w:val="12"/>
                <w:szCs w:val="12"/>
                <w:color w:val="auto"/>
              </w:rPr>
            </w:pPr>
          </w:p>
        </w:tc>
        <w:tc>
          <w:tcPr>
            <w:tcW w:w="1040" w:type="dxa"/>
            <w:vAlign w:val="bottom"/>
            <w:shd w:val="clear" w:color="auto" w:fill="EAF9E8"/>
          </w:tcPr>
          <w:p>
            <w:pPr>
              <w:jc w:val="right"/>
              <w:ind w:right="272"/>
              <w:spacing w:after="0" w:line="149" w:lineRule="exact"/>
              <w:rPr>
                <w:sz w:val="20"/>
                <w:szCs w:val="20"/>
                <w:color w:val="auto"/>
              </w:rPr>
            </w:pPr>
            <w:r>
              <w:rPr>
                <w:rFonts w:ascii="Arial" w:cs="Arial" w:eastAsia="Arial" w:hAnsi="Arial"/>
                <w:sz w:val="14"/>
                <w:szCs w:val="14"/>
                <w:color w:val="auto"/>
              </w:rPr>
              <w:t>2006</w:t>
            </w:r>
          </w:p>
        </w:tc>
        <w:tc>
          <w:tcPr>
            <w:tcW w:w="4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EAF9E8"/>
          </w:tcPr>
          <w:p>
            <w:pPr>
              <w:jc w:val="right"/>
              <w:ind w:right="92"/>
              <w:spacing w:after="0" w:line="149" w:lineRule="exact"/>
              <w:rPr>
                <w:sz w:val="20"/>
                <w:szCs w:val="20"/>
                <w:color w:val="auto"/>
              </w:rPr>
            </w:pPr>
            <w:r>
              <w:rPr>
                <w:rFonts w:ascii="Arial" w:cs="Arial" w:eastAsia="Arial" w:hAnsi="Arial"/>
                <w:sz w:val="14"/>
                <w:szCs w:val="14"/>
                <w:color w:val="auto"/>
              </w:rPr>
              <w:t>280,000</w:t>
            </w:r>
          </w:p>
        </w:tc>
        <w:tc>
          <w:tcPr>
            <w:tcW w:w="2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EAF9E8"/>
          </w:tcPr>
          <w:p>
            <w:pPr>
              <w:jc w:val="right"/>
              <w:ind w:right="93"/>
              <w:spacing w:after="0" w:line="149" w:lineRule="exact"/>
              <w:rPr>
                <w:sz w:val="20"/>
                <w:szCs w:val="20"/>
                <w:color w:val="auto"/>
              </w:rPr>
            </w:pPr>
            <w:r>
              <w:rPr>
                <w:rFonts w:ascii="Arial" w:cs="Arial" w:eastAsia="Arial" w:hAnsi="Arial"/>
                <w:sz w:val="14"/>
                <w:szCs w:val="14"/>
                <w:color w:val="auto"/>
              </w:rPr>
              <w:t>48,566</w:t>
            </w:r>
          </w:p>
        </w:tc>
        <w:tc>
          <w:tcPr>
            <w:tcW w:w="3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EAF9E8"/>
          </w:tcPr>
          <w:p>
            <w:pPr>
              <w:jc w:val="right"/>
              <w:ind w:right="194"/>
              <w:spacing w:after="0" w:line="149" w:lineRule="exact"/>
              <w:rPr>
                <w:sz w:val="20"/>
                <w:szCs w:val="20"/>
                <w:color w:val="auto"/>
              </w:rPr>
            </w:pPr>
            <w:r>
              <w:rPr>
                <w:rFonts w:ascii="Arial" w:cs="Arial" w:eastAsia="Arial" w:hAnsi="Arial"/>
                <w:sz w:val="14"/>
                <w:szCs w:val="14"/>
                <w:color w:val="auto"/>
              </w:rPr>
              <w:t>53,225</w:t>
            </w:r>
          </w:p>
        </w:tc>
        <w:tc>
          <w:tcPr>
            <w:tcW w:w="160" w:type="dxa"/>
            <w:vAlign w:val="bottom"/>
            <w:shd w:val="clear" w:color="auto" w:fill="EAF9E8"/>
          </w:tcPr>
          <w:p>
            <w:pPr>
              <w:ind w:left="6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157,500</w:t>
            </w:r>
          </w:p>
        </w:tc>
        <w:tc>
          <w:tcPr>
            <w:tcW w:w="340" w:type="dxa"/>
            <w:vAlign w:val="bottom"/>
            <w:shd w:val="clear" w:color="auto" w:fill="EAF9E8"/>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EAF9E8"/>
          </w:tcPr>
          <w:p>
            <w:pPr>
              <w:jc w:val="right"/>
              <w:ind w:right="192"/>
              <w:spacing w:after="0" w:line="149" w:lineRule="exact"/>
              <w:rPr>
                <w:sz w:val="20"/>
                <w:szCs w:val="20"/>
                <w:color w:val="auto"/>
              </w:rPr>
            </w:pPr>
            <w:r>
              <w:rPr>
                <w:rFonts w:ascii="Arial" w:cs="Arial" w:eastAsia="Arial" w:hAnsi="Arial"/>
                <w:sz w:val="14"/>
                <w:szCs w:val="14"/>
                <w:color w:val="auto"/>
              </w:rPr>
              <w:t>4,400</w:t>
            </w:r>
          </w:p>
        </w:tc>
        <w:tc>
          <w:tcPr>
            <w:tcW w:w="300" w:type="dxa"/>
            <w:vAlign w:val="bottom"/>
            <w:shd w:val="clear" w:color="auto" w:fill="EAF9E8"/>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543,691</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William B. Shepro</w:t>
            </w:r>
          </w:p>
        </w:tc>
        <w:tc>
          <w:tcPr>
            <w:tcW w:w="1380" w:type="dxa"/>
            <w:vAlign w:val="bottom"/>
            <w:gridSpan w:val="2"/>
            <w:vMerge w:val="restart"/>
          </w:tcPr>
          <w:p>
            <w:pPr>
              <w:jc w:val="right"/>
              <w:ind w:right="272"/>
              <w:spacing w:after="0"/>
              <w:rPr>
                <w:sz w:val="20"/>
                <w:szCs w:val="20"/>
                <w:color w:val="auto"/>
              </w:rPr>
            </w:pPr>
            <w:r>
              <w:rPr>
                <w:rFonts w:ascii="Arial" w:cs="Arial" w:eastAsia="Arial" w:hAnsi="Arial"/>
                <w:sz w:val="14"/>
                <w:szCs w:val="14"/>
                <w:color w:val="auto"/>
              </w:rPr>
              <w:t>2007</w:t>
            </w:r>
          </w:p>
        </w:tc>
        <w:tc>
          <w:tcPr>
            <w:tcW w:w="4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color w:val="auto"/>
              </w:rPr>
              <w:t>232,554</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93"/>
              <w:spacing w:after="0"/>
              <w:rPr>
                <w:sz w:val="20"/>
                <w:szCs w:val="20"/>
                <w:color w:val="auto"/>
              </w:rPr>
            </w:pPr>
            <w:r>
              <w:rPr>
                <w:rFonts w:ascii="Arial" w:cs="Arial" w:eastAsia="Arial" w:hAnsi="Arial"/>
                <w:sz w:val="14"/>
                <w:szCs w:val="14"/>
                <w:color w:val="auto"/>
              </w:rPr>
              <w:t>96,891</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color w:val="auto"/>
              </w:rPr>
              <w:t>174,200</w:t>
            </w:r>
          </w:p>
        </w:tc>
        <w:tc>
          <w:tcPr>
            <w:tcW w:w="1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12"/>
              <w:spacing w:after="0"/>
              <w:rPr>
                <w:sz w:val="20"/>
                <w:szCs w:val="20"/>
                <w:color w:val="auto"/>
              </w:rPr>
            </w:pPr>
            <w:r>
              <w:rPr>
                <w:rFonts w:ascii="Arial" w:cs="Arial" w:eastAsia="Arial" w:hAnsi="Arial"/>
                <w:sz w:val="14"/>
                <w:szCs w:val="14"/>
                <w:color w:val="auto"/>
              </w:rPr>
              <w:t>348,850</w:t>
            </w:r>
          </w:p>
        </w:tc>
        <w:tc>
          <w:tcPr>
            <w:tcW w:w="34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2"/>
              <w:spacing w:after="0"/>
              <w:rPr>
                <w:sz w:val="20"/>
                <w:szCs w:val="20"/>
                <w:color w:val="auto"/>
              </w:rPr>
            </w:pPr>
            <w:r>
              <w:rPr>
                <w:rFonts w:ascii="Arial" w:cs="Arial" w:eastAsia="Arial" w:hAnsi="Arial"/>
                <w:sz w:val="14"/>
                <w:szCs w:val="14"/>
                <w:color w:val="auto"/>
              </w:rPr>
              <w:t>19,494</w:t>
            </w:r>
            <w:r>
              <w:rPr>
                <w:rFonts w:ascii="Arial" w:cs="Arial" w:eastAsia="Arial" w:hAnsi="Arial"/>
                <w:sz w:val="22"/>
                <w:szCs w:val="22"/>
                <w:color w:val="auto"/>
                <w:vertAlign w:val="superscript"/>
              </w:rPr>
              <w:t>(11)</w:t>
            </w:r>
          </w:p>
        </w:tc>
        <w:tc>
          <w:tcPr>
            <w:tcW w:w="30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871,989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20" w:type="dxa"/>
            <w:vAlign w:val="bottom"/>
            <w:gridSpan w:val="2"/>
          </w:tcPr>
          <w:p>
            <w:pPr>
              <w:spacing w:after="0" w:line="141" w:lineRule="exact"/>
              <w:rPr>
                <w:sz w:val="20"/>
                <w:szCs w:val="20"/>
                <w:color w:val="auto"/>
              </w:rPr>
            </w:pPr>
            <w:r>
              <w:rPr>
                <w:rFonts w:ascii="Arial" w:cs="Arial" w:eastAsia="Arial" w:hAnsi="Arial"/>
                <w:sz w:val="14"/>
                <w:szCs w:val="14"/>
                <w:color w:val="auto"/>
                <w:w w:val="88"/>
              </w:rPr>
              <w:t>President of Global Servicing</w:t>
            </w:r>
          </w:p>
        </w:tc>
        <w:tc>
          <w:tcPr>
            <w:tcW w:w="138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Solutions, LLC</w:t>
            </w:r>
          </w:p>
        </w:tc>
        <w:tc>
          <w:tcPr>
            <w:tcW w:w="13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color w:val="auto"/>
              </w:rPr>
              <w:t>2006</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215,408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68,508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115,837</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138,381</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34,025</w:t>
            </w:r>
            <w:r>
              <w:rPr>
                <w:rFonts w:ascii="Arial" w:cs="Arial" w:eastAsia="Arial" w:hAnsi="Arial"/>
                <w:sz w:val="22"/>
                <w:szCs w:val="22"/>
                <w:color w:val="auto"/>
                <w:vertAlign w:val="superscript"/>
              </w:rPr>
              <w:t>(12)</w:t>
            </w: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572,159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35"/>
          <w:szCs w:val="35"/>
          <w:color w:val="auto"/>
          <w:vertAlign w:val="superscript"/>
        </w:rPr>
      </w:pPr>
      <w:r>
        <w:rPr>
          <w:rFonts w:ascii="Arial" w:cs="Arial" w:eastAsia="Arial" w:hAnsi="Arial"/>
          <w:sz w:val="18"/>
          <w:szCs w:val="18"/>
          <w:color w:val="auto"/>
        </w:rPr>
        <w:t>Represents amounts paid in corresponding year.</w:t>
      </w:r>
    </w:p>
    <w:p>
      <w:pPr>
        <w:spacing w:after="0" w:line="180" w:lineRule="exact"/>
        <w:rPr>
          <w:rFonts w:ascii="Arial" w:cs="Arial" w:eastAsia="Arial" w:hAnsi="Arial"/>
          <w:sz w:val="35"/>
          <w:szCs w:val="35"/>
          <w:color w:val="auto"/>
          <w:vertAlign w:val="superscript"/>
        </w:rPr>
      </w:pPr>
    </w:p>
    <w:p>
      <w:pPr>
        <w:ind w:left="580" w:right="60" w:hanging="572"/>
        <w:spacing w:after="0" w:line="220" w:lineRule="auto"/>
        <w:tabs>
          <w:tab w:leader="none" w:pos="580" w:val="left"/>
        </w:tabs>
        <w:numPr>
          <w:ilvl w:val="0"/>
          <w:numId w:val="20"/>
        </w:numPr>
        <w:rPr>
          <w:rFonts w:ascii="Arial" w:cs="Arial" w:eastAsia="Arial" w:hAnsi="Arial"/>
          <w:sz w:val="34"/>
          <w:szCs w:val="34"/>
          <w:color w:val="auto"/>
          <w:vertAlign w:val="superscript"/>
        </w:rPr>
      </w:pPr>
      <w:r>
        <w:rPr>
          <w:rFonts w:ascii="Arial" w:cs="Arial" w:eastAsia="Arial" w:hAnsi="Arial"/>
          <w:sz w:val="17"/>
          <w:szCs w:val="17"/>
          <w:color w:val="auto"/>
        </w:rPr>
        <w:t>Consists of compensation cost recognized in the financial statements with respect to the fair value of awards granted for previous fiscal years in accordance with Statement of Financial Accounting Standards No. 123(R) (“FAS 123(R)”). We recognize compensation expense relating to a stock or stock option award over the vesting period, except that expense recognition does not begin until the date of grant. Because one-third of a stock award and one-fifth of a stock option award vest immediately upon grant, we recognize the related cost as expense at that time. In addition, for those who are eligible for retirement, we recognize the full fair value of the stock option award as expense on the date of grant.</w:t>
      </w:r>
    </w:p>
    <w:p>
      <w:pPr>
        <w:spacing w:after="0" w:line="142" w:lineRule="exact"/>
        <w:rPr>
          <w:rFonts w:ascii="Arial" w:cs="Arial" w:eastAsia="Arial" w:hAnsi="Arial"/>
          <w:sz w:val="34"/>
          <w:szCs w:val="34"/>
          <w:color w:val="auto"/>
          <w:vertAlign w:val="superscript"/>
        </w:rPr>
      </w:pPr>
    </w:p>
    <w:p>
      <w:pPr>
        <w:ind w:left="580" w:right="80"/>
        <w:spacing w:after="0" w:line="306" w:lineRule="auto"/>
        <w:rPr>
          <w:rFonts w:ascii="Arial" w:cs="Arial" w:eastAsia="Arial" w:hAnsi="Arial"/>
          <w:sz w:val="34"/>
          <w:szCs w:val="34"/>
          <w:color w:val="auto"/>
          <w:vertAlign w:val="superscript"/>
        </w:rPr>
      </w:pPr>
      <w:r>
        <w:rPr>
          <w:rFonts w:ascii="Arial" w:cs="Arial" w:eastAsia="Arial" w:hAnsi="Arial"/>
          <w:sz w:val="16"/>
          <w:szCs w:val="16"/>
          <w:color w:val="auto"/>
        </w:rPr>
        <w:t>Compensation expense recognized in 2007 includes amounts related to stock and stock option awards granted to the executive officers in the first quarter of 2007 for 2006 performance. We did not recognize any compensation expense for these awards in 2006. As a result, the value of the stock and stock option awards in the table do not reflect performance for the year indicated and 2007 expense is comparatively higher than 2006.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left="580" w:right="180" w:hanging="572"/>
        <w:spacing w:after="0" w:line="192" w:lineRule="auto"/>
        <w:tabs>
          <w:tab w:leader="none" w:pos="580" w:val="left"/>
        </w:tabs>
        <w:numPr>
          <w:ilvl w:val="0"/>
          <w:numId w:val="21"/>
        </w:numPr>
        <w:rPr>
          <w:rFonts w:ascii="Arial" w:cs="Arial" w:eastAsia="Arial" w:hAnsi="Arial"/>
          <w:sz w:val="35"/>
          <w:szCs w:val="35"/>
          <w:color w:val="auto"/>
          <w:vertAlign w:val="superscript"/>
        </w:rPr>
      </w:pPr>
      <w:r>
        <w:rPr>
          <w:rFonts w:ascii="Arial" w:cs="Arial" w:eastAsia="Arial" w:hAnsi="Arial"/>
          <w:sz w:val="18"/>
          <w:szCs w:val="18"/>
          <w:color w:val="auto"/>
        </w:rPr>
        <w:t>We based the grant date fair value of stock awards recognized as expense in 2007 and 2006 on the closing price of our common stock. We estimated the grant date fair value of stock option awards recognized as expense in 2007 and 2006 using the Black-Scholes option-pricing model and the following assumptions: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200" w:type="dxa"/>
            <w:vAlign w:val="bottom"/>
          </w:tcPr>
          <w:p>
            <w:pPr>
              <w:ind w:left="500"/>
              <w:spacing w:after="0"/>
              <w:rPr>
                <w:sz w:val="20"/>
                <w:szCs w:val="20"/>
                <w:color w:val="auto"/>
              </w:rPr>
            </w:pPr>
            <w:r>
              <w:rPr>
                <w:rFonts w:ascii="Arial" w:cs="Arial" w:eastAsia="Arial" w:hAnsi="Arial"/>
                <w:sz w:val="18"/>
                <w:szCs w:val="18"/>
                <w:color w:val="auto"/>
              </w:rPr>
              <w:t>Expected Volatility</w:t>
            </w:r>
          </w:p>
        </w:tc>
        <w:tc>
          <w:tcPr>
            <w:tcW w:w="2520" w:type="dxa"/>
            <w:vAlign w:val="bottom"/>
          </w:tcPr>
          <w:p>
            <w:pPr>
              <w:ind w:left="360"/>
              <w:spacing w:after="0"/>
              <w:rPr>
                <w:sz w:val="20"/>
                <w:szCs w:val="20"/>
                <w:color w:val="auto"/>
              </w:rPr>
            </w:pPr>
            <w:r>
              <w:rPr>
                <w:rFonts w:ascii="Arial" w:cs="Arial" w:eastAsia="Arial" w:hAnsi="Arial"/>
                <w:sz w:val="18"/>
                <w:szCs w:val="18"/>
                <w:color w:val="auto"/>
              </w:rPr>
              <w:t>Expected Dividend Yield</w:t>
            </w:r>
          </w:p>
        </w:tc>
        <w:tc>
          <w:tcPr>
            <w:tcW w:w="2160" w:type="dxa"/>
            <w:vAlign w:val="bottom"/>
          </w:tcPr>
          <w:p>
            <w:pPr>
              <w:jc w:val="center"/>
              <w:ind w:right="52"/>
              <w:spacing w:after="0"/>
              <w:rPr>
                <w:sz w:val="20"/>
                <w:szCs w:val="20"/>
                <w:color w:val="auto"/>
              </w:rPr>
            </w:pPr>
            <w:r>
              <w:rPr>
                <w:rFonts w:ascii="Arial" w:cs="Arial" w:eastAsia="Arial" w:hAnsi="Arial"/>
                <w:sz w:val="18"/>
                <w:szCs w:val="18"/>
                <w:color w:val="auto"/>
                <w:w w:val="88"/>
              </w:rPr>
              <w:t>Risk-Free Interest</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Expected Term in</w:t>
            </w:r>
          </w:p>
        </w:tc>
        <w:tc>
          <w:tcPr>
            <w:tcW w:w="20" w:type="dxa"/>
            <w:vAlign w:val="bottom"/>
          </w:tcPr>
          <w:p>
            <w:pPr>
              <w:spacing w:after="0"/>
              <w:rPr>
                <w:sz w:val="18"/>
                <w:szCs w:val="18"/>
                <w:color w:val="auto"/>
              </w:rPr>
            </w:pPr>
          </w:p>
        </w:tc>
      </w:tr>
      <w:tr>
        <w:trPr>
          <w:trHeight w:val="222"/>
        </w:trPr>
        <w:tc>
          <w:tcPr>
            <w:tcW w:w="2260" w:type="dxa"/>
            <w:vAlign w:val="bottom"/>
          </w:tcPr>
          <w:p>
            <w:pPr>
              <w:jc w:val="center"/>
              <w:spacing w:after="0"/>
              <w:rPr>
                <w:sz w:val="20"/>
                <w:szCs w:val="20"/>
                <w:color w:val="auto"/>
              </w:rPr>
            </w:pPr>
            <w:r>
              <w:rPr>
                <w:rFonts w:ascii="Arial" w:cs="Arial" w:eastAsia="Arial" w:hAnsi="Arial"/>
                <w:sz w:val="18"/>
                <w:szCs w:val="18"/>
                <w:color w:val="auto"/>
                <w:w w:val="86"/>
              </w:rPr>
              <w:t>Performance Year</w:t>
            </w:r>
          </w:p>
        </w:tc>
        <w:tc>
          <w:tcPr>
            <w:tcW w:w="2200" w:type="dxa"/>
            <w:vAlign w:val="bottom"/>
          </w:tcPr>
          <w:p>
            <w:pPr>
              <w:jc w:val="center"/>
              <w:ind w:left="52"/>
              <w:spacing w:after="0"/>
              <w:rPr>
                <w:sz w:val="20"/>
                <w:szCs w:val="20"/>
                <w:color w:val="auto"/>
              </w:rPr>
            </w:pPr>
            <w:r>
              <w:rPr>
                <w:rFonts w:ascii="Arial" w:cs="Arial" w:eastAsia="Arial" w:hAnsi="Arial"/>
                <w:sz w:val="18"/>
                <w:szCs w:val="18"/>
                <w:color w:val="auto"/>
                <w:w w:val="92"/>
              </w:rPr>
              <w:t>(%)</w:t>
            </w: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160" w:type="dxa"/>
            <w:vAlign w:val="bottom"/>
          </w:tcPr>
          <w:p>
            <w:pPr>
              <w:jc w:val="center"/>
              <w:ind w:right="32"/>
              <w:spacing w:after="0"/>
              <w:rPr>
                <w:sz w:val="20"/>
                <w:szCs w:val="20"/>
                <w:color w:val="auto"/>
              </w:rPr>
            </w:pPr>
            <w:r>
              <w:rPr>
                <w:rFonts w:ascii="Arial" w:cs="Arial" w:eastAsia="Arial" w:hAnsi="Arial"/>
                <w:sz w:val="18"/>
                <w:szCs w:val="18"/>
                <w:color w:val="auto"/>
                <w:w w:val="90"/>
              </w:rPr>
              <w:t>Rate (%)</w:t>
            </w:r>
          </w:p>
        </w:tc>
        <w:tc>
          <w:tcPr>
            <w:tcW w:w="2280" w:type="dxa"/>
            <w:vAlign w:val="bottom"/>
          </w:tcPr>
          <w:p>
            <w:pPr>
              <w:jc w:val="center"/>
              <w:spacing w:after="0"/>
              <w:rPr>
                <w:sz w:val="20"/>
                <w:szCs w:val="20"/>
                <w:color w:val="auto"/>
              </w:rPr>
            </w:pPr>
            <w:r>
              <w:rPr>
                <w:rFonts w:ascii="Arial" w:cs="Arial" w:eastAsia="Arial" w:hAnsi="Arial"/>
                <w:sz w:val="18"/>
                <w:szCs w:val="18"/>
                <w:color w:val="auto"/>
                <w:w w:val="84"/>
              </w:rPr>
              <w:t>Years</w:t>
            </w:r>
          </w:p>
        </w:tc>
        <w:tc>
          <w:tcPr>
            <w:tcW w:w="20" w:type="dxa"/>
            <w:vAlign w:val="bottom"/>
          </w:tcPr>
          <w:p>
            <w:pPr>
              <w:spacing w:after="0"/>
              <w:rPr>
                <w:sz w:val="19"/>
                <w:szCs w:val="19"/>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02"/>
        </w:trPr>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2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4"/>
              </w:rPr>
              <w:t>2002</w:t>
            </w:r>
          </w:p>
        </w:tc>
        <w:tc>
          <w:tcPr>
            <w:tcW w:w="2200" w:type="dxa"/>
            <w:vAlign w:val="bottom"/>
            <w:shd w:val="clear" w:color="auto" w:fill="EAF9E8"/>
          </w:tcPr>
          <w:p>
            <w:pPr>
              <w:jc w:val="center"/>
              <w:ind w:left="52"/>
              <w:spacing w:after="0"/>
              <w:rPr>
                <w:sz w:val="20"/>
                <w:szCs w:val="20"/>
                <w:color w:val="auto"/>
              </w:rPr>
            </w:pPr>
            <w:r>
              <w:rPr>
                <w:rFonts w:ascii="Arial" w:cs="Arial" w:eastAsia="Arial" w:hAnsi="Arial"/>
                <w:sz w:val="18"/>
                <w:szCs w:val="18"/>
                <w:color w:val="auto"/>
                <w:w w:val="89"/>
              </w:rPr>
              <w:t>62</w:t>
            </w:r>
          </w:p>
        </w:tc>
        <w:tc>
          <w:tcPr>
            <w:tcW w:w="25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79"/>
              </w:rPr>
              <w:t>0</w:t>
            </w:r>
          </w:p>
        </w:tc>
        <w:tc>
          <w:tcPr>
            <w:tcW w:w="2160" w:type="dxa"/>
            <w:vAlign w:val="bottom"/>
            <w:shd w:val="clear" w:color="auto" w:fill="EAF9E8"/>
          </w:tcPr>
          <w:p>
            <w:pPr>
              <w:jc w:val="center"/>
              <w:ind w:right="32"/>
              <w:spacing w:after="0"/>
              <w:rPr>
                <w:sz w:val="20"/>
                <w:szCs w:val="20"/>
                <w:color w:val="auto"/>
              </w:rPr>
            </w:pPr>
            <w:r>
              <w:rPr>
                <w:rFonts w:ascii="Arial" w:cs="Arial" w:eastAsia="Arial" w:hAnsi="Arial"/>
                <w:sz w:val="18"/>
                <w:szCs w:val="18"/>
                <w:color w:val="auto"/>
                <w:w w:val="91"/>
              </w:rPr>
              <w:t>2.73</w:t>
            </w:r>
          </w:p>
        </w:tc>
        <w:tc>
          <w:tcPr>
            <w:tcW w:w="22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18"/>
                <w:szCs w:val="18"/>
                <w:color w:val="auto"/>
              </w:rPr>
            </w:pP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2200" w:type="dxa"/>
            <w:vAlign w:val="bottom"/>
          </w:tcPr>
          <w:p>
            <w:pPr>
              <w:jc w:val="center"/>
              <w:ind w:left="52"/>
              <w:spacing w:after="0"/>
              <w:rPr>
                <w:sz w:val="20"/>
                <w:szCs w:val="20"/>
                <w:color w:val="auto"/>
              </w:rPr>
            </w:pPr>
            <w:r>
              <w:rPr>
                <w:rFonts w:ascii="Arial" w:cs="Arial" w:eastAsia="Arial" w:hAnsi="Arial"/>
                <w:sz w:val="18"/>
                <w:szCs w:val="18"/>
                <w:color w:val="auto"/>
                <w:w w:val="89"/>
              </w:rPr>
              <w:t>48</w:t>
            </w:r>
          </w:p>
        </w:tc>
        <w:tc>
          <w:tcPr>
            <w:tcW w:w="25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160" w:type="dxa"/>
            <w:vAlign w:val="bottom"/>
          </w:tcPr>
          <w:p>
            <w:pPr>
              <w:jc w:val="center"/>
              <w:ind w:right="32"/>
              <w:spacing w:after="0"/>
              <w:rPr>
                <w:sz w:val="20"/>
                <w:szCs w:val="20"/>
                <w:color w:val="auto"/>
              </w:rPr>
            </w:pPr>
            <w:r>
              <w:rPr>
                <w:rFonts w:ascii="Arial" w:cs="Arial" w:eastAsia="Arial" w:hAnsi="Arial"/>
                <w:sz w:val="18"/>
                <w:szCs w:val="18"/>
                <w:color w:val="auto"/>
                <w:w w:val="91"/>
              </w:rPr>
              <w:t>3.25</w:t>
            </w:r>
          </w:p>
        </w:tc>
        <w:tc>
          <w:tcPr>
            <w:tcW w:w="22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18"/>
                <w:szCs w:val="18"/>
                <w:color w:val="auto"/>
              </w:rPr>
            </w:pPr>
          </w:p>
        </w:tc>
      </w:tr>
      <w:tr>
        <w:trPr>
          <w:trHeight w:val="216"/>
        </w:trPr>
        <w:tc>
          <w:tcPr>
            <w:tcW w:w="2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4"/>
              </w:rPr>
              <w:t>2004</w:t>
            </w:r>
          </w:p>
        </w:tc>
        <w:tc>
          <w:tcPr>
            <w:tcW w:w="2200" w:type="dxa"/>
            <w:vAlign w:val="bottom"/>
            <w:shd w:val="clear" w:color="auto" w:fill="EAF9E8"/>
          </w:tcPr>
          <w:p>
            <w:pPr>
              <w:jc w:val="center"/>
              <w:ind w:left="52"/>
              <w:spacing w:after="0"/>
              <w:rPr>
                <w:sz w:val="20"/>
                <w:szCs w:val="20"/>
                <w:color w:val="auto"/>
              </w:rPr>
            </w:pPr>
            <w:r>
              <w:rPr>
                <w:rFonts w:ascii="Arial" w:cs="Arial" w:eastAsia="Arial" w:hAnsi="Arial"/>
                <w:sz w:val="18"/>
                <w:szCs w:val="18"/>
                <w:color w:val="auto"/>
                <w:w w:val="89"/>
              </w:rPr>
              <w:t>43</w:t>
            </w:r>
          </w:p>
        </w:tc>
        <w:tc>
          <w:tcPr>
            <w:tcW w:w="25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79"/>
              </w:rPr>
              <w:t>0</w:t>
            </w:r>
          </w:p>
        </w:tc>
        <w:tc>
          <w:tcPr>
            <w:tcW w:w="2160" w:type="dxa"/>
            <w:vAlign w:val="bottom"/>
            <w:shd w:val="clear" w:color="auto" w:fill="EAF9E8"/>
          </w:tcPr>
          <w:p>
            <w:pPr>
              <w:jc w:val="center"/>
              <w:ind w:right="32"/>
              <w:spacing w:after="0"/>
              <w:rPr>
                <w:sz w:val="20"/>
                <w:szCs w:val="20"/>
                <w:color w:val="auto"/>
              </w:rPr>
            </w:pPr>
            <w:r>
              <w:rPr>
                <w:rFonts w:ascii="Arial" w:cs="Arial" w:eastAsia="Arial" w:hAnsi="Arial"/>
                <w:sz w:val="18"/>
                <w:szCs w:val="18"/>
                <w:color w:val="auto"/>
                <w:w w:val="91"/>
              </w:rPr>
              <w:t>3.61</w:t>
            </w:r>
          </w:p>
        </w:tc>
        <w:tc>
          <w:tcPr>
            <w:tcW w:w="22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18"/>
                <w:szCs w:val="18"/>
                <w:color w:val="auto"/>
              </w:rPr>
            </w:pP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4"/>
              </w:rPr>
              <w:t>2005</w:t>
            </w:r>
          </w:p>
        </w:tc>
        <w:tc>
          <w:tcPr>
            <w:tcW w:w="2200" w:type="dxa"/>
            <w:vAlign w:val="bottom"/>
          </w:tcPr>
          <w:p>
            <w:pPr>
              <w:jc w:val="center"/>
              <w:ind w:left="52"/>
              <w:spacing w:after="0"/>
              <w:rPr>
                <w:sz w:val="20"/>
                <w:szCs w:val="20"/>
                <w:color w:val="auto"/>
              </w:rPr>
            </w:pPr>
            <w:r>
              <w:rPr>
                <w:rFonts w:ascii="Arial" w:cs="Arial" w:eastAsia="Arial" w:hAnsi="Arial"/>
                <w:sz w:val="18"/>
                <w:szCs w:val="18"/>
                <w:color w:val="auto"/>
                <w:w w:val="89"/>
              </w:rPr>
              <w:t>36</w:t>
            </w:r>
          </w:p>
        </w:tc>
        <w:tc>
          <w:tcPr>
            <w:tcW w:w="25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160" w:type="dxa"/>
            <w:vAlign w:val="bottom"/>
          </w:tcPr>
          <w:p>
            <w:pPr>
              <w:jc w:val="center"/>
              <w:ind w:right="32"/>
              <w:spacing w:after="0"/>
              <w:rPr>
                <w:sz w:val="20"/>
                <w:szCs w:val="20"/>
                <w:color w:val="auto"/>
              </w:rPr>
            </w:pPr>
            <w:r>
              <w:rPr>
                <w:rFonts w:ascii="Arial" w:cs="Arial" w:eastAsia="Arial" w:hAnsi="Arial"/>
                <w:sz w:val="18"/>
                <w:szCs w:val="18"/>
                <w:color w:val="auto"/>
                <w:w w:val="91"/>
              </w:rPr>
              <w:t>4.35</w:t>
            </w:r>
          </w:p>
        </w:tc>
        <w:tc>
          <w:tcPr>
            <w:tcW w:w="22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18"/>
                <w:szCs w:val="18"/>
                <w:color w:val="auto"/>
              </w:rPr>
            </w:pPr>
          </w:p>
        </w:tc>
      </w:tr>
      <w:tr>
        <w:trPr>
          <w:trHeight w:val="216"/>
        </w:trPr>
        <w:tc>
          <w:tcPr>
            <w:tcW w:w="2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4"/>
              </w:rPr>
              <w:t>2006</w:t>
            </w:r>
          </w:p>
        </w:tc>
        <w:tc>
          <w:tcPr>
            <w:tcW w:w="2200" w:type="dxa"/>
            <w:vAlign w:val="bottom"/>
            <w:shd w:val="clear" w:color="auto" w:fill="EAF9E8"/>
          </w:tcPr>
          <w:p>
            <w:pPr>
              <w:jc w:val="center"/>
              <w:ind w:left="52"/>
              <w:spacing w:after="0"/>
              <w:rPr>
                <w:sz w:val="20"/>
                <w:szCs w:val="20"/>
                <w:color w:val="auto"/>
              </w:rPr>
            </w:pPr>
            <w:r>
              <w:rPr>
                <w:rFonts w:ascii="Arial" w:cs="Arial" w:eastAsia="Arial" w:hAnsi="Arial"/>
                <w:sz w:val="18"/>
                <w:szCs w:val="18"/>
                <w:color w:val="auto"/>
                <w:w w:val="89"/>
              </w:rPr>
              <w:t>33</w:t>
            </w:r>
          </w:p>
        </w:tc>
        <w:tc>
          <w:tcPr>
            <w:tcW w:w="25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79"/>
              </w:rPr>
              <w:t>0</w:t>
            </w:r>
          </w:p>
        </w:tc>
        <w:tc>
          <w:tcPr>
            <w:tcW w:w="2160" w:type="dxa"/>
            <w:vAlign w:val="bottom"/>
            <w:shd w:val="clear" w:color="auto" w:fill="EAF9E8"/>
          </w:tcPr>
          <w:p>
            <w:pPr>
              <w:jc w:val="center"/>
              <w:ind w:right="32"/>
              <w:spacing w:after="0"/>
              <w:rPr>
                <w:sz w:val="20"/>
                <w:szCs w:val="20"/>
                <w:color w:val="auto"/>
              </w:rPr>
            </w:pPr>
            <w:r>
              <w:rPr>
                <w:rFonts w:ascii="Arial" w:cs="Arial" w:eastAsia="Arial" w:hAnsi="Arial"/>
                <w:sz w:val="18"/>
                <w:szCs w:val="18"/>
                <w:color w:val="auto"/>
                <w:w w:val="91"/>
              </w:rPr>
              <w:t>4.78</w:t>
            </w:r>
          </w:p>
        </w:tc>
        <w:tc>
          <w:tcPr>
            <w:tcW w:w="22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18"/>
                <w:szCs w:val="18"/>
                <w:color w:val="auto"/>
              </w:rPr>
            </w:pPr>
          </w:p>
        </w:tc>
      </w:tr>
    </w:tbl>
    <w:p>
      <w:pPr>
        <w:spacing w:after="0" w:line="248" w:lineRule="exact"/>
        <w:rPr>
          <w:sz w:val="20"/>
          <w:szCs w:val="20"/>
          <w:color w:val="auto"/>
        </w:rPr>
      </w:pPr>
    </w:p>
    <w:p>
      <w:pPr>
        <w:ind w:left="580" w:right="320"/>
        <w:spacing w:after="0" w:line="268" w:lineRule="auto"/>
        <w:rPr>
          <w:sz w:val="20"/>
          <w:szCs w:val="20"/>
          <w:color w:val="auto"/>
        </w:rPr>
      </w:pPr>
      <w:r>
        <w:rPr>
          <w:rFonts w:ascii="Arial" w:cs="Arial" w:eastAsia="Arial" w:hAnsi="Arial"/>
          <w:sz w:val="18"/>
          <w:szCs w:val="18"/>
          <w:color w:val="auto"/>
        </w:rPr>
        <w:t>There can be no assurance that the value realized upon exercise will equal the grant date fair value determined using the Black-Scholes option-pricing model. No value will be realized if the options are never exercised.</w:t>
      </w:r>
    </w:p>
    <w:p>
      <w:pPr>
        <w:spacing w:after="0" w:line="145" w:lineRule="exact"/>
        <w:rPr>
          <w:sz w:val="20"/>
          <w:szCs w:val="20"/>
          <w:color w:val="auto"/>
        </w:rPr>
      </w:pPr>
    </w:p>
    <w:p>
      <w:pPr>
        <w:ind w:left="580" w:right="100" w:hanging="572"/>
        <w:spacing w:after="0" w:line="222" w:lineRule="auto"/>
        <w:tabs>
          <w:tab w:leader="none" w:pos="580" w:val="left"/>
        </w:tabs>
        <w:numPr>
          <w:ilvl w:val="0"/>
          <w:numId w:val="22"/>
        </w:numPr>
        <w:rPr>
          <w:rFonts w:ascii="Arial" w:cs="Arial" w:eastAsia="Arial" w:hAnsi="Arial"/>
          <w:sz w:val="34"/>
          <w:szCs w:val="34"/>
          <w:color w:val="auto"/>
          <w:vertAlign w:val="superscript"/>
        </w:rPr>
      </w:pPr>
      <w:r>
        <w:rPr>
          <w:rFonts w:ascii="Arial" w:cs="Arial" w:eastAsia="Arial" w:hAnsi="Arial"/>
          <w:sz w:val="17"/>
          <w:szCs w:val="17"/>
          <w:color w:val="auto"/>
        </w:rPr>
        <w:t>Consists of the cash portion of incentive compensation bonus awarded pursuant to our 1998 Annual Incentive Plan in the first quarter of the year following the year in which services are rendered. In recent years prior to 2007, awards under the Annual Incentive Plan were paid 50% in cash and 50% in equity. The full amount of the cash portion of the award is recognized as expense in the performance year. For 2007, awards under the Annual Incentive Plan were paid entirely in cash in contemplation of the proposed going private transaction. As a result, non-equity compensation for 2007 was considerably higher even though the total value of the compensation was lower than in 2006.</w:t>
      </w:r>
    </w:p>
    <w:p>
      <w:pPr>
        <w:spacing w:after="0" w:line="238" w:lineRule="exact"/>
        <w:rPr>
          <w:rFonts w:ascii="Arial" w:cs="Arial" w:eastAsia="Arial" w:hAnsi="Arial"/>
          <w:sz w:val="34"/>
          <w:szCs w:val="34"/>
          <w:color w:val="auto"/>
          <w:vertAlign w:val="superscript"/>
        </w:rPr>
      </w:pPr>
    </w:p>
    <w:p>
      <w:pPr>
        <w:ind w:left="580" w:right="240" w:hanging="572"/>
        <w:spacing w:after="0" w:line="183" w:lineRule="auto"/>
        <w:tabs>
          <w:tab w:leader="none" w:pos="580" w:val="left"/>
        </w:tabs>
        <w:numPr>
          <w:ilvl w:val="0"/>
          <w:numId w:val="22"/>
        </w:numPr>
        <w:rPr>
          <w:rFonts w:ascii="Arial" w:cs="Arial" w:eastAsia="Arial" w:hAnsi="Arial"/>
          <w:sz w:val="33"/>
          <w:szCs w:val="33"/>
          <w:color w:val="auto"/>
          <w:vertAlign w:val="superscript"/>
        </w:rPr>
      </w:pPr>
      <w:r>
        <w:rPr>
          <w:rFonts w:ascii="Arial" w:cs="Arial" w:eastAsia="Arial" w:hAnsi="Arial"/>
          <w:sz w:val="17"/>
          <w:szCs w:val="17"/>
          <w:color w:val="auto"/>
        </w:rPr>
        <w:t>Consists of contributions by Ocwen pursuant to Ocwen’s 401(k) Savings Plan for each executive officer, salary adjustments and relocation expenses as detailed below.</w:t>
      </w:r>
    </w:p>
    <w:p>
      <w:pPr>
        <w:spacing w:after="0" w:line="169" w:lineRule="exact"/>
        <w:rPr>
          <w:rFonts w:ascii="Arial" w:cs="Arial" w:eastAsia="Arial" w:hAnsi="Arial"/>
          <w:sz w:val="33"/>
          <w:szCs w:val="33"/>
          <w:color w:val="auto"/>
          <w:vertAlign w:val="superscript"/>
        </w:rPr>
      </w:pPr>
    </w:p>
    <w:p>
      <w:pPr>
        <w:ind w:left="580" w:right="740" w:hanging="572"/>
        <w:spacing w:after="0" w:line="190" w:lineRule="auto"/>
        <w:tabs>
          <w:tab w:leader="none" w:pos="580" w:val="left"/>
        </w:tabs>
        <w:numPr>
          <w:ilvl w:val="0"/>
          <w:numId w:val="22"/>
        </w:numPr>
        <w:rPr>
          <w:rFonts w:ascii="Arial" w:cs="Arial" w:eastAsia="Arial" w:hAnsi="Arial"/>
          <w:sz w:val="32"/>
          <w:szCs w:val="32"/>
          <w:color w:val="auto"/>
          <w:vertAlign w:val="superscript"/>
        </w:rPr>
      </w:pPr>
      <w:r>
        <w:rPr>
          <w:rFonts w:ascii="Arial" w:cs="Arial" w:eastAsia="Arial" w:hAnsi="Arial"/>
          <w:sz w:val="16"/>
          <w:szCs w:val="16"/>
          <w:color w:val="auto"/>
        </w:rPr>
        <w:t>Because Mr. Erbey is currently eligible for retirement, the full grant date fair value of his stock option award for the 2006 performance year was recognized on the date of grant in 2007. The accelerated portion of this award that we recognized as expense in 2007 was $385,523.</w:t>
      </w:r>
    </w:p>
    <w:p>
      <w:pPr>
        <w:spacing w:after="0" w:line="1" w:lineRule="exact"/>
        <w:rPr>
          <w:rFonts w:ascii="Arial" w:cs="Arial" w:eastAsia="Arial" w:hAnsi="Arial"/>
          <w:sz w:val="32"/>
          <w:szCs w:val="32"/>
          <w:color w:val="auto"/>
          <w:vertAlign w:val="superscript"/>
        </w:rPr>
      </w:pPr>
    </w:p>
    <w:p>
      <w:pPr>
        <w:ind w:left="580" w:hanging="572"/>
        <w:spacing w:after="0" w:line="233" w:lineRule="auto"/>
        <w:tabs>
          <w:tab w:leader="none" w:pos="580" w:val="left"/>
        </w:tabs>
        <w:numPr>
          <w:ilvl w:val="0"/>
          <w:numId w:val="22"/>
        </w:numPr>
        <w:rPr>
          <w:rFonts w:ascii="Arial" w:cs="Arial" w:eastAsia="Arial" w:hAnsi="Arial"/>
          <w:sz w:val="35"/>
          <w:szCs w:val="35"/>
          <w:color w:val="auto"/>
          <w:vertAlign w:val="superscript"/>
        </w:rPr>
      </w:pPr>
      <w:r>
        <w:rPr>
          <w:rFonts w:ascii="Arial" w:cs="Arial" w:eastAsia="Arial" w:hAnsi="Arial"/>
          <w:sz w:val="18"/>
          <w:szCs w:val="18"/>
          <w:color w:val="auto"/>
        </w:rPr>
        <w:t>Includes $37,511 in relocation expenses.</w:t>
      </w:r>
    </w:p>
    <w:p>
      <w:pPr>
        <w:spacing w:after="0" w:line="181" w:lineRule="exact"/>
        <w:rPr>
          <w:rFonts w:ascii="Arial" w:cs="Arial" w:eastAsia="Arial" w:hAnsi="Arial"/>
          <w:sz w:val="35"/>
          <w:szCs w:val="35"/>
          <w:color w:val="auto"/>
          <w:vertAlign w:val="superscript"/>
        </w:rPr>
      </w:pPr>
    </w:p>
    <w:p>
      <w:pPr>
        <w:ind w:left="580" w:hanging="572"/>
        <w:spacing w:after="0" w:line="183"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While Mr. Koches served as General Counsel of the company since 2002, he did not become an employee of the company until January 1, 2007.</w:t>
      </w:r>
    </w:p>
    <w:p>
      <w:pPr>
        <w:spacing w:after="0" w:line="181"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Includes $76,288 in relocation expenses.</w:t>
      </w:r>
    </w:p>
    <w:p>
      <w:pPr>
        <w:spacing w:after="0" w:line="181"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The amount of expense reported for Mr. Linn in 2007 reflects the accelerated vesting of his unvested stock options as a result of his retirement in 2007.</w:t>
      </w:r>
    </w:p>
    <w:p>
      <w:pPr>
        <w:spacing w:after="0" w:line="181"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Includes $14,994 in relocation expenses.</w:t>
      </w:r>
    </w:p>
    <w:p>
      <w:pPr>
        <w:spacing w:after="0" w:line="181"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Includes $29,625 in relocation expenses.</w:t>
      </w:r>
    </w:p>
    <w:p>
      <w:pPr>
        <w:spacing w:after="0" w:line="210"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We have no employment agreements with our named executive officers. For more information about the elements of the compensation paid to our named executive officers, see Compensation Discussion and Analysis above.</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72"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Grants of Plan Based Awards for 2007</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provides information related to non-equity incentive compensation pursuant to our 1998 Annual Incentive Plan for services rendered in fiscal year 2007 by the individuals named in the Summary Compensation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ind w:left="512"/>
              <w:spacing w:after="0"/>
              <w:rPr>
                <w:sz w:val="20"/>
                <w:szCs w:val="20"/>
                <w:color w:val="auto"/>
              </w:rPr>
            </w:pPr>
            <w:r>
              <w:rPr>
                <w:rFonts w:ascii="Arial" w:cs="Arial" w:eastAsia="Arial" w:hAnsi="Arial"/>
                <w:sz w:val="14"/>
                <w:szCs w:val="14"/>
                <w:b w:val="1"/>
                <w:bCs w:val="1"/>
                <w:color w:val="auto"/>
                <w:w w:val="86"/>
              </w:rPr>
              <w:t>Estimated Future Payouts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0"/>
              </w:rPr>
              <w:t>Under Non-Equity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80" w:type="dxa"/>
            <w:vAlign w:val="bottom"/>
            <w:gridSpan w:val="3"/>
          </w:tcPr>
          <w:p>
            <w:pPr>
              <w:ind w:left="460"/>
              <w:spacing w:after="0" w:line="144" w:lineRule="exact"/>
              <w:rPr>
                <w:sz w:val="20"/>
                <w:szCs w:val="20"/>
                <w:color w:val="auto"/>
              </w:rPr>
            </w:pPr>
            <w:r>
              <w:rPr>
                <w:rFonts w:ascii="Arial" w:cs="Arial" w:eastAsia="Arial" w:hAnsi="Arial"/>
                <w:sz w:val="14"/>
                <w:szCs w:val="14"/>
                <w:b w:val="1"/>
                <w:bCs w:val="1"/>
                <w:color w:val="auto"/>
              </w:rPr>
              <w:t>Estimated Future Payouts Under</w:t>
            </w: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4"/>
          </w:tcPr>
          <w:p>
            <w:pPr>
              <w:jc w:val="center"/>
              <w:ind w:left="552"/>
              <w:spacing w:after="0" w:line="220" w:lineRule="exact"/>
              <w:rPr>
                <w:sz w:val="20"/>
                <w:szCs w:val="20"/>
                <w:color w:val="auto"/>
              </w:rPr>
            </w:pPr>
            <w:r>
              <w:rPr>
                <w:rFonts w:ascii="Arial" w:cs="Arial" w:eastAsia="Arial" w:hAnsi="Arial"/>
                <w:sz w:val="14"/>
                <w:szCs w:val="14"/>
                <w:b w:val="1"/>
                <w:bCs w:val="1"/>
                <w:color w:val="auto"/>
                <w:w w:val="85"/>
              </w:rPr>
              <w:t xml:space="preserve">Incentive Plan Awards </w:t>
            </w:r>
            <w:r>
              <w:rPr>
                <w:rFonts w:ascii="Arial" w:cs="Arial" w:eastAsia="Arial" w:hAnsi="Arial"/>
                <w:sz w:val="22"/>
                <w:szCs w:val="22"/>
                <w:b w:val="1"/>
                <w:bCs w:val="1"/>
                <w:color w:val="auto"/>
                <w:w w:val="85"/>
                <w:vertAlign w:val="superscript"/>
              </w:rPr>
              <w:t>(1)</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3"/>
          </w:tcPr>
          <w:p>
            <w:pPr>
              <w:ind w:left="480"/>
              <w:spacing w:after="0" w:line="220" w:lineRule="exact"/>
              <w:rPr>
                <w:sz w:val="20"/>
                <w:szCs w:val="20"/>
                <w:color w:val="auto"/>
              </w:rPr>
            </w:pPr>
            <w:r>
              <w:rPr>
                <w:rFonts w:ascii="Arial" w:cs="Arial" w:eastAsia="Arial" w:hAnsi="Arial"/>
                <w:sz w:val="14"/>
                <w:szCs w:val="14"/>
                <w:b w:val="1"/>
                <w:bCs w:val="1"/>
                <w:color w:val="auto"/>
              </w:rPr>
              <w:t xml:space="preserve">Equity Incentive Plan Awards </w:t>
            </w:r>
            <w:r>
              <w:rPr>
                <w:rFonts w:ascii="Arial" w:cs="Arial" w:eastAsia="Arial" w:hAnsi="Arial"/>
                <w:sz w:val="22"/>
                <w:szCs w:val="22"/>
                <w:b w:val="1"/>
                <w:bCs w:val="1"/>
                <w:color w:val="auto"/>
                <w:vertAlign w:val="superscript"/>
              </w:rPr>
              <w:t>(2)</w:t>
            </w:r>
          </w:p>
        </w:tc>
        <w:tc>
          <w:tcPr>
            <w:tcW w:w="1500" w:type="dxa"/>
            <w:vAlign w:val="bottom"/>
          </w:tcPr>
          <w:p>
            <w:pPr>
              <w:jc w:val="center"/>
              <w:ind w:left="52"/>
              <w:spacing w:after="0"/>
              <w:rPr>
                <w:sz w:val="20"/>
                <w:szCs w:val="20"/>
                <w:color w:val="auto"/>
              </w:rPr>
            </w:pPr>
            <w:r>
              <w:rPr>
                <w:rFonts w:ascii="Arial" w:cs="Arial" w:eastAsia="Arial" w:hAnsi="Arial"/>
                <w:sz w:val="14"/>
                <w:szCs w:val="14"/>
                <w:b w:val="1"/>
                <w:bCs w:val="1"/>
                <w:color w:val="auto"/>
                <w:w w:val="83"/>
              </w:rPr>
              <w:t>Exercise or Base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 Fair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50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w w:val="89"/>
              </w:rPr>
              <w:t>Price of Option</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Value of Stock and</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b w:val="1"/>
                <w:bCs w:val="1"/>
                <w:color w:val="auto"/>
                <w:w w:val="85"/>
              </w:rPr>
              <w:t>Threshold</w:t>
            </w:r>
          </w:p>
        </w:tc>
        <w:tc>
          <w:tcPr>
            <w:tcW w:w="320" w:type="dxa"/>
            <w:vAlign w:val="bottom"/>
          </w:tcPr>
          <w:p>
            <w:pPr>
              <w:spacing w:after="0"/>
              <w:rPr>
                <w:sz w:val="24"/>
                <w:szCs w:val="24"/>
                <w:color w:val="auto"/>
              </w:rPr>
            </w:pPr>
          </w:p>
        </w:tc>
        <w:tc>
          <w:tcPr>
            <w:tcW w:w="8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Target</w:t>
            </w:r>
          </w:p>
        </w:tc>
        <w:tc>
          <w:tcPr>
            <w:tcW w:w="1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Threshold</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Target</w:t>
            </w:r>
          </w:p>
        </w:tc>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Maximum</w:t>
            </w:r>
          </w:p>
        </w:tc>
        <w:tc>
          <w:tcPr>
            <w:tcW w:w="1500" w:type="dxa"/>
            <w:vAlign w:val="bottom"/>
          </w:tcPr>
          <w:p>
            <w:pPr>
              <w:jc w:val="center"/>
              <w:ind w:left="52"/>
              <w:spacing w:after="0"/>
              <w:rPr>
                <w:sz w:val="20"/>
                <w:szCs w:val="20"/>
                <w:color w:val="auto"/>
              </w:rPr>
            </w:pPr>
            <w:r>
              <w:rPr>
                <w:rFonts w:ascii="Arial" w:cs="Arial" w:eastAsia="Arial" w:hAnsi="Arial"/>
                <w:sz w:val="14"/>
                <w:szCs w:val="14"/>
                <w:b w:val="1"/>
                <w:bCs w:val="1"/>
                <w:color w:val="auto"/>
                <w:w w:val="85"/>
              </w:rPr>
              <w:t xml:space="preserve">Awards </w:t>
            </w:r>
            <w:r>
              <w:rPr>
                <w:rFonts w:ascii="Arial" w:cs="Arial" w:eastAsia="Arial" w:hAnsi="Arial"/>
                <w:sz w:val="22"/>
                <w:szCs w:val="22"/>
                <w:b w:val="1"/>
                <w:bCs w:val="1"/>
                <w:color w:val="auto"/>
                <w:w w:val="85"/>
                <w:vertAlign w:val="superscript"/>
              </w:rPr>
              <w:t>(2)</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 xml:space="preserve">Option Awards </w:t>
            </w:r>
            <w:r>
              <w:rPr>
                <w:rFonts w:ascii="Arial" w:cs="Arial" w:eastAsia="Arial" w:hAnsi="Arial"/>
                <w:sz w:val="22"/>
                <w:szCs w:val="22"/>
                <w:b w:val="1"/>
                <w:bCs w:val="1"/>
                <w:color w:val="auto"/>
                <w:w w:val="87"/>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William C. Erbey</w:t>
            </w:r>
          </w:p>
        </w:tc>
        <w:tc>
          <w:tcPr>
            <w:tcW w:w="860" w:type="dxa"/>
            <w:vAlign w:val="bottom"/>
            <w:shd w:val="clear" w:color="auto" w:fill="EAF9E8"/>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439,354</w:t>
            </w:r>
          </w:p>
        </w:tc>
        <w:tc>
          <w:tcPr>
            <w:tcW w:w="3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92"/>
              <w:spacing w:after="0" w:line="149" w:lineRule="exact"/>
              <w:rPr>
                <w:sz w:val="20"/>
                <w:szCs w:val="20"/>
                <w:color w:val="auto"/>
              </w:rPr>
            </w:pPr>
            <w:r>
              <w:rPr>
                <w:rFonts w:ascii="Arial" w:cs="Arial" w:eastAsia="Arial" w:hAnsi="Arial"/>
                <w:sz w:val="14"/>
                <w:szCs w:val="14"/>
                <w:color w:val="auto"/>
              </w:rPr>
              <w:t>878,708</w:t>
            </w:r>
          </w:p>
        </w:tc>
        <w:tc>
          <w:tcPr>
            <w:tcW w:w="1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1,318,063</w:t>
            </w:r>
          </w:p>
        </w:tc>
        <w:tc>
          <w:tcPr>
            <w:tcW w:w="200" w:type="dxa"/>
            <w:vAlign w:val="bottom"/>
            <w:shd w:val="clear" w:color="auto" w:fill="EAF9E8"/>
          </w:tcPr>
          <w:p>
            <w:pPr>
              <w:spacing w:after="0"/>
              <w:rPr>
                <w:sz w:val="12"/>
                <w:szCs w:val="12"/>
                <w:color w:val="auto"/>
              </w:rPr>
            </w:pPr>
          </w:p>
        </w:tc>
        <w:tc>
          <w:tcPr>
            <w:tcW w:w="980" w:type="dxa"/>
            <w:vAlign w:val="bottom"/>
            <w:shd w:val="clear" w:color="auto" w:fill="EAF9E8"/>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EAF9E8"/>
          </w:tcPr>
          <w:p>
            <w:pPr>
              <w:ind w:left="80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EAF9E8"/>
          </w:tcPr>
          <w:p>
            <w:pPr>
              <w:ind w:left="7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Ronald M. Faris</w:t>
            </w: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410,351</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820,702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1,231,054</w:t>
            </w:r>
          </w:p>
        </w:tc>
        <w:tc>
          <w:tcPr>
            <w:tcW w:w="200" w:type="dxa"/>
            <w:vAlign w:val="bottom"/>
          </w:tcPr>
          <w:p>
            <w:pPr>
              <w:spacing w:after="0"/>
              <w:rPr>
                <w:sz w:val="12"/>
                <w:szCs w:val="12"/>
                <w:color w:val="auto"/>
              </w:rPr>
            </w:pPr>
          </w:p>
        </w:tc>
        <w:tc>
          <w:tcPr>
            <w:tcW w:w="9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ind w:left="7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David J. Gunter</w:t>
            </w:r>
          </w:p>
        </w:tc>
        <w:tc>
          <w:tcPr>
            <w:tcW w:w="860" w:type="dxa"/>
            <w:vAlign w:val="bottom"/>
            <w:shd w:val="clear" w:color="auto" w:fill="EAF9E8"/>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102,890</w:t>
            </w:r>
          </w:p>
        </w:tc>
        <w:tc>
          <w:tcPr>
            <w:tcW w:w="3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92"/>
              <w:spacing w:after="0" w:line="149" w:lineRule="exact"/>
              <w:rPr>
                <w:sz w:val="20"/>
                <w:szCs w:val="20"/>
                <w:color w:val="auto"/>
              </w:rPr>
            </w:pPr>
            <w:r>
              <w:rPr>
                <w:rFonts w:ascii="Arial" w:cs="Arial" w:eastAsia="Arial" w:hAnsi="Arial"/>
                <w:sz w:val="14"/>
                <w:szCs w:val="14"/>
                <w:color w:val="auto"/>
              </w:rPr>
              <w:t>205,781</w:t>
            </w:r>
          </w:p>
        </w:tc>
        <w:tc>
          <w:tcPr>
            <w:tcW w:w="1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308,671</w:t>
            </w:r>
          </w:p>
        </w:tc>
        <w:tc>
          <w:tcPr>
            <w:tcW w:w="200" w:type="dxa"/>
            <w:vAlign w:val="bottom"/>
            <w:shd w:val="clear" w:color="auto" w:fill="EAF9E8"/>
          </w:tcPr>
          <w:p>
            <w:pPr>
              <w:spacing w:after="0"/>
              <w:rPr>
                <w:sz w:val="12"/>
                <w:szCs w:val="12"/>
                <w:color w:val="auto"/>
              </w:rPr>
            </w:pPr>
          </w:p>
        </w:tc>
        <w:tc>
          <w:tcPr>
            <w:tcW w:w="980" w:type="dxa"/>
            <w:vAlign w:val="bottom"/>
            <w:shd w:val="clear" w:color="auto" w:fill="EAF9E8"/>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EAF9E8"/>
          </w:tcPr>
          <w:p>
            <w:pPr>
              <w:ind w:left="800"/>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EAF9E8"/>
          </w:tcPr>
          <w:p>
            <w:pPr>
              <w:ind w:left="7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Paul A. Koches</w:t>
            </w: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122,727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245,455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368,182</w:t>
            </w:r>
          </w:p>
        </w:tc>
        <w:tc>
          <w:tcPr>
            <w:tcW w:w="200" w:type="dxa"/>
            <w:vAlign w:val="bottom"/>
          </w:tcPr>
          <w:p>
            <w:pPr>
              <w:spacing w:after="0"/>
              <w:rPr>
                <w:sz w:val="12"/>
                <w:szCs w:val="12"/>
                <w:color w:val="auto"/>
              </w:rPr>
            </w:pPr>
          </w:p>
        </w:tc>
        <w:tc>
          <w:tcPr>
            <w:tcW w:w="98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ind w:left="800"/>
              <w:spacing w:after="0" w:line="149" w:lineRule="exact"/>
              <w:rPr>
                <w:sz w:val="20"/>
                <w:szCs w:val="20"/>
                <w:color w:val="auto"/>
              </w:rPr>
            </w:pPr>
            <w:r>
              <w:rPr>
                <w:rFonts w:ascii="Arial" w:cs="Arial" w:eastAsia="Arial" w:hAnsi="Arial"/>
                <w:sz w:val="14"/>
                <w:szCs w:val="14"/>
                <w:color w:val="auto"/>
              </w:rPr>
              <w:t>—</w:t>
            </w:r>
          </w:p>
        </w:tc>
        <w:tc>
          <w:tcPr>
            <w:tcW w:w="1500" w:type="dxa"/>
            <w:vAlign w:val="bottom"/>
          </w:tcPr>
          <w:p>
            <w:pPr>
              <w:ind w:left="7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shd w:val="clear" w:color="auto" w:fill="EAF9E8"/>
          </w:tcPr>
          <w:p>
            <w:pPr>
              <w:spacing w:after="0" w:line="176" w:lineRule="exact"/>
              <w:rPr>
                <w:sz w:val="20"/>
                <w:szCs w:val="20"/>
                <w:color w:val="auto"/>
              </w:rPr>
            </w:pPr>
            <w:r>
              <w:rPr>
                <w:rFonts w:ascii="Arial" w:cs="Arial" w:eastAsia="Arial" w:hAnsi="Arial"/>
                <w:sz w:val="13"/>
                <w:szCs w:val="13"/>
                <w:color w:val="auto"/>
              </w:rPr>
              <w:t xml:space="preserve">W. Michael Linn </w:t>
            </w:r>
            <w:r>
              <w:rPr>
                <w:rFonts w:ascii="Arial" w:cs="Arial" w:eastAsia="Arial" w:hAnsi="Arial"/>
                <w:sz w:val="20"/>
                <w:szCs w:val="20"/>
                <w:color w:val="auto"/>
                <w:vertAlign w:val="superscript"/>
              </w:rPr>
              <w:t>(3)</w:t>
            </w:r>
          </w:p>
        </w:tc>
        <w:tc>
          <w:tcPr>
            <w:tcW w:w="860" w:type="dxa"/>
            <w:vAlign w:val="bottom"/>
            <w:shd w:val="clear" w:color="auto" w:fill="EAF9E8"/>
          </w:tcPr>
          <w:p>
            <w:pPr>
              <w:jc w:val="right"/>
              <w:ind w:right="152"/>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15"/>
                <w:szCs w:val="15"/>
                <w:color w:val="auto"/>
              </w:rPr>
            </w:pPr>
          </w:p>
        </w:tc>
        <w:tc>
          <w:tcPr>
            <w:tcW w:w="840" w:type="dxa"/>
            <w:vAlign w:val="bottom"/>
            <w:shd w:val="clear" w:color="auto" w:fill="EAF9E8"/>
          </w:tcPr>
          <w:p>
            <w:pPr>
              <w:jc w:val="right"/>
              <w:ind w:right="92"/>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5"/>
                <w:szCs w:val="15"/>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5"/>
                <w:szCs w:val="15"/>
                <w:color w:val="auto"/>
              </w:rPr>
            </w:pPr>
          </w:p>
        </w:tc>
        <w:tc>
          <w:tcPr>
            <w:tcW w:w="980" w:type="dxa"/>
            <w:vAlign w:val="bottom"/>
            <w:shd w:val="clear" w:color="auto" w:fill="EAF9E8"/>
          </w:tcPr>
          <w:p>
            <w:pPr>
              <w:ind w:left="400"/>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ind w:left="460"/>
              <w:spacing w:after="0"/>
              <w:rPr>
                <w:sz w:val="20"/>
                <w:szCs w:val="20"/>
                <w:color w:val="auto"/>
              </w:rPr>
            </w:pPr>
            <w:r>
              <w:rPr>
                <w:rFonts w:ascii="Arial" w:cs="Arial" w:eastAsia="Arial" w:hAnsi="Arial"/>
                <w:sz w:val="14"/>
                <w:szCs w:val="14"/>
                <w:color w:val="auto"/>
              </w:rPr>
              <w:t>—</w:t>
            </w:r>
          </w:p>
        </w:tc>
        <w:tc>
          <w:tcPr>
            <w:tcW w:w="980" w:type="dxa"/>
            <w:vAlign w:val="bottom"/>
            <w:shd w:val="clear" w:color="auto" w:fill="EAF9E8"/>
          </w:tcPr>
          <w:p>
            <w:pPr>
              <w:ind w:left="540"/>
              <w:spacing w:after="0"/>
              <w:rPr>
                <w:sz w:val="20"/>
                <w:szCs w:val="20"/>
                <w:color w:val="auto"/>
              </w:rPr>
            </w:pPr>
            <w:r>
              <w:rPr>
                <w:rFonts w:ascii="Arial" w:cs="Arial" w:eastAsia="Arial" w:hAnsi="Arial"/>
                <w:sz w:val="14"/>
                <w:szCs w:val="14"/>
                <w:color w:val="auto"/>
              </w:rPr>
              <w:t>—</w:t>
            </w:r>
          </w:p>
        </w:tc>
        <w:tc>
          <w:tcPr>
            <w:tcW w:w="1500" w:type="dxa"/>
            <w:vAlign w:val="bottom"/>
            <w:shd w:val="clear" w:color="auto" w:fill="EAF9E8"/>
          </w:tcPr>
          <w:p>
            <w:pPr>
              <w:ind w:left="800"/>
              <w:spacing w:after="0"/>
              <w:rPr>
                <w:sz w:val="20"/>
                <w:szCs w:val="20"/>
                <w:color w:val="auto"/>
              </w:rPr>
            </w:pPr>
            <w:r>
              <w:rPr>
                <w:rFonts w:ascii="Arial" w:cs="Arial" w:eastAsia="Arial" w:hAnsi="Arial"/>
                <w:sz w:val="14"/>
                <w:szCs w:val="14"/>
                <w:color w:val="auto"/>
              </w:rPr>
              <w:t>—</w:t>
            </w:r>
          </w:p>
        </w:tc>
        <w:tc>
          <w:tcPr>
            <w:tcW w:w="1500" w:type="dxa"/>
            <w:vAlign w:val="bottom"/>
            <w:shd w:val="clear" w:color="auto" w:fill="EAF9E8"/>
          </w:tcPr>
          <w:p>
            <w:pPr>
              <w:ind w:left="7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William B. Shepro</w:t>
            </w: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174,425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348,850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523,275</w:t>
            </w:r>
          </w:p>
        </w:tc>
        <w:tc>
          <w:tcPr>
            <w:tcW w:w="200" w:type="dxa"/>
            <w:vAlign w:val="bottom"/>
          </w:tcPr>
          <w:p>
            <w:pPr>
              <w:spacing w:after="0"/>
              <w:rPr>
                <w:sz w:val="14"/>
                <w:szCs w:val="14"/>
                <w:color w:val="auto"/>
              </w:rPr>
            </w:pPr>
          </w:p>
        </w:tc>
        <w:tc>
          <w:tcPr>
            <w:tcW w:w="980" w:type="dxa"/>
            <w:vAlign w:val="bottom"/>
          </w:tcPr>
          <w:p>
            <w:pPr>
              <w:ind w:left="400"/>
              <w:spacing w:after="0"/>
              <w:rPr>
                <w:sz w:val="20"/>
                <w:szCs w:val="20"/>
                <w:color w:val="auto"/>
              </w:rPr>
            </w:pPr>
            <w:r>
              <w:rPr>
                <w:rFonts w:ascii="Arial" w:cs="Arial" w:eastAsia="Arial" w:hAnsi="Arial"/>
                <w:sz w:val="14"/>
                <w:szCs w:val="14"/>
                <w:color w:val="auto"/>
              </w:rPr>
              <w:t>—</w:t>
            </w:r>
          </w:p>
        </w:tc>
        <w:tc>
          <w:tcPr>
            <w:tcW w:w="920" w:type="dxa"/>
            <w:vAlign w:val="bottom"/>
          </w:tcPr>
          <w:p>
            <w:pPr>
              <w:ind w:left="460"/>
              <w:spacing w:after="0"/>
              <w:rPr>
                <w:sz w:val="20"/>
                <w:szCs w:val="20"/>
                <w:color w:val="auto"/>
              </w:rPr>
            </w:pPr>
            <w:r>
              <w:rPr>
                <w:rFonts w:ascii="Arial" w:cs="Arial" w:eastAsia="Arial" w:hAnsi="Arial"/>
                <w:sz w:val="14"/>
                <w:szCs w:val="14"/>
                <w:color w:val="auto"/>
              </w:rPr>
              <w:t>—</w:t>
            </w:r>
          </w:p>
        </w:tc>
        <w:tc>
          <w:tcPr>
            <w:tcW w:w="980" w:type="dxa"/>
            <w:vAlign w:val="bottom"/>
          </w:tcPr>
          <w:p>
            <w:pPr>
              <w:ind w:left="540"/>
              <w:spacing w:after="0"/>
              <w:rPr>
                <w:sz w:val="20"/>
                <w:szCs w:val="20"/>
                <w:color w:val="auto"/>
              </w:rPr>
            </w:pPr>
            <w:r>
              <w:rPr>
                <w:rFonts w:ascii="Arial" w:cs="Arial" w:eastAsia="Arial" w:hAnsi="Arial"/>
                <w:sz w:val="14"/>
                <w:szCs w:val="14"/>
                <w:color w:val="auto"/>
              </w:rPr>
              <w:t>—</w:t>
            </w:r>
          </w:p>
        </w:tc>
        <w:tc>
          <w:tcPr>
            <w:tcW w:w="1500" w:type="dxa"/>
            <w:vAlign w:val="bottom"/>
          </w:tcPr>
          <w:p>
            <w:pPr>
              <w:ind w:left="800"/>
              <w:spacing w:after="0"/>
              <w:rPr>
                <w:sz w:val="20"/>
                <w:szCs w:val="20"/>
                <w:color w:val="auto"/>
              </w:rPr>
            </w:pPr>
            <w:r>
              <w:rPr>
                <w:rFonts w:ascii="Arial" w:cs="Arial" w:eastAsia="Arial" w:hAnsi="Arial"/>
                <w:sz w:val="14"/>
                <w:szCs w:val="14"/>
                <w:color w:val="auto"/>
              </w:rPr>
              <w:t>—</w:t>
            </w:r>
          </w:p>
        </w:tc>
        <w:tc>
          <w:tcPr>
            <w:tcW w:w="1500" w:type="dxa"/>
            <w:vAlign w:val="bottom"/>
          </w:tcPr>
          <w:p>
            <w:pPr>
              <w:ind w:left="7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80" w:right="40" w:hanging="572"/>
        <w:spacing w:after="0" w:line="236" w:lineRule="auto"/>
        <w:tabs>
          <w:tab w:leader="none" w:pos="580"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These figures represent the potential non-equity compensation that may have been earned by each respective executive officer in 2007 under the different achievement levels presented on their personal scorecards, which are more fully discussed in our Compensation Discussion and Analysis.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in 2007 is set forth in the “Non-Equity Incentive Plan Compensation” column of the Summary Compensation Table above.</w:t>
      </w:r>
    </w:p>
    <w:p>
      <w:pPr>
        <w:spacing w:after="0" w:line="1" w:lineRule="exact"/>
        <w:rPr>
          <w:rFonts w:ascii="Arial" w:cs="Arial" w:eastAsia="Arial" w:hAnsi="Arial"/>
          <w:sz w:val="28"/>
          <w:szCs w:val="28"/>
          <w:color w:val="auto"/>
          <w:vertAlign w:val="superscript"/>
        </w:rPr>
      </w:pPr>
    </w:p>
    <w:p>
      <w:pPr>
        <w:ind w:left="580" w:hanging="572"/>
        <w:spacing w:after="0"/>
        <w:tabs>
          <w:tab w:leader="none" w:pos="580" w:val="left"/>
        </w:tabs>
        <w:numPr>
          <w:ilvl w:val="0"/>
          <w:numId w:val="23"/>
        </w:numPr>
        <w:rPr>
          <w:rFonts w:ascii="Arial" w:cs="Arial" w:eastAsia="Arial" w:hAnsi="Arial"/>
          <w:sz w:val="34"/>
          <w:szCs w:val="34"/>
          <w:color w:val="auto"/>
          <w:vertAlign w:val="superscript"/>
        </w:rPr>
      </w:pPr>
      <w:r>
        <w:rPr>
          <w:rFonts w:ascii="Arial" w:cs="Arial" w:eastAsia="Arial" w:hAnsi="Arial"/>
          <w:sz w:val="17"/>
          <w:szCs w:val="17"/>
          <w:color w:val="auto"/>
        </w:rPr>
        <w:t>No equity compensation was paid to the individuals named in the Summary Compensation Table for services rendered in fiscal year 2007.</w:t>
      </w:r>
    </w:p>
    <w:p>
      <w:pPr>
        <w:spacing w:after="0" w:line="180" w:lineRule="exact"/>
        <w:rPr>
          <w:rFonts w:ascii="Arial" w:cs="Arial" w:eastAsia="Arial" w:hAnsi="Arial"/>
          <w:sz w:val="34"/>
          <w:szCs w:val="34"/>
          <w:color w:val="auto"/>
          <w:vertAlign w:val="superscript"/>
        </w:rPr>
      </w:pPr>
    </w:p>
    <w:p>
      <w:pPr>
        <w:ind w:left="580" w:hanging="572"/>
        <w:spacing w:after="0" w:line="183" w:lineRule="auto"/>
        <w:tabs>
          <w:tab w:leader="none" w:pos="580"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Mr. Linn retired as an executive officer of the company in May 2007, so he was not eligible for any incentive compensation for services rendered in 2007.</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provides information regarding outstanding equity awards at December 31, 2007 for the individuals named in the Summary Compensation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Option Awards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Stock Awards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Number</w:t>
            </w:r>
          </w:p>
        </w:tc>
        <w:tc>
          <w:tcPr>
            <w:tcW w:w="1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Market</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10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of</w:t>
            </w:r>
          </w:p>
        </w:tc>
        <w:tc>
          <w:tcPr>
            <w:tcW w:w="1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4"/>
              </w:rPr>
              <w:t>Value of</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3"/>
              </w:rPr>
              <w:t>Shares or</w:t>
            </w:r>
          </w:p>
        </w:tc>
        <w:tc>
          <w:tcPr>
            <w:tcW w:w="10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Shares or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0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Number of Securities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Units of</w:t>
            </w:r>
          </w:p>
        </w:tc>
        <w:tc>
          <w:tcPr>
            <w:tcW w:w="10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Units of</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Stock That</w:t>
            </w:r>
          </w:p>
        </w:tc>
        <w:tc>
          <w:tcPr>
            <w:tcW w:w="10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Stock That</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That</w:t>
            </w: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86"/>
              </w:rPr>
              <w:t>Options</w:t>
            </w:r>
          </w:p>
        </w:tc>
        <w:tc>
          <w:tcPr>
            <w:tcW w:w="1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80" w:type="dxa"/>
            <w:vAlign w:val="bottom"/>
          </w:tcPr>
          <w:p>
            <w:pPr>
              <w:spacing w:after="0"/>
              <w:rPr>
                <w:sz w:val="12"/>
                <w:szCs w:val="12"/>
                <w:color w:val="auto"/>
              </w:rPr>
            </w:pPr>
          </w:p>
        </w:tc>
        <w:tc>
          <w:tcPr>
            <w:tcW w:w="90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Option</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2"/>
                <w:szCs w:val="12"/>
                <w:color w:val="auto"/>
              </w:rPr>
            </w:pPr>
          </w:p>
        </w:tc>
        <w:tc>
          <w:tcPr>
            <w:tcW w:w="9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Have Not</w:t>
            </w:r>
          </w:p>
        </w:tc>
        <w:tc>
          <w:tcPr>
            <w:tcW w:w="10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Have Not</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284"/>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3"/>
              </w:rPr>
              <w:t>Exercisable</w:t>
            </w:r>
            <w:r>
              <w:rPr>
                <w:rFonts w:ascii="Arial" w:cs="Arial" w:eastAsia="Arial" w:hAnsi="Arial"/>
                <w:sz w:val="22"/>
                <w:szCs w:val="22"/>
                <w:color w:val="auto"/>
                <w:w w:val="83"/>
                <w:vertAlign w:val="superscript"/>
              </w:rPr>
              <w:t>(1)</w:t>
            </w:r>
          </w:p>
        </w:tc>
        <w:tc>
          <w:tcPr>
            <w:tcW w:w="14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1"/>
              </w:rPr>
              <w:t>Unexercisable</w:t>
            </w:r>
            <w:r>
              <w:rPr>
                <w:rFonts w:ascii="Arial" w:cs="Arial" w:eastAsia="Arial" w:hAnsi="Arial"/>
                <w:sz w:val="22"/>
                <w:szCs w:val="22"/>
                <w:color w:val="auto"/>
                <w:w w:val="81"/>
                <w:vertAlign w:val="superscript"/>
              </w:rPr>
              <w:t>(1)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 xml:space="preserve">Options </w:t>
            </w:r>
            <w:r>
              <w:rPr>
                <w:rFonts w:ascii="Arial" w:cs="Arial" w:eastAsia="Arial" w:hAnsi="Arial"/>
                <w:sz w:val="22"/>
                <w:szCs w:val="22"/>
                <w:color w:val="auto"/>
                <w:w w:val="82"/>
                <w:vertAlign w:val="superscript"/>
              </w:rPr>
              <w:t>(1)</w:t>
            </w:r>
          </w:p>
        </w:tc>
        <w:tc>
          <w:tcPr>
            <w:tcW w:w="11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Exercise Price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Expiration Date</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2"/>
              </w:rPr>
              <w:t>Vested</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2"/>
              </w:rPr>
              <w:t>Vested</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Vested</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William C. Erbey</w:t>
            </w:r>
          </w:p>
        </w:tc>
        <w:tc>
          <w:tcPr>
            <w:tcW w:w="1340" w:type="dxa"/>
            <w:vAlign w:val="bottom"/>
            <w:shd w:val="clear" w:color="auto" w:fill="EAF9E8"/>
          </w:tcPr>
          <w:p>
            <w:pPr>
              <w:jc w:val="right"/>
              <w:spacing w:after="0" w:line="149" w:lineRule="exact"/>
              <w:rPr>
                <w:sz w:val="20"/>
                <w:szCs w:val="20"/>
                <w:color w:val="auto"/>
              </w:rPr>
            </w:pPr>
            <w:r>
              <w:rPr>
                <w:rFonts w:ascii="Arial" w:cs="Arial" w:eastAsia="Arial" w:hAnsi="Arial"/>
                <w:sz w:val="11"/>
                <w:szCs w:val="11"/>
                <w:color w:val="auto"/>
              </w:rPr>
              <w:t>235,756</w:t>
            </w:r>
            <w:r>
              <w:rPr>
                <w:rFonts w:ascii="Arial" w:cs="Arial" w:eastAsia="Arial" w:hAnsi="Arial"/>
                <w:sz w:val="17"/>
                <w:szCs w:val="17"/>
                <w:color w:val="auto"/>
                <w:vertAlign w:val="superscript"/>
              </w:rPr>
              <w:t>(2)</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20.35000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01/31/08</w:t>
            </w:r>
          </w:p>
        </w:tc>
        <w:tc>
          <w:tcPr>
            <w:tcW w:w="10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1"/>
                <w:szCs w:val="11"/>
                <w:color w:val="auto"/>
              </w:rPr>
              <w:t>6,972</w:t>
            </w:r>
            <w:r>
              <w:rPr>
                <w:rFonts w:ascii="Arial" w:cs="Arial" w:eastAsia="Arial" w:hAnsi="Arial"/>
                <w:sz w:val="17"/>
                <w:szCs w:val="17"/>
                <w:color w:val="auto"/>
                <w:vertAlign w:val="superscript"/>
              </w:rPr>
              <w:t>(3)</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38,630</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6,972</w:t>
            </w:r>
          </w:p>
        </w:tc>
        <w:tc>
          <w:tcPr>
            <w:tcW w:w="180" w:type="dxa"/>
            <w:vAlign w:val="bottom"/>
            <w:shd w:val="clear" w:color="auto" w:fill="EAF9E8"/>
          </w:tcPr>
          <w:p>
            <w:pPr>
              <w:ind w:left="1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38,630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1"/>
                <w:szCs w:val="11"/>
                <w:color w:val="auto"/>
              </w:rPr>
              <w:t>14,143</w:t>
            </w:r>
            <w:r>
              <w:rPr>
                <w:rFonts w:ascii="Arial" w:cs="Arial" w:eastAsia="Arial" w:hAnsi="Arial"/>
                <w:sz w:val="17"/>
                <w:szCs w:val="17"/>
                <w:color w:val="auto"/>
                <w:vertAlign w:val="superscript"/>
              </w:rPr>
              <w:t>(4)</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12.31250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01/31/09</w:t>
            </w:r>
          </w:p>
        </w:tc>
        <w:tc>
          <w:tcPr>
            <w:tcW w:w="106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14,069</w:t>
            </w:r>
            <w:r>
              <w:rPr>
                <w:rFonts w:ascii="Arial" w:cs="Arial" w:eastAsia="Arial" w:hAnsi="Arial"/>
                <w:sz w:val="17"/>
                <w:szCs w:val="17"/>
                <w:color w:val="auto"/>
                <w:vertAlign w:val="superscript"/>
              </w:rPr>
              <w:t>(5)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77,942</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14,069</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77,942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spacing w:after="0" w:line="149" w:lineRule="exact"/>
              <w:rPr>
                <w:sz w:val="20"/>
                <w:szCs w:val="20"/>
                <w:color w:val="auto"/>
              </w:rPr>
            </w:pPr>
            <w:r>
              <w:rPr>
                <w:rFonts w:ascii="Arial" w:cs="Arial" w:eastAsia="Arial" w:hAnsi="Arial"/>
                <w:sz w:val="11"/>
                <w:szCs w:val="11"/>
                <w:color w:val="auto"/>
              </w:rPr>
              <w:t>34,549</w:t>
            </w:r>
            <w:r>
              <w:rPr>
                <w:rFonts w:ascii="Arial" w:cs="Arial" w:eastAsia="Arial" w:hAnsi="Arial"/>
                <w:sz w:val="17"/>
                <w:szCs w:val="17"/>
                <w:color w:val="auto"/>
                <w:vertAlign w:val="superscript"/>
              </w:rPr>
              <w:t>(4)</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6.25000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01/31/10</w:t>
            </w:r>
          </w:p>
        </w:tc>
        <w:tc>
          <w:tcPr>
            <w:tcW w:w="10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1"/>
                <w:szCs w:val="11"/>
                <w:color w:val="auto"/>
              </w:rPr>
              <w:t>39,825</w:t>
            </w:r>
            <w:r>
              <w:rPr>
                <w:rFonts w:ascii="Arial" w:cs="Arial" w:eastAsia="Arial" w:hAnsi="Arial"/>
                <w:sz w:val="17"/>
                <w:szCs w:val="17"/>
                <w:color w:val="auto"/>
                <w:vertAlign w:val="superscript"/>
              </w:rPr>
              <w:t>(7)</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220,631</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39,825</w:t>
            </w:r>
          </w:p>
        </w:tc>
        <w:tc>
          <w:tcPr>
            <w:tcW w:w="180" w:type="dxa"/>
            <w:vAlign w:val="bottom"/>
            <w:shd w:val="clear" w:color="auto" w:fill="EAF9E8"/>
          </w:tcPr>
          <w:p>
            <w:pPr>
              <w:ind w:left="1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220,631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158,030</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4.08625</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01/31/11</w:t>
            </w:r>
          </w:p>
        </w:tc>
        <w:tc>
          <w:tcPr>
            <w:tcW w:w="10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5"/>
              <w:spacing w:after="0" w:line="149" w:lineRule="exact"/>
              <w:rPr>
                <w:sz w:val="20"/>
                <w:szCs w:val="20"/>
                <w:color w:val="auto"/>
              </w:rPr>
            </w:pPr>
            <w:r>
              <w:rPr>
                <w:rFonts w:ascii="Arial" w:cs="Arial" w:eastAsia="Arial" w:hAnsi="Arial"/>
                <w:sz w:val="14"/>
                <w:szCs w:val="14"/>
                <w:color w:val="auto"/>
              </w:rPr>
              <w:t>39,507</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7.40000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01/31/11</w:t>
            </w:r>
          </w:p>
        </w:tc>
        <w:tc>
          <w:tcPr>
            <w:tcW w:w="10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84,885</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5.78900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01/31/12</w:t>
            </w:r>
          </w:p>
        </w:tc>
        <w:tc>
          <w:tcPr>
            <w:tcW w:w="10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5"/>
              <w:spacing w:after="0" w:line="149" w:lineRule="exact"/>
              <w:rPr>
                <w:sz w:val="20"/>
                <w:szCs w:val="20"/>
                <w:color w:val="auto"/>
              </w:rPr>
            </w:pPr>
            <w:r>
              <w:rPr>
                <w:rFonts w:ascii="Arial" w:cs="Arial" w:eastAsia="Arial" w:hAnsi="Arial"/>
                <w:sz w:val="14"/>
                <w:szCs w:val="14"/>
                <w:color w:val="auto"/>
              </w:rPr>
              <w:t>56,590</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7.00000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01/31/12</w:t>
            </w:r>
          </w:p>
        </w:tc>
        <w:tc>
          <w:tcPr>
            <w:tcW w:w="10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33,875</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1.87000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01/31/13</w:t>
            </w:r>
          </w:p>
        </w:tc>
        <w:tc>
          <w:tcPr>
            <w:tcW w:w="10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5"/>
              <w:spacing w:after="0" w:line="149" w:lineRule="exact"/>
              <w:rPr>
                <w:sz w:val="20"/>
                <w:szCs w:val="20"/>
                <w:color w:val="auto"/>
              </w:rPr>
            </w:pPr>
            <w:r>
              <w:rPr>
                <w:rFonts w:ascii="Arial" w:cs="Arial" w:eastAsia="Arial" w:hAnsi="Arial"/>
                <w:sz w:val="14"/>
                <w:szCs w:val="14"/>
                <w:color w:val="auto"/>
              </w:rPr>
              <w:t>50,813</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2.81000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01/31/13</w:t>
            </w:r>
          </w:p>
        </w:tc>
        <w:tc>
          <w:tcPr>
            <w:tcW w:w="10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12,736</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6.18000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01/31/14</w:t>
            </w:r>
          </w:p>
        </w:tc>
        <w:tc>
          <w:tcPr>
            <w:tcW w:w="10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5"/>
              <w:spacing w:after="0" w:line="149" w:lineRule="exact"/>
              <w:rPr>
                <w:sz w:val="20"/>
                <w:szCs w:val="20"/>
                <w:color w:val="auto"/>
              </w:rPr>
            </w:pPr>
            <w:r>
              <w:rPr>
                <w:rFonts w:ascii="Arial" w:cs="Arial" w:eastAsia="Arial" w:hAnsi="Arial"/>
                <w:sz w:val="14"/>
                <w:szCs w:val="14"/>
                <w:color w:val="auto"/>
              </w:rPr>
              <w:t>38,207</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12,736</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12,736</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10.73000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01/31/14</w:t>
            </w:r>
          </w:p>
        </w:tc>
        <w:tc>
          <w:tcPr>
            <w:tcW w:w="10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28,720</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19,152</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19,152</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8.04000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01/31/15</w:t>
            </w:r>
          </w:p>
        </w:tc>
        <w:tc>
          <w:tcPr>
            <w:tcW w:w="10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5"/>
              <w:spacing w:after="0" w:line="149" w:lineRule="exact"/>
              <w:rPr>
                <w:sz w:val="20"/>
                <w:szCs w:val="20"/>
                <w:color w:val="auto"/>
              </w:rPr>
            </w:pPr>
            <w:r>
              <w:rPr>
                <w:rFonts w:ascii="Arial" w:cs="Arial" w:eastAsia="Arial" w:hAnsi="Arial"/>
                <w:sz w:val="14"/>
                <w:szCs w:val="14"/>
                <w:color w:val="auto"/>
              </w:rPr>
              <w:t>27,922</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41,833</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41,833</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9.64000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01/31/16</w:t>
            </w:r>
          </w:p>
        </w:tc>
        <w:tc>
          <w:tcPr>
            <w:tcW w:w="10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41,128</w:t>
            </w:r>
            <w:r>
              <w:rPr>
                <w:rFonts w:ascii="Arial" w:cs="Arial" w:eastAsia="Arial" w:hAnsi="Arial"/>
                <w:sz w:val="22"/>
                <w:szCs w:val="22"/>
                <w:color w:val="auto"/>
                <w:vertAlign w:val="superscript"/>
              </w:rPr>
              <w:t>(7)</w:t>
            </w: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61,693</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61,693</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11.88000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05/10/17</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Ronald M. Faris</w:t>
            </w:r>
          </w:p>
        </w:tc>
        <w:tc>
          <w:tcPr>
            <w:tcW w:w="1340" w:type="dxa"/>
            <w:vAlign w:val="bottom"/>
            <w:shd w:val="clear" w:color="auto" w:fill="EAF9E8"/>
          </w:tcPr>
          <w:p>
            <w:pPr>
              <w:jc w:val="right"/>
              <w:spacing w:after="0" w:line="149" w:lineRule="exact"/>
              <w:rPr>
                <w:sz w:val="20"/>
                <w:szCs w:val="20"/>
                <w:color w:val="auto"/>
              </w:rPr>
            </w:pPr>
            <w:r>
              <w:rPr>
                <w:rFonts w:ascii="Arial" w:cs="Arial" w:eastAsia="Arial" w:hAnsi="Arial"/>
                <w:sz w:val="11"/>
                <w:szCs w:val="11"/>
                <w:color w:val="auto"/>
              </w:rPr>
              <w:t>39,293</w:t>
            </w:r>
            <w:r>
              <w:rPr>
                <w:rFonts w:ascii="Arial" w:cs="Arial" w:eastAsia="Arial" w:hAnsi="Arial"/>
                <w:sz w:val="17"/>
                <w:szCs w:val="17"/>
                <w:color w:val="auto"/>
                <w:vertAlign w:val="superscript"/>
              </w:rPr>
              <w:t>(2)</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20.35000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01/31/08</w:t>
            </w:r>
          </w:p>
        </w:tc>
        <w:tc>
          <w:tcPr>
            <w:tcW w:w="10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1"/>
                <w:szCs w:val="11"/>
                <w:color w:val="auto"/>
              </w:rPr>
              <w:t>6,044</w:t>
            </w:r>
            <w:r>
              <w:rPr>
                <w:rFonts w:ascii="Arial" w:cs="Arial" w:eastAsia="Arial" w:hAnsi="Arial"/>
                <w:sz w:val="17"/>
                <w:szCs w:val="17"/>
                <w:color w:val="auto"/>
                <w:vertAlign w:val="superscript"/>
              </w:rPr>
              <w:t>(3)</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33,484</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6,044</w:t>
            </w:r>
          </w:p>
        </w:tc>
        <w:tc>
          <w:tcPr>
            <w:tcW w:w="180" w:type="dxa"/>
            <w:vAlign w:val="bottom"/>
            <w:shd w:val="clear" w:color="auto" w:fill="EAF9E8"/>
          </w:tcPr>
          <w:p>
            <w:pPr>
              <w:ind w:left="1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33,484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1"/>
                <w:szCs w:val="11"/>
                <w:color w:val="auto"/>
              </w:rPr>
              <w:t>11,524</w:t>
            </w:r>
            <w:r>
              <w:rPr>
                <w:rFonts w:ascii="Arial" w:cs="Arial" w:eastAsia="Arial" w:hAnsi="Arial"/>
                <w:sz w:val="17"/>
                <w:szCs w:val="17"/>
                <w:color w:val="auto"/>
                <w:vertAlign w:val="superscript"/>
              </w:rPr>
              <w:t>(4)</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12.31250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01/31/09</w:t>
            </w:r>
          </w:p>
        </w:tc>
        <w:tc>
          <w:tcPr>
            <w:tcW w:w="106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11,612</w:t>
            </w:r>
            <w:r>
              <w:rPr>
                <w:rFonts w:ascii="Arial" w:cs="Arial" w:eastAsia="Arial" w:hAnsi="Arial"/>
                <w:sz w:val="17"/>
                <w:szCs w:val="17"/>
                <w:color w:val="auto"/>
                <w:vertAlign w:val="superscript"/>
              </w:rPr>
              <w:t>(5)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64,330</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11,612</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64,330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spacing w:after="0" w:line="149" w:lineRule="exact"/>
              <w:rPr>
                <w:sz w:val="20"/>
                <w:szCs w:val="20"/>
                <w:color w:val="auto"/>
              </w:rPr>
            </w:pPr>
            <w:r>
              <w:rPr>
                <w:rFonts w:ascii="Arial" w:cs="Arial" w:eastAsia="Arial" w:hAnsi="Arial"/>
                <w:sz w:val="11"/>
                <w:szCs w:val="11"/>
                <w:color w:val="auto"/>
              </w:rPr>
              <w:t>30,184</w:t>
            </w:r>
            <w:r>
              <w:rPr>
                <w:rFonts w:ascii="Arial" w:cs="Arial" w:eastAsia="Arial" w:hAnsi="Arial"/>
                <w:sz w:val="17"/>
                <w:szCs w:val="17"/>
                <w:color w:val="auto"/>
                <w:vertAlign w:val="superscript"/>
              </w:rPr>
              <w:t>(4)</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6.25000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01/31/10</w:t>
            </w:r>
          </w:p>
        </w:tc>
        <w:tc>
          <w:tcPr>
            <w:tcW w:w="10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1"/>
                <w:szCs w:val="11"/>
                <w:color w:val="auto"/>
              </w:rPr>
              <w:t>35,833</w:t>
            </w:r>
            <w:r>
              <w:rPr>
                <w:rFonts w:ascii="Arial" w:cs="Arial" w:eastAsia="Arial" w:hAnsi="Arial"/>
                <w:sz w:val="17"/>
                <w:szCs w:val="17"/>
                <w:color w:val="auto"/>
                <w:vertAlign w:val="superscript"/>
              </w:rPr>
              <w:t>(6)</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198,515</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35,833</w:t>
            </w:r>
          </w:p>
        </w:tc>
        <w:tc>
          <w:tcPr>
            <w:tcW w:w="180" w:type="dxa"/>
            <w:vAlign w:val="bottom"/>
            <w:shd w:val="clear" w:color="auto" w:fill="EAF9E8"/>
          </w:tcPr>
          <w:p>
            <w:pPr>
              <w:ind w:left="1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198,515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121,927</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4.08625</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01/31/11</w:t>
            </w:r>
          </w:p>
        </w:tc>
        <w:tc>
          <w:tcPr>
            <w:tcW w:w="10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5"/>
              <w:spacing w:after="0" w:line="149" w:lineRule="exact"/>
              <w:rPr>
                <w:sz w:val="20"/>
                <w:szCs w:val="20"/>
                <w:color w:val="auto"/>
              </w:rPr>
            </w:pPr>
            <w:r>
              <w:rPr>
                <w:rFonts w:ascii="Arial" w:cs="Arial" w:eastAsia="Arial" w:hAnsi="Arial"/>
                <w:sz w:val="14"/>
                <w:szCs w:val="14"/>
                <w:color w:val="auto"/>
              </w:rPr>
              <w:t>30,482</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7.40000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01/31/11</w:t>
            </w:r>
          </w:p>
        </w:tc>
        <w:tc>
          <w:tcPr>
            <w:tcW w:w="10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1"/>
                <w:szCs w:val="11"/>
                <w:color w:val="auto"/>
              </w:rPr>
              <w:t>200,000</w:t>
            </w:r>
            <w:r>
              <w:rPr>
                <w:rFonts w:ascii="Arial" w:cs="Arial" w:eastAsia="Arial" w:hAnsi="Arial"/>
                <w:sz w:val="17"/>
                <w:szCs w:val="17"/>
                <w:color w:val="auto"/>
                <w:vertAlign w:val="superscript"/>
              </w:rPr>
              <w:t>(8)</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12.55000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10/31/11</w:t>
            </w:r>
          </w:p>
        </w:tc>
        <w:tc>
          <w:tcPr>
            <w:tcW w:w="10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5"/>
              <w:spacing w:after="0" w:line="149" w:lineRule="exact"/>
              <w:rPr>
                <w:sz w:val="20"/>
                <w:szCs w:val="20"/>
                <w:color w:val="auto"/>
              </w:rPr>
            </w:pPr>
            <w:r>
              <w:rPr>
                <w:rFonts w:ascii="Arial" w:cs="Arial" w:eastAsia="Arial" w:hAnsi="Arial"/>
                <w:sz w:val="14"/>
                <w:szCs w:val="14"/>
                <w:color w:val="auto"/>
              </w:rPr>
              <w:t>71,989</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5.78900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01/31/12</w:t>
            </w:r>
          </w:p>
        </w:tc>
        <w:tc>
          <w:tcPr>
            <w:tcW w:w="10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47,992</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7.00000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01/31/12</w:t>
            </w:r>
          </w:p>
        </w:tc>
        <w:tc>
          <w:tcPr>
            <w:tcW w:w="10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5"/>
              <w:spacing w:after="0" w:line="149" w:lineRule="exact"/>
              <w:rPr>
                <w:sz w:val="20"/>
                <w:szCs w:val="20"/>
                <w:color w:val="auto"/>
              </w:rPr>
            </w:pPr>
            <w:r>
              <w:rPr>
                <w:rFonts w:ascii="Arial" w:cs="Arial" w:eastAsia="Arial" w:hAnsi="Arial"/>
                <w:sz w:val="14"/>
                <w:szCs w:val="14"/>
                <w:color w:val="auto"/>
              </w:rPr>
              <w:t>31,781</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1.87000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01/31/13</w:t>
            </w:r>
          </w:p>
        </w:tc>
        <w:tc>
          <w:tcPr>
            <w:tcW w:w="10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47,672</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2.81000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01/31/13</w:t>
            </w:r>
          </w:p>
        </w:tc>
        <w:tc>
          <w:tcPr>
            <w:tcW w:w="10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5"/>
              <w:spacing w:after="0" w:line="149" w:lineRule="exact"/>
              <w:rPr>
                <w:sz w:val="20"/>
                <w:szCs w:val="20"/>
                <w:color w:val="auto"/>
              </w:rPr>
            </w:pPr>
            <w:r>
              <w:rPr>
                <w:rFonts w:ascii="Arial" w:cs="Arial" w:eastAsia="Arial" w:hAnsi="Arial"/>
                <w:sz w:val="14"/>
                <w:szCs w:val="14"/>
                <w:color w:val="auto"/>
              </w:rPr>
              <w:t>13,390</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6.18000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01/31/14</w:t>
            </w:r>
          </w:p>
        </w:tc>
        <w:tc>
          <w:tcPr>
            <w:tcW w:w="10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40,170</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13,390</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13,390</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10.73000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01/31/14</w:t>
            </w:r>
          </w:p>
        </w:tc>
        <w:tc>
          <w:tcPr>
            <w:tcW w:w="10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5"/>
              <w:spacing w:after="0" w:line="149" w:lineRule="exact"/>
              <w:rPr>
                <w:sz w:val="20"/>
                <w:szCs w:val="20"/>
                <w:color w:val="auto"/>
              </w:rPr>
            </w:pPr>
            <w:r>
              <w:rPr>
                <w:rFonts w:ascii="Arial" w:cs="Arial" w:eastAsia="Arial" w:hAnsi="Arial"/>
                <w:sz w:val="14"/>
                <w:szCs w:val="14"/>
                <w:color w:val="auto"/>
              </w:rPr>
              <w:t>22,384</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14,917</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14,917</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8.04000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01/31/15</w:t>
            </w:r>
          </w:p>
        </w:tc>
        <w:tc>
          <w:tcPr>
            <w:tcW w:w="10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24,203</w:t>
            </w:r>
          </w:p>
        </w:tc>
        <w:tc>
          <w:tcPr>
            <w:tcW w:w="1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36,301</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36,301</w:t>
            </w:r>
          </w:p>
        </w:tc>
        <w:tc>
          <w:tcPr>
            <w:tcW w:w="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9.64000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01/31/16</w:t>
            </w:r>
          </w:p>
        </w:tc>
        <w:tc>
          <w:tcPr>
            <w:tcW w:w="100" w:type="dxa"/>
            <w:vAlign w:val="bottom"/>
          </w:tcPr>
          <w:p>
            <w:pPr>
              <w:spacing w:after="0"/>
              <w:rPr>
                <w:sz w:val="12"/>
                <w:szCs w:val="12"/>
                <w:color w:val="auto"/>
              </w:rPr>
            </w:pPr>
          </w:p>
        </w:tc>
        <w:tc>
          <w:tcPr>
            <w:tcW w:w="9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spacing w:after="0" w:line="149" w:lineRule="exact"/>
              <w:rPr>
                <w:sz w:val="20"/>
                <w:szCs w:val="20"/>
                <w:color w:val="auto"/>
              </w:rPr>
            </w:pPr>
            <w:r>
              <w:rPr>
                <w:rFonts w:ascii="Arial" w:cs="Arial" w:eastAsia="Arial" w:hAnsi="Arial"/>
                <w:sz w:val="11"/>
                <w:szCs w:val="11"/>
                <w:color w:val="auto"/>
              </w:rPr>
              <w:t>33,944</w:t>
            </w:r>
            <w:r>
              <w:rPr>
                <w:rFonts w:ascii="Arial" w:cs="Arial" w:eastAsia="Arial" w:hAnsi="Arial"/>
                <w:sz w:val="17"/>
                <w:szCs w:val="17"/>
                <w:color w:val="auto"/>
                <w:vertAlign w:val="superscript"/>
              </w:rPr>
              <w:t>(7)</w:t>
            </w:r>
          </w:p>
        </w:tc>
        <w:tc>
          <w:tcPr>
            <w:tcW w:w="14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50,917</w:t>
            </w:r>
          </w:p>
        </w:tc>
        <w:tc>
          <w:tcPr>
            <w:tcW w:w="10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50,917</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11.88000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05/10/17</w:t>
            </w:r>
          </w:p>
        </w:tc>
        <w:tc>
          <w:tcPr>
            <w:tcW w:w="100" w:type="dxa"/>
            <w:vAlign w:val="bottom"/>
            <w:shd w:val="clear" w:color="auto" w:fill="EAF9E8"/>
          </w:tcPr>
          <w:p>
            <w:pPr>
              <w:spacing w:after="0"/>
              <w:rPr>
                <w:sz w:val="12"/>
                <w:szCs w:val="12"/>
                <w:color w:val="auto"/>
              </w:rPr>
            </w:pPr>
          </w:p>
        </w:tc>
        <w:tc>
          <w:tcPr>
            <w:tcW w:w="9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b w:val="1"/>
                <w:bCs w:val="1"/>
                <w:color w:val="auto"/>
                <w:w w:val="92"/>
              </w:rPr>
              <w:t>Stock Awards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Market</w:t>
            </w:r>
          </w:p>
        </w:tc>
        <w:tc>
          <w:tcPr>
            <w:tcW w:w="9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8"/>
              </w:rPr>
              <w:t>Number of</w:t>
            </w:r>
          </w:p>
        </w:tc>
        <w:tc>
          <w:tcPr>
            <w:tcW w:w="1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4"/>
              </w:rPr>
              <w:t>Value of</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3"/>
              </w:rPr>
              <w:t>Shares or</w:t>
            </w:r>
          </w:p>
        </w:tc>
        <w:tc>
          <w:tcPr>
            <w:tcW w:w="16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Shares or</w:t>
            </w:r>
          </w:p>
        </w:tc>
        <w:tc>
          <w:tcPr>
            <w:tcW w:w="9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 Securities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8"/>
              </w:rPr>
              <w:t>Units of</w:t>
            </w:r>
          </w:p>
        </w:tc>
        <w:tc>
          <w:tcPr>
            <w:tcW w:w="16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Units of</w:t>
            </w:r>
          </w:p>
        </w:tc>
        <w:tc>
          <w:tcPr>
            <w:tcW w:w="9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Unearned</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6"/>
              </w:rPr>
              <w:t>Stock That</w:t>
            </w:r>
          </w:p>
        </w:tc>
        <w:tc>
          <w:tcPr>
            <w:tcW w:w="16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Stock That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That</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86"/>
              </w:rPr>
              <w:t>Options Exercisable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20" w:type="dxa"/>
            <w:vAlign w:val="bottom"/>
          </w:tcPr>
          <w:p>
            <w:pPr>
              <w:spacing w:after="0"/>
              <w:rPr>
                <w:sz w:val="12"/>
                <w:szCs w:val="12"/>
                <w:color w:val="auto"/>
              </w:rPr>
            </w:pPr>
          </w:p>
        </w:tc>
        <w:tc>
          <w:tcPr>
            <w:tcW w:w="90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Option</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10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8"/>
              </w:rPr>
              <w:t>Have Not</w:t>
            </w:r>
          </w:p>
        </w:tc>
        <w:tc>
          <w:tcPr>
            <w:tcW w:w="16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Have Not</w:t>
            </w:r>
          </w:p>
        </w:tc>
        <w:tc>
          <w:tcPr>
            <w:tcW w:w="9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2"/>
              </w:rPr>
              <w:t>Have Not</w:t>
            </w: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284"/>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1"/>
                <w:szCs w:val="11"/>
                <w:color w:val="auto"/>
              </w:rPr>
              <w:t>(1)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 xml:space="preserve">Unexercisable </w:t>
            </w:r>
            <w:r>
              <w:rPr>
                <w:rFonts w:ascii="Arial" w:cs="Arial" w:eastAsia="Arial" w:hAnsi="Arial"/>
                <w:sz w:val="22"/>
                <w:szCs w:val="22"/>
                <w:color w:val="auto"/>
                <w:w w:val="82"/>
                <w:vertAlign w:val="superscript"/>
              </w:rPr>
              <w:t>(1)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 xml:space="preserve">Options </w:t>
            </w:r>
            <w:r>
              <w:rPr>
                <w:rFonts w:ascii="Arial" w:cs="Arial" w:eastAsia="Arial" w:hAnsi="Arial"/>
                <w:sz w:val="22"/>
                <w:szCs w:val="22"/>
                <w:color w:val="auto"/>
                <w:w w:val="85"/>
                <w:vertAlign w:val="superscript"/>
              </w:rPr>
              <w:t>(1)</w:t>
            </w:r>
          </w:p>
        </w:tc>
        <w:tc>
          <w:tcPr>
            <w:tcW w:w="11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6"/>
              </w:rPr>
              <w:t>Exercise Price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Expiration Date</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2"/>
              </w:rPr>
              <w:t>Vested</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2"/>
              </w:rPr>
              <w:t>Vested</w:t>
            </w: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78"/>
              </w:rPr>
              <w:t>Vested</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David J. Gunter</w:t>
            </w:r>
          </w:p>
        </w:tc>
        <w:tc>
          <w:tcPr>
            <w:tcW w:w="1340" w:type="dxa"/>
            <w:vAlign w:val="bottom"/>
            <w:shd w:val="clear" w:color="auto" w:fill="EAF9E8"/>
          </w:tcPr>
          <w:p>
            <w:pPr>
              <w:jc w:val="right"/>
              <w:spacing w:after="0" w:line="149" w:lineRule="exact"/>
              <w:rPr>
                <w:sz w:val="20"/>
                <w:szCs w:val="20"/>
                <w:color w:val="auto"/>
              </w:rPr>
            </w:pPr>
            <w:r>
              <w:rPr>
                <w:rFonts w:ascii="Arial" w:cs="Arial" w:eastAsia="Arial" w:hAnsi="Arial"/>
                <w:sz w:val="11"/>
                <w:szCs w:val="11"/>
                <w:color w:val="auto"/>
              </w:rPr>
              <w:t>6,744</w:t>
            </w:r>
            <w:r>
              <w:rPr>
                <w:rFonts w:ascii="Arial" w:cs="Arial" w:eastAsia="Arial" w:hAnsi="Arial"/>
                <w:sz w:val="17"/>
                <w:szCs w:val="17"/>
                <w:color w:val="auto"/>
                <w:vertAlign w:val="superscript"/>
              </w:rPr>
              <w:t>(7)</w:t>
            </w:r>
          </w:p>
        </w:tc>
        <w:tc>
          <w:tcPr>
            <w:tcW w:w="13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10,117</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10,117</w:t>
            </w:r>
          </w:p>
        </w:tc>
        <w:tc>
          <w:tcPr>
            <w:tcW w:w="2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11.88000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05/10/17</w:t>
            </w:r>
          </w:p>
        </w:tc>
        <w:tc>
          <w:tcPr>
            <w:tcW w:w="1220" w:type="dxa"/>
            <w:vAlign w:val="bottom"/>
            <w:gridSpan w:val="2"/>
            <w:shd w:val="clear" w:color="auto" w:fill="EAF9E8"/>
          </w:tcPr>
          <w:p>
            <w:pPr>
              <w:jc w:val="right"/>
              <w:ind w:right="32"/>
              <w:spacing w:after="0" w:line="149" w:lineRule="exact"/>
              <w:rPr>
                <w:sz w:val="20"/>
                <w:szCs w:val="20"/>
                <w:color w:val="auto"/>
              </w:rPr>
            </w:pPr>
            <w:r>
              <w:rPr>
                <w:rFonts w:ascii="Arial" w:cs="Arial" w:eastAsia="Arial" w:hAnsi="Arial"/>
                <w:sz w:val="11"/>
                <w:szCs w:val="11"/>
                <w:color w:val="auto"/>
              </w:rPr>
              <w:t>2,307</w:t>
            </w:r>
            <w:r>
              <w:rPr>
                <w:rFonts w:ascii="Arial" w:cs="Arial" w:eastAsia="Arial" w:hAnsi="Arial"/>
                <w:sz w:val="17"/>
                <w:szCs w:val="17"/>
                <w:color w:val="auto"/>
                <w:vertAlign w:val="superscript"/>
              </w:rPr>
              <w:t>(5)</w:t>
            </w:r>
          </w:p>
        </w:tc>
        <w:tc>
          <w:tcPr>
            <w:tcW w:w="1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12,781</w:t>
            </w:r>
          </w:p>
        </w:tc>
        <w:tc>
          <w:tcPr>
            <w:tcW w:w="96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2,307</w:t>
            </w:r>
          </w:p>
        </w:tc>
        <w:tc>
          <w:tcPr>
            <w:tcW w:w="160" w:type="dxa"/>
            <w:vAlign w:val="bottom"/>
            <w:shd w:val="clear" w:color="auto" w:fill="EAF9E8"/>
          </w:tcPr>
          <w:p>
            <w:pPr>
              <w:ind w:left="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12,781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1500" w:type="dxa"/>
            <w:vAlign w:val="bottom"/>
            <w:gridSpan w:val="2"/>
          </w:tcPr>
          <w:p>
            <w:pPr>
              <w:spacing w:after="0"/>
              <w:rPr>
                <w:sz w:val="20"/>
                <w:szCs w:val="20"/>
                <w:color w:val="auto"/>
              </w:rPr>
            </w:pPr>
            <w:r>
              <w:rPr>
                <w:rFonts w:ascii="Arial" w:cs="Arial" w:eastAsia="Arial" w:hAnsi="Arial"/>
                <w:sz w:val="14"/>
                <w:szCs w:val="14"/>
                <w:color w:val="auto"/>
              </w:rPr>
              <w:t>Paul A. Koches</w:t>
            </w:r>
          </w:p>
        </w:tc>
        <w:tc>
          <w:tcPr>
            <w:tcW w:w="1340" w:type="dxa"/>
            <w:vAlign w:val="bottom"/>
          </w:tcPr>
          <w:p>
            <w:pPr>
              <w:jc w:val="right"/>
              <w:ind w:right="114"/>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2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1500" w:type="dxa"/>
            <w:vAlign w:val="bottom"/>
            <w:tcBorders>
              <w:bottom w:val="single" w:sz="8" w:color="auto"/>
            </w:tcBorders>
            <w:gridSpan w:val="2"/>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 Michael Linn</w:t>
            </w:r>
          </w:p>
        </w:tc>
        <w:tc>
          <w:tcPr>
            <w:tcW w:w="1340" w:type="dxa"/>
            <w:vAlign w:val="bottom"/>
            <w:shd w:val="clear" w:color="auto" w:fill="EAF9E8"/>
          </w:tcPr>
          <w:p>
            <w:pPr>
              <w:jc w:val="right"/>
              <w:ind w:right="114"/>
              <w:spacing w:after="0" w:line="149" w:lineRule="exact"/>
              <w:rPr>
                <w:sz w:val="20"/>
                <w:szCs w:val="20"/>
                <w:color w:val="auto"/>
              </w:rPr>
            </w:pPr>
            <w:r>
              <w:rPr>
                <w:rFonts w:ascii="Arial" w:cs="Arial" w:eastAsia="Arial" w:hAnsi="Arial"/>
                <w:sz w:val="14"/>
                <w:szCs w:val="14"/>
                <w:color w:val="auto"/>
              </w:rPr>
              <w:t>200,000</w:t>
            </w:r>
          </w:p>
        </w:tc>
        <w:tc>
          <w:tcPr>
            <w:tcW w:w="13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10.60000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03/08/14</w:t>
            </w:r>
          </w:p>
        </w:tc>
        <w:tc>
          <w:tcPr>
            <w:tcW w:w="1220" w:type="dxa"/>
            <w:vAlign w:val="bottom"/>
            <w:gridSpan w:val="2"/>
            <w:shd w:val="clear" w:color="auto" w:fill="EAF9E8"/>
          </w:tcPr>
          <w:p>
            <w:pPr>
              <w:jc w:val="right"/>
              <w:ind w:right="32"/>
              <w:spacing w:after="0" w:line="149" w:lineRule="exact"/>
              <w:rPr>
                <w:sz w:val="20"/>
                <w:szCs w:val="20"/>
                <w:color w:val="auto"/>
              </w:rPr>
            </w:pPr>
            <w:r>
              <w:rPr>
                <w:rFonts w:ascii="Arial" w:cs="Arial" w:eastAsia="Arial" w:hAnsi="Arial"/>
                <w:sz w:val="11"/>
                <w:szCs w:val="11"/>
                <w:color w:val="auto"/>
              </w:rPr>
              <w:t>1,173</w:t>
            </w:r>
            <w:r>
              <w:rPr>
                <w:rFonts w:ascii="Arial" w:cs="Arial" w:eastAsia="Arial" w:hAnsi="Arial"/>
                <w:sz w:val="17"/>
                <w:szCs w:val="17"/>
                <w:color w:val="auto"/>
                <w:vertAlign w:val="superscript"/>
              </w:rPr>
              <w:t>(3)</w:t>
            </w:r>
          </w:p>
        </w:tc>
        <w:tc>
          <w:tcPr>
            <w:tcW w:w="1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6,498</w:t>
            </w:r>
          </w:p>
        </w:tc>
        <w:tc>
          <w:tcPr>
            <w:tcW w:w="96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1,173</w:t>
            </w:r>
          </w:p>
        </w:tc>
        <w:tc>
          <w:tcPr>
            <w:tcW w:w="160" w:type="dxa"/>
            <w:vAlign w:val="bottom"/>
            <w:shd w:val="clear" w:color="auto" w:fill="EAF9E8"/>
          </w:tcPr>
          <w:p>
            <w:pPr>
              <w:ind w:left="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6,498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40,810</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8.04000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01/31/15</w:t>
            </w:r>
          </w:p>
        </w:tc>
        <w:tc>
          <w:tcPr>
            <w:tcW w:w="1220" w:type="dxa"/>
            <w:vAlign w:val="bottom"/>
            <w:gridSpan w:val="2"/>
          </w:tcPr>
          <w:p>
            <w:pPr>
              <w:jc w:val="right"/>
              <w:ind w:right="32"/>
              <w:spacing w:after="0" w:line="149" w:lineRule="exact"/>
              <w:rPr>
                <w:sz w:val="20"/>
                <w:szCs w:val="20"/>
                <w:color w:val="auto"/>
              </w:rPr>
            </w:pPr>
            <w:r>
              <w:rPr>
                <w:rFonts w:ascii="Arial" w:cs="Arial" w:eastAsia="Arial" w:hAnsi="Arial"/>
                <w:sz w:val="11"/>
                <w:szCs w:val="11"/>
                <w:color w:val="auto"/>
              </w:rPr>
              <w:t>4,419</w:t>
            </w:r>
            <w:r>
              <w:rPr>
                <w:rFonts w:ascii="Arial" w:cs="Arial" w:eastAsia="Arial" w:hAnsi="Arial"/>
                <w:sz w:val="17"/>
                <w:szCs w:val="17"/>
                <w:color w:val="auto"/>
                <w:vertAlign w:val="superscript"/>
              </w:rPr>
              <w:t>(5)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24,481</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4,419</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24,481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4"/>
              <w:spacing w:after="0" w:line="149" w:lineRule="exact"/>
              <w:rPr>
                <w:sz w:val="20"/>
                <w:szCs w:val="20"/>
                <w:color w:val="auto"/>
              </w:rPr>
            </w:pPr>
            <w:r>
              <w:rPr>
                <w:rFonts w:ascii="Arial" w:cs="Arial" w:eastAsia="Arial" w:hAnsi="Arial"/>
                <w:sz w:val="14"/>
                <w:szCs w:val="14"/>
                <w:color w:val="auto"/>
              </w:rPr>
              <w:t>11,736</w:t>
            </w:r>
          </w:p>
        </w:tc>
        <w:tc>
          <w:tcPr>
            <w:tcW w:w="13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9.64000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01/31/16</w:t>
            </w:r>
          </w:p>
        </w:tc>
        <w:tc>
          <w:tcPr>
            <w:tcW w:w="1220" w:type="dxa"/>
            <w:vAlign w:val="bottom"/>
            <w:gridSpan w:val="2"/>
            <w:shd w:val="clear" w:color="auto" w:fill="EAF9E8"/>
          </w:tcPr>
          <w:p>
            <w:pPr>
              <w:jc w:val="right"/>
              <w:ind w:right="32"/>
              <w:spacing w:after="0" w:line="149" w:lineRule="exact"/>
              <w:rPr>
                <w:sz w:val="20"/>
                <w:szCs w:val="20"/>
                <w:color w:val="auto"/>
              </w:rPr>
            </w:pPr>
            <w:r>
              <w:rPr>
                <w:rFonts w:ascii="Arial" w:cs="Arial" w:eastAsia="Arial" w:hAnsi="Arial"/>
                <w:sz w:val="11"/>
                <w:szCs w:val="11"/>
                <w:color w:val="auto"/>
              </w:rPr>
              <w:t>5,077</w:t>
            </w:r>
            <w:r>
              <w:rPr>
                <w:rFonts w:ascii="Arial" w:cs="Arial" w:eastAsia="Arial" w:hAnsi="Arial"/>
                <w:sz w:val="17"/>
                <w:szCs w:val="17"/>
                <w:color w:val="auto"/>
                <w:vertAlign w:val="superscript"/>
              </w:rPr>
              <w:t>(7)</w:t>
            </w:r>
          </w:p>
        </w:tc>
        <w:tc>
          <w:tcPr>
            <w:tcW w:w="1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28,127</w:t>
            </w:r>
          </w:p>
        </w:tc>
        <w:tc>
          <w:tcPr>
            <w:tcW w:w="96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5,077</w:t>
            </w:r>
          </w:p>
        </w:tc>
        <w:tc>
          <w:tcPr>
            <w:tcW w:w="160" w:type="dxa"/>
            <w:vAlign w:val="bottom"/>
            <w:shd w:val="clear" w:color="auto" w:fill="EAF9E8"/>
          </w:tcPr>
          <w:p>
            <w:pPr>
              <w:ind w:left="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28,127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jc w:val="right"/>
              <w:ind w:right="114"/>
              <w:spacing w:after="0"/>
              <w:rPr>
                <w:sz w:val="20"/>
                <w:szCs w:val="20"/>
                <w:color w:val="auto"/>
              </w:rPr>
            </w:pPr>
            <w:r>
              <w:rPr>
                <w:rFonts w:ascii="Arial" w:cs="Arial" w:eastAsia="Arial" w:hAnsi="Arial"/>
                <w:sz w:val="14"/>
                <w:szCs w:val="14"/>
                <w:color w:val="auto"/>
              </w:rPr>
              <w:t>32,296</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11.88000</w:t>
            </w:r>
          </w:p>
        </w:tc>
        <w:tc>
          <w:tcPr>
            <w:tcW w:w="1060" w:type="dxa"/>
            <w:vAlign w:val="bottom"/>
          </w:tcPr>
          <w:p>
            <w:pPr>
              <w:jc w:val="right"/>
              <w:spacing w:after="0"/>
              <w:rPr>
                <w:sz w:val="20"/>
                <w:szCs w:val="20"/>
                <w:color w:val="auto"/>
              </w:rPr>
            </w:pPr>
            <w:r>
              <w:rPr>
                <w:rFonts w:ascii="Arial" w:cs="Arial" w:eastAsia="Arial" w:hAnsi="Arial"/>
                <w:sz w:val="14"/>
                <w:szCs w:val="14"/>
                <w:color w:val="auto"/>
              </w:rPr>
              <w:t>01/31/17</w:t>
            </w:r>
          </w:p>
        </w:tc>
        <w:tc>
          <w:tcPr>
            <w:tcW w:w="200" w:type="dxa"/>
            <w:vAlign w:val="bottom"/>
          </w:tcPr>
          <w:p>
            <w:pPr>
              <w:spacing w:after="0"/>
              <w:rPr>
                <w:sz w:val="14"/>
                <w:szCs w:val="14"/>
                <w:color w:val="auto"/>
              </w:rPr>
            </w:pPr>
          </w:p>
        </w:tc>
        <w:tc>
          <w:tcPr>
            <w:tcW w:w="102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1500" w:type="dxa"/>
            <w:vAlign w:val="bottom"/>
            <w:gridSpan w:val="2"/>
          </w:tcPr>
          <w:p>
            <w:pPr>
              <w:spacing w:after="0"/>
              <w:rPr>
                <w:sz w:val="7"/>
                <w:szCs w:val="7"/>
                <w:color w:val="auto"/>
              </w:rPr>
            </w:pPr>
          </w:p>
        </w:tc>
        <w:tc>
          <w:tcPr>
            <w:tcW w:w="1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William B. Shepro</w:t>
            </w:r>
          </w:p>
        </w:tc>
        <w:tc>
          <w:tcPr>
            <w:tcW w:w="1340" w:type="dxa"/>
            <w:vAlign w:val="bottom"/>
            <w:shd w:val="clear" w:color="auto" w:fill="EAF9E8"/>
          </w:tcPr>
          <w:p>
            <w:pPr>
              <w:jc w:val="right"/>
              <w:ind w:right="114"/>
              <w:spacing w:after="0" w:line="149" w:lineRule="exact"/>
              <w:rPr>
                <w:sz w:val="20"/>
                <w:szCs w:val="20"/>
                <w:color w:val="auto"/>
              </w:rPr>
            </w:pPr>
            <w:r>
              <w:rPr>
                <w:rFonts w:ascii="Arial" w:cs="Arial" w:eastAsia="Arial" w:hAnsi="Arial"/>
                <w:sz w:val="14"/>
                <w:szCs w:val="14"/>
                <w:color w:val="auto"/>
              </w:rPr>
              <w:t>2,632</w:t>
            </w:r>
          </w:p>
        </w:tc>
        <w:tc>
          <w:tcPr>
            <w:tcW w:w="13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6.25000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01/31/10</w:t>
            </w:r>
          </w:p>
        </w:tc>
        <w:tc>
          <w:tcPr>
            <w:tcW w:w="1220" w:type="dxa"/>
            <w:vAlign w:val="bottom"/>
            <w:gridSpan w:val="2"/>
            <w:shd w:val="clear" w:color="auto" w:fill="EAF9E8"/>
          </w:tcPr>
          <w:p>
            <w:pPr>
              <w:jc w:val="right"/>
              <w:ind w:right="32"/>
              <w:spacing w:after="0" w:line="149" w:lineRule="exact"/>
              <w:rPr>
                <w:sz w:val="20"/>
                <w:szCs w:val="20"/>
                <w:color w:val="auto"/>
              </w:rPr>
            </w:pPr>
            <w:r>
              <w:rPr>
                <w:rFonts w:ascii="Arial" w:cs="Arial" w:eastAsia="Arial" w:hAnsi="Arial"/>
                <w:sz w:val="11"/>
                <w:szCs w:val="11"/>
                <w:color w:val="auto"/>
              </w:rPr>
              <w:t>3,964</w:t>
            </w:r>
            <w:r>
              <w:rPr>
                <w:rFonts w:ascii="Arial" w:cs="Arial" w:eastAsia="Arial" w:hAnsi="Arial"/>
                <w:sz w:val="17"/>
                <w:szCs w:val="17"/>
                <w:color w:val="auto"/>
                <w:vertAlign w:val="superscript"/>
              </w:rPr>
              <w:t>(3)</w:t>
            </w:r>
          </w:p>
        </w:tc>
        <w:tc>
          <w:tcPr>
            <w:tcW w:w="1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21,961</w:t>
            </w:r>
          </w:p>
        </w:tc>
        <w:tc>
          <w:tcPr>
            <w:tcW w:w="96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3,964</w:t>
            </w:r>
          </w:p>
        </w:tc>
        <w:tc>
          <w:tcPr>
            <w:tcW w:w="160" w:type="dxa"/>
            <w:vAlign w:val="bottom"/>
            <w:shd w:val="clear" w:color="auto" w:fill="EAF9E8"/>
          </w:tcPr>
          <w:p>
            <w:pPr>
              <w:ind w:left="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21,961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24,309</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4.08625</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01/31/11</w:t>
            </w:r>
          </w:p>
        </w:tc>
        <w:tc>
          <w:tcPr>
            <w:tcW w:w="1220" w:type="dxa"/>
            <w:vAlign w:val="bottom"/>
            <w:gridSpan w:val="2"/>
          </w:tcPr>
          <w:p>
            <w:pPr>
              <w:jc w:val="right"/>
              <w:ind w:right="32"/>
              <w:spacing w:after="0" w:line="149" w:lineRule="exact"/>
              <w:rPr>
                <w:sz w:val="20"/>
                <w:szCs w:val="20"/>
                <w:color w:val="auto"/>
              </w:rPr>
            </w:pPr>
            <w:r>
              <w:rPr>
                <w:rFonts w:ascii="Arial" w:cs="Arial" w:eastAsia="Arial" w:hAnsi="Arial"/>
                <w:sz w:val="11"/>
                <w:szCs w:val="11"/>
                <w:color w:val="auto"/>
              </w:rPr>
              <w:t>3,882</w:t>
            </w:r>
            <w:r>
              <w:rPr>
                <w:rFonts w:ascii="Arial" w:cs="Arial" w:eastAsia="Arial" w:hAnsi="Arial"/>
                <w:sz w:val="17"/>
                <w:szCs w:val="17"/>
                <w:color w:val="auto"/>
                <w:vertAlign w:val="superscript"/>
              </w:rPr>
              <w:t>(5)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21,512</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3,882</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21,512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4"/>
              <w:spacing w:after="0" w:line="149" w:lineRule="exact"/>
              <w:rPr>
                <w:sz w:val="20"/>
                <w:szCs w:val="20"/>
                <w:color w:val="auto"/>
              </w:rPr>
            </w:pPr>
            <w:r>
              <w:rPr>
                <w:rFonts w:ascii="Arial" w:cs="Arial" w:eastAsia="Arial" w:hAnsi="Arial"/>
                <w:sz w:val="14"/>
                <w:szCs w:val="14"/>
                <w:color w:val="auto"/>
              </w:rPr>
              <w:t>9,827</w:t>
            </w:r>
          </w:p>
        </w:tc>
        <w:tc>
          <w:tcPr>
            <w:tcW w:w="13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7.40000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01/31/11</w:t>
            </w:r>
          </w:p>
        </w:tc>
        <w:tc>
          <w:tcPr>
            <w:tcW w:w="1220" w:type="dxa"/>
            <w:vAlign w:val="bottom"/>
            <w:gridSpan w:val="2"/>
            <w:shd w:val="clear" w:color="auto" w:fill="EAF9E8"/>
          </w:tcPr>
          <w:p>
            <w:pPr>
              <w:jc w:val="right"/>
              <w:ind w:right="32"/>
              <w:spacing w:after="0" w:line="149" w:lineRule="exact"/>
              <w:rPr>
                <w:sz w:val="20"/>
                <w:szCs w:val="20"/>
                <w:color w:val="auto"/>
              </w:rPr>
            </w:pPr>
            <w:r>
              <w:rPr>
                <w:rFonts w:ascii="Arial" w:cs="Arial" w:eastAsia="Arial" w:hAnsi="Arial"/>
                <w:sz w:val="11"/>
                <w:szCs w:val="11"/>
                <w:color w:val="auto"/>
              </w:rPr>
              <w:t>18,933</w:t>
            </w:r>
            <w:r>
              <w:rPr>
                <w:rFonts w:ascii="Arial" w:cs="Arial" w:eastAsia="Arial" w:hAnsi="Arial"/>
                <w:sz w:val="17"/>
                <w:szCs w:val="17"/>
                <w:color w:val="auto"/>
                <w:vertAlign w:val="superscript"/>
              </w:rPr>
              <w:t>(7)</w:t>
            </w:r>
          </w:p>
        </w:tc>
        <w:tc>
          <w:tcPr>
            <w:tcW w:w="1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104,889</w:t>
            </w:r>
          </w:p>
        </w:tc>
        <w:tc>
          <w:tcPr>
            <w:tcW w:w="96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18,933</w:t>
            </w:r>
          </w:p>
        </w:tc>
        <w:tc>
          <w:tcPr>
            <w:tcW w:w="160" w:type="dxa"/>
            <w:vAlign w:val="bottom"/>
            <w:shd w:val="clear" w:color="auto" w:fill="EAF9E8"/>
          </w:tcPr>
          <w:p>
            <w:pPr>
              <w:ind w:left="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104,889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1"/>
                <w:szCs w:val="11"/>
                <w:color w:val="auto"/>
              </w:rPr>
              <w:t>40,000</w:t>
            </w:r>
            <w:r>
              <w:rPr>
                <w:rFonts w:ascii="Arial" w:cs="Arial" w:eastAsia="Arial" w:hAnsi="Arial"/>
                <w:sz w:val="17"/>
                <w:szCs w:val="17"/>
                <w:color w:val="auto"/>
                <w:vertAlign w:val="superscript"/>
              </w:rPr>
              <w:t>(8)</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12.55000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10/31/11</w:t>
            </w:r>
          </w:p>
        </w:tc>
        <w:tc>
          <w:tcPr>
            <w:tcW w:w="200" w:type="dxa"/>
            <w:vAlign w:val="bottom"/>
          </w:tcPr>
          <w:p>
            <w:pPr>
              <w:spacing w:after="0"/>
              <w:rPr>
                <w:sz w:val="12"/>
                <w:szCs w:val="12"/>
                <w:color w:val="auto"/>
              </w:rPr>
            </w:pP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4"/>
              <w:spacing w:after="0" w:line="149" w:lineRule="exact"/>
              <w:rPr>
                <w:sz w:val="20"/>
                <w:szCs w:val="20"/>
                <w:color w:val="auto"/>
              </w:rPr>
            </w:pPr>
            <w:r>
              <w:rPr>
                <w:rFonts w:ascii="Arial" w:cs="Arial" w:eastAsia="Arial" w:hAnsi="Arial"/>
                <w:sz w:val="14"/>
                <w:szCs w:val="14"/>
                <w:color w:val="auto"/>
              </w:rPr>
              <w:t>14,596</w:t>
            </w:r>
          </w:p>
        </w:tc>
        <w:tc>
          <w:tcPr>
            <w:tcW w:w="13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5.78900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01/31/12</w:t>
            </w:r>
          </w:p>
        </w:tc>
        <w:tc>
          <w:tcPr>
            <w:tcW w:w="200" w:type="dxa"/>
            <w:vAlign w:val="bottom"/>
            <w:shd w:val="clear" w:color="auto" w:fill="EAF9E8"/>
          </w:tcPr>
          <w:p>
            <w:pPr>
              <w:spacing w:after="0"/>
              <w:rPr>
                <w:sz w:val="12"/>
                <w:szCs w:val="12"/>
                <w:color w:val="auto"/>
              </w:rPr>
            </w:pPr>
          </w:p>
        </w:tc>
        <w:tc>
          <w:tcPr>
            <w:tcW w:w="102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19,730</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7.00000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01/31/12</w:t>
            </w:r>
          </w:p>
        </w:tc>
        <w:tc>
          <w:tcPr>
            <w:tcW w:w="200" w:type="dxa"/>
            <w:vAlign w:val="bottom"/>
          </w:tcPr>
          <w:p>
            <w:pPr>
              <w:spacing w:after="0"/>
              <w:rPr>
                <w:sz w:val="12"/>
                <w:szCs w:val="12"/>
                <w:color w:val="auto"/>
              </w:rPr>
            </w:pP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4"/>
              <w:spacing w:after="0" w:line="149" w:lineRule="exact"/>
              <w:rPr>
                <w:sz w:val="20"/>
                <w:szCs w:val="20"/>
                <w:color w:val="auto"/>
              </w:rPr>
            </w:pPr>
            <w:r>
              <w:rPr>
                <w:rFonts w:ascii="Arial" w:cs="Arial" w:eastAsia="Arial" w:hAnsi="Arial"/>
                <w:sz w:val="14"/>
                <w:szCs w:val="14"/>
                <w:color w:val="auto"/>
              </w:rPr>
              <w:t>2,035</w:t>
            </w:r>
          </w:p>
        </w:tc>
        <w:tc>
          <w:tcPr>
            <w:tcW w:w="13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1.87000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01/31/13</w:t>
            </w:r>
          </w:p>
        </w:tc>
        <w:tc>
          <w:tcPr>
            <w:tcW w:w="200" w:type="dxa"/>
            <w:vAlign w:val="bottom"/>
            <w:shd w:val="clear" w:color="auto" w:fill="EAF9E8"/>
          </w:tcPr>
          <w:p>
            <w:pPr>
              <w:spacing w:after="0"/>
              <w:rPr>
                <w:sz w:val="12"/>
                <w:szCs w:val="12"/>
                <w:color w:val="auto"/>
              </w:rPr>
            </w:pPr>
          </w:p>
        </w:tc>
        <w:tc>
          <w:tcPr>
            <w:tcW w:w="102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21,053</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2.81000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01/31/13</w:t>
            </w:r>
          </w:p>
        </w:tc>
        <w:tc>
          <w:tcPr>
            <w:tcW w:w="200" w:type="dxa"/>
            <w:vAlign w:val="bottom"/>
          </w:tcPr>
          <w:p>
            <w:pPr>
              <w:spacing w:after="0"/>
              <w:rPr>
                <w:sz w:val="12"/>
                <w:szCs w:val="12"/>
                <w:color w:val="auto"/>
              </w:rPr>
            </w:pP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4"/>
              <w:spacing w:after="0" w:line="149" w:lineRule="exact"/>
              <w:rPr>
                <w:sz w:val="20"/>
                <w:szCs w:val="20"/>
                <w:color w:val="auto"/>
              </w:rPr>
            </w:pPr>
            <w:r>
              <w:rPr>
                <w:rFonts w:ascii="Arial" w:cs="Arial" w:eastAsia="Arial" w:hAnsi="Arial"/>
                <w:sz w:val="14"/>
                <w:szCs w:val="14"/>
                <w:color w:val="auto"/>
              </w:rPr>
              <w:t>5,977</w:t>
            </w:r>
          </w:p>
        </w:tc>
        <w:tc>
          <w:tcPr>
            <w:tcW w:w="13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6.18000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01/31/14</w:t>
            </w:r>
          </w:p>
        </w:tc>
        <w:tc>
          <w:tcPr>
            <w:tcW w:w="200" w:type="dxa"/>
            <w:vAlign w:val="bottom"/>
            <w:shd w:val="clear" w:color="auto" w:fill="EAF9E8"/>
          </w:tcPr>
          <w:p>
            <w:pPr>
              <w:spacing w:after="0"/>
              <w:rPr>
                <w:sz w:val="12"/>
                <w:szCs w:val="12"/>
                <w:color w:val="auto"/>
              </w:rPr>
            </w:pPr>
          </w:p>
        </w:tc>
        <w:tc>
          <w:tcPr>
            <w:tcW w:w="102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17,931</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5,975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5,975</w:t>
            </w:r>
          </w:p>
        </w:tc>
        <w:tc>
          <w:tcPr>
            <w:tcW w:w="2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10.73000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01/31/14</w:t>
            </w:r>
          </w:p>
        </w:tc>
        <w:tc>
          <w:tcPr>
            <w:tcW w:w="200" w:type="dxa"/>
            <w:vAlign w:val="bottom"/>
          </w:tcPr>
          <w:p>
            <w:pPr>
              <w:spacing w:after="0"/>
              <w:rPr>
                <w:sz w:val="12"/>
                <w:szCs w:val="12"/>
                <w:color w:val="auto"/>
              </w:rPr>
            </w:pP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ind w:right="114"/>
              <w:spacing w:after="0" w:line="149" w:lineRule="exact"/>
              <w:rPr>
                <w:sz w:val="20"/>
                <w:szCs w:val="20"/>
                <w:color w:val="auto"/>
              </w:rPr>
            </w:pPr>
            <w:r>
              <w:rPr>
                <w:rFonts w:ascii="Arial" w:cs="Arial" w:eastAsia="Arial" w:hAnsi="Arial"/>
                <w:sz w:val="14"/>
                <w:szCs w:val="14"/>
                <w:color w:val="auto"/>
              </w:rPr>
              <w:t>21,693</w:t>
            </w:r>
          </w:p>
        </w:tc>
        <w:tc>
          <w:tcPr>
            <w:tcW w:w="13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14,459</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14,459</w:t>
            </w:r>
          </w:p>
        </w:tc>
        <w:tc>
          <w:tcPr>
            <w:tcW w:w="2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8.04000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01/31/15</w:t>
            </w:r>
          </w:p>
        </w:tc>
        <w:tc>
          <w:tcPr>
            <w:tcW w:w="200" w:type="dxa"/>
            <w:vAlign w:val="bottom"/>
            <w:shd w:val="clear" w:color="auto" w:fill="EAF9E8"/>
          </w:tcPr>
          <w:p>
            <w:pPr>
              <w:spacing w:after="0"/>
              <w:rPr>
                <w:sz w:val="12"/>
                <w:szCs w:val="12"/>
                <w:color w:val="auto"/>
              </w:rPr>
            </w:pPr>
          </w:p>
        </w:tc>
        <w:tc>
          <w:tcPr>
            <w:tcW w:w="102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15,873</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23,814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23,814</w:t>
            </w:r>
          </w:p>
        </w:tc>
        <w:tc>
          <w:tcPr>
            <w:tcW w:w="2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9.64000</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01/31/16</w:t>
            </w:r>
          </w:p>
        </w:tc>
        <w:tc>
          <w:tcPr>
            <w:tcW w:w="200" w:type="dxa"/>
            <w:vAlign w:val="bottom"/>
          </w:tcPr>
          <w:p>
            <w:pPr>
              <w:spacing w:after="0"/>
              <w:rPr>
                <w:sz w:val="12"/>
                <w:szCs w:val="12"/>
                <w:color w:val="auto"/>
              </w:rPr>
            </w:pP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EAF9E8"/>
          </w:tcPr>
          <w:p>
            <w:pPr>
              <w:spacing w:after="0"/>
              <w:rPr>
                <w:sz w:val="12"/>
                <w:szCs w:val="12"/>
                <w:color w:val="auto"/>
              </w:rPr>
            </w:pPr>
          </w:p>
        </w:tc>
        <w:tc>
          <w:tcPr>
            <w:tcW w:w="1340" w:type="dxa"/>
            <w:vAlign w:val="bottom"/>
            <w:shd w:val="clear" w:color="auto" w:fill="EAF9E8"/>
          </w:tcPr>
          <w:p>
            <w:pPr>
              <w:jc w:val="right"/>
              <w:spacing w:after="0" w:line="149" w:lineRule="exact"/>
              <w:rPr>
                <w:sz w:val="20"/>
                <w:szCs w:val="20"/>
                <w:color w:val="auto"/>
              </w:rPr>
            </w:pPr>
            <w:r>
              <w:rPr>
                <w:rFonts w:ascii="Arial" w:cs="Arial" w:eastAsia="Arial" w:hAnsi="Arial"/>
                <w:sz w:val="11"/>
                <w:szCs w:val="11"/>
                <w:color w:val="auto"/>
              </w:rPr>
              <w:t>11,350</w:t>
            </w:r>
            <w:r>
              <w:rPr>
                <w:rFonts w:ascii="Arial" w:cs="Arial" w:eastAsia="Arial" w:hAnsi="Arial"/>
                <w:sz w:val="17"/>
                <w:szCs w:val="17"/>
                <w:color w:val="auto"/>
                <w:vertAlign w:val="superscript"/>
              </w:rPr>
              <w:t>(7)</w:t>
            </w:r>
          </w:p>
        </w:tc>
        <w:tc>
          <w:tcPr>
            <w:tcW w:w="13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17,026</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17,026</w:t>
            </w:r>
          </w:p>
        </w:tc>
        <w:tc>
          <w:tcPr>
            <w:tcW w:w="2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11.88000</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05/10/17</w:t>
            </w:r>
          </w:p>
        </w:tc>
        <w:tc>
          <w:tcPr>
            <w:tcW w:w="200" w:type="dxa"/>
            <w:vAlign w:val="bottom"/>
            <w:shd w:val="clear" w:color="auto" w:fill="EAF9E8"/>
          </w:tcPr>
          <w:p>
            <w:pPr>
              <w:spacing w:after="0"/>
              <w:rPr>
                <w:sz w:val="12"/>
                <w:szCs w:val="12"/>
                <w:color w:val="auto"/>
              </w:rPr>
            </w:pPr>
          </w:p>
        </w:tc>
        <w:tc>
          <w:tcPr>
            <w:tcW w:w="1020" w:type="dxa"/>
            <w:vAlign w:val="bottom"/>
            <w:shd w:val="clear" w:color="auto" w:fill="EAF9E8"/>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2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80" w:right="60" w:hanging="572"/>
        <w:spacing w:after="0" w:line="268"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otherwise noted, the options vest in five equal increments on January 31 of each year with the initial vesting at the time of grant as provided in the option agreements associated with these grants.</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Vested on January 31, 1999 and expired on January 31, 2008.</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Vested on January 31, 2008.</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Vested in three equal increments commencing on January 31 of the year following the date of grant.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Vests in two equal installments on 1/31/08 and 1/31/09.</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granted to replace value lost as a result of replacement of discounted stock options to comply with Section 409A of the Internal Revenue Code.</w:t>
      </w:r>
    </w:p>
    <w:p>
      <w:pPr>
        <w:spacing w:after="0" w:line="180" w:lineRule="exact"/>
        <w:rPr>
          <w:rFonts w:ascii="Arial" w:cs="Arial" w:eastAsia="Arial" w:hAnsi="Arial"/>
          <w:sz w:val="16"/>
          <w:szCs w:val="16"/>
          <w:color w:val="auto"/>
        </w:rPr>
      </w:pPr>
    </w:p>
    <w:p>
      <w:pPr>
        <w:ind w:left="580" w:right="240" w:hanging="572"/>
        <w:spacing w:after="0" w:line="268"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Vests in five equal increments on December 31 of each year with the initial vesting at the time of grant as provided in the option agreements associated with these grants.</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Vested on October 31, 2004.</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2007 for the individuals named in the 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020" w:type="dxa"/>
            <w:vAlign w:val="bottom"/>
            <w:gridSpan w:val="2"/>
          </w:tcPr>
          <w:p>
            <w:pPr>
              <w:ind w:left="820"/>
              <w:spacing w:after="0"/>
              <w:rPr>
                <w:sz w:val="20"/>
                <w:szCs w:val="20"/>
                <w:color w:val="auto"/>
              </w:rPr>
            </w:pPr>
            <w:r>
              <w:rPr>
                <w:rFonts w:ascii="Arial" w:cs="Arial" w:eastAsia="Arial" w:hAnsi="Arial"/>
                <w:sz w:val="18"/>
                <w:szCs w:val="18"/>
                <w:b w:val="1"/>
                <w:bCs w:val="1"/>
                <w:color w:val="auto"/>
              </w:rPr>
              <w:t>Option Awards</w:t>
            </w:r>
          </w:p>
        </w:tc>
        <w:tc>
          <w:tcPr>
            <w:tcW w:w="3060" w:type="dxa"/>
            <w:vAlign w:val="bottom"/>
            <w:gridSpan w:val="3"/>
          </w:tcPr>
          <w:p>
            <w:pPr>
              <w:jc w:val="right"/>
              <w:ind w:right="892"/>
              <w:spacing w:after="0"/>
              <w:rPr>
                <w:sz w:val="20"/>
                <w:szCs w:val="20"/>
                <w:color w:val="auto"/>
              </w:rPr>
            </w:pPr>
            <w:r>
              <w:rPr>
                <w:rFonts w:ascii="Arial" w:cs="Arial" w:eastAsia="Arial" w:hAnsi="Arial"/>
                <w:sz w:val="18"/>
                <w:szCs w:val="18"/>
                <w:b w:val="1"/>
                <w:bCs w:val="1"/>
                <w:color w:val="auto"/>
              </w:rPr>
              <w:t>Stock Awards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7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7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w:t>
            </w: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Value Realized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w:t>
            </w:r>
          </w:p>
        </w:tc>
        <w:tc>
          <w:tcPr>
            <w:tcW w:w="38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b w:val="1"/>
                <w:bCs w:val="1"/>
                <w:color w:val="auto"/>
                <w:w w:val="88"/>
              </w:rPr>
              <w:t>Value Realized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on Exercise</w:t>
            </w:r>
          </w:p>
        </w:tc>
        <w:tc>
          <w:tcPr>
            <w:tcW w:w="1700" w:type="dxa"/>
            <w:vAlign w:val="bottom"/>
          </w:tcPr>
          <w:p>
            <w:pPr>
              <w:ind w:left="380"/>
              <w:spacing w:after="0"/>
              <w:rPr>
                <w:sz w:val="20"/>
                <w:szCs w:val="20"/>
                <w:color w:val="auto"/>
              </w:rPr>
            </w:pPr>
            <w:r>
              <w:rPr>
                <w:rFonts w:ascii="Arial" w:cs="Arial" w:eastAsia="Arial" w:hAnsi="Arial"/>
                <w:sz w:val="18"/>
                <w:szCs w:val="18"/>
                <w:b w:val="1"/>
                <w:bCs w:val="1"/>
                <w:color w:val="auto"/>
              </w:rPr>
              <w:t>on Exercise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4"/>
              </w:rPr>
              <w:t>on Vesting</w:t>
            </w:r>
          </w:p>
        </w:tc>
        <w:tc>
          <w:tcPr>
            <w:tcW w:w="380" w:type="dxa"/>
            <w:vAlign w:val="bottom"/>
          </w:tcPr>
          <w:p>
            <w:pPr>
              <w:spacing w:after="0"/>
              <w:rPr>
                <w:sz w:val="19"/>
                <w:szCs w:val="19"/>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b w:val="1"/>
                <w:bCs w:val="1"/>
                <w:color w:val="auto"/>
              </w:rPr>
              <w:t>on Vesting</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auto"/>
            </w:tcBorders>
          </w:tcPr>
          <w:p>
            <w:pPr>
              <w:spacing w:after="0"/>
              <w:rPr>
                <w:sz w:val="9"/>
                <w:szCs w:val="9"/>
                <w:color w:val="auto"/>
              </w:rPr>
            </w:pPr>
          </w:p>
        </w:tc>
        <w:tc>
          <w:tcPr>
            <w:tcW w:w="52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320" w:type="dxa"/>
            <w:vAlign w:val="bottom"/>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EAF9E8"/>
          </w:tcPr>
          <w:p>
            <w:pPr>
              <w:ind w:left="7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18,800</w:t>
            </w:r>
          </w:p>
        </w:tc>
        <w:tc>
          <w:tcPr>
            <w:tcW w:w="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247,874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Ronald M. Faris</w:t>
            </w:r>
          </w:p>
        </w:tc>
        <w:tc>
          <w:tcPr>
            <w:tcW w:w="1320" w:type="dxa"/>
            <w:vAlign w:val="bottom"/>
          </w:tcPr>
          <w:p>
            <w:pPr>
              <w:ind w:left="600"/>
              <w:spacing w:after="0"/>
              <w:rPr>
                <w:sz w:val="20"/>
                <w:szCs w:val="20"/>
                <w:color w:val="auto"/>
              </w:rPr>
            </w:pPr>
            <w:r>
              <w:rPr>
                <w:rFonts w:ascii="Arial" w:cs="Arial" w:eastAsia="Arial" w:hAnsi="Arial"/>
                <w:sz w:val="18"/>
                <w:szCs w:val="18"/>
                <w:color w:val="auto"/>
              </w:rPr>
              <w:t>—</w:t>
            </w:r>
          </w:p>
        </w:tc>
        <w:tc>
          <w:tcPr>
            <w:tcW w:w="1700" w:type="dxa"/>
            <w:vAlign w:val="bottom"/>
          </w:tcPr>
          <w:p>
            <w:pPr>
              <w:ind w:left="7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15,583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205,511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David J. Gunter</w:t>
            </w:r>
          </w:p>
        </w:tc>
        <w:tc>
          <w:tcPr>
            <w:tcW w:w="1320" w:type="dxa"/>
            <w:vAlign w:val="bottom"/>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EAF9E8"/>
          </w:tcPr>
          <w:p>
            <w:pPr>
              <w:ind w:left="7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1,154</w:t>
            </w:r>
          </w:p>
        </w:tc>
        <w:tc>
          <w:tcPr>
            <w:tcW w:w="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13,710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Paul A. Koches</w:t>
            </w:r>
          </w:p>
        </w:tc>
        <w:tc>
          <w:tcPr>
            <w:tcW w:w="1320" w:type="dxa"/>
            <w:vAlign w:val="bottom"/>
          </w:tcPr>
          <w:p>
            <w:pPr>
              <w:ind w:left="600"/>
              <w:spacing w:after="0"/>
              <w:rPr>
                <w:sz w:val="20"/>
                <w:szCs w:val="20"/>
                <w:color w:val="auto"/>
              </w:rPr>
            </w:pPr>
            <w:r>
              <w:rPr>
                <w:rFonts w:ascii="Arial" w:cs="Arial" w:eastAsia="Arial" w:hAnsi="Arial"/>
                <w:sz w:val="18"/>
                <w:szCs w:val="18"/>
                <w:color w:val="auto"/>
              </w:rPr>
              <w:t>—</w:t>
            </w:r>
          </w:p>
        </w:tc>
        <w:tc>
          <w:tcPr>
            <w:tcW w:w="1700" w:type="dxa"/>
            <w:vAlign w:val="bottom"/>
          </w:tcPr>
          <w:p>
            <w:pPr>
              <w:ind w:left="7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W. Michael Linn</w:t>
            </w:r>
          </w:p>
        </w:tc>
        <w:tc>
          <w:tcPr>
            <w:tcW w:w="1320" w:type="dxa"/>
            <w:vAlign w:val="bottom"/>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EAF9E8"/>
          </w:tcPr>
          <w:p>
            <w:pPr>
              <w:ind w:left="7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F9E8"/>
          </w:tcPr>
          <w:p>
            <w:pPr>
              <w:jc w:val="right"/>
              <w:ind w:right="312"/>
              <w:spacing w:after="0"/>
              <w:rPr>
                <w:sz w:val="20"/>
                <w:szCs w:val="20"/>
                <w:color w:val="auto"/>
              </w:rPr>
            </w:pPr>
            <w:r>
              <w:rPr>
                <w:rFonts w:ascii="Arial" w:cs="Arial" w:eastAsia="Arial" w:hAnsi="Arial"/>
                <w:sz w:val="18"/>
                <w:szCs w:val="18"/>
                <w:color w:val="auto"/>
              </w:rPr>
              <w:t>7,468</w:t>
            </w:r>
          </w:p>
        </w:tc>
        <w:tc>
          <w:tcPr>
            <w:tcW w:w="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99,683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William B. Shepro</w:t>
            </w:r>
          </w:p>
        </w:tc>
        <w:tc>
          <w:tcPr>
            <w:tcW w:w="1320" w:type="dxa"/>
            <w:vAlign w:val="bottom"/>
          </w:tcPr>
          <w:p>
            <w:pPr>
              <w:ind w:left="600"/>
              <w:spacing w:after="0"/>
              <w:rPr>
                <w:sz w:val="20"/>
                <w:szCs w:val="20"/>
                <w:color w:val="auto"/>
              </w:rPr>
            </w:pPr>
            <w:r>
              <w:rPr>
                <w:rFonts w:ascii="Arial" w:cs="Arial" w:eastAsia="Arial" w:hAnsi="Arial"/>
                <w:sz w:val="18"/>
                <w:szCs w:val="18"/>
                <w:color w:val="auto"/>
              </w:rPr>
              <w:t>—</w:t>
            </w:r>
          </w:p>
        </w:tc>
        <w:tc>
          <w:tcPr>
            <w:tcW w:w="1700" w:type="dxa"/>
            <w:vAlign w:val="bottom"/>
          </w:tcPr>
          <w:p>
            <w:pPr>
              <w:ind w:left="7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9,524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14 through 25 of this proxy statement with management.</w:t>
      </w:r>
    </w:p>
    <w:p>
      <w:pPr>
        <w:spacing w:after="0" w:line="18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Based on the review and discussion, the Compensation Committee recommends to the Board of Directors that the Compensation Discussion and Analysis be included in Ocwen’s annual report on Form 10-K for the year ended December 31, 2007 and in this proxy statement.</w:t>
      </w:r>
    </w:p>
    <w:p>
      <w:pPr>
        <w:spacing w:after="0" w:line="14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March 6, 2008</w:t>
      </w:r>
      <w:r>
        <w:rPr>
          <w:sz w:val="20"/>
          <w:szCs w:val="20"/>
          <w:color w:val="auto"/>
        </w:rPr>
        <w:tab/>
      </w:r>
      <w:r>
        <w:rPr>
          <w:rFonts w:ascii="Arial" w:cs="Arial" w:eastAsia="Arial" w:hAnsi="Arial"/>
          <w:sz w:val="16"/>
          <w:szCs w:val="16"/>
          <w:color w:val="auto"/>
        </w:rPr>
        <w:t>W. C. Martin, Chairman</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Ronald J. Korn, Director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Barry N. Wish, Director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center"/>
        <w:ind w:left="280" w:right="2680"/>
        <w:spacing w:after="0" w:line="270" w:lineRule="auto"/>
        <w:rPr>
          <w:sz w:val="20"/>
          <w:szCs w:val="20"/>
          <w:color w:val="auto"/>
        </w:rPr>
      </w:pPr>
      <w:r>
        <w:rPr>
          <w:rFonts w:ascii="Arial" w:cs="Arial" w:eastAsia="Arial" w:hAnsi="Arial"/>
          <w:sz w:val="18"/>
          <w:szCs w:val="18"/>
          <w:b w:val="1"/>
          <w:bCs w:val="1"/>
          <w:color w:val="auto"/>
        </w:rPr>
        <w:t xml:space="preserve">RATIFICATION OF APPOINTMENT OF INDEPENDENT REGISTERED CERTIFIED PUBLIC ACCOUNTING FIRM </w:t>
      </w:r>
      <w:r>
        <w:rPr>
          <w:rFonts w:ascii="Arial" w:cs="Arial" w:eastAsia="Arial" w:hAnsi="Arial"/>
          <w:sz w:val="18"/>
          <w:szCs w:val="18"/>
          <w:color w:val="auto"/>
        </w:rPr>
        <w:t>(Proposal Two)</w:t>
      </w:r>
    </w:p>
    <w:p>
      <w:pPr>
        <w:spacing w:after="0" w:line="200" w:lineRule="exact"/>
        <w:rPr>
          <w:sz w:val="20"/>
          <w:szCs w:val="20"/>
          <w:color w:val="auto"/>
        </w:rPr>
      </w:pPr>
    </w:p>
    <w:p>
      <w:pPr>
        <w:spacing w:after="0" w:line="20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Audit Committee of our Board of Directors has appointed PricewaterhouseCoopers LLP, independent registered certified public accountants, to be our independent registered certified public accounting firm for the year ending December 31, 2008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PricewaterhouseCoopers LLP, the Audit Committee may, in its sole discretion, reevaluate the engagement of independent auditors.</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Representatives of PricewaterhouseCoopers LLP will be present at the Annual Meeting, will be given the opportunity to make a statement, if they so desire, and will be available to respond to appropriate questions from you.</w:t>
      </w:r>
    </w:p>
    <w:p>
      <w:pPr>
        <w:spacing w:after="0" w:line="180" w:lineRule="exact"/>
        <w:rPr>
          <w:sz w:val="20"/>
          <w:szCs w:val="20"/>
          <w:color w:val="auto"/>
        </w:rPr>
      </w:pPr>
    </w:p>
    <w:p>
      <w:pPr>
        <w:jc w:val="center"/>
        <w:ind w:left="300" w:right="380"/>
        <w:spacing w:after="0" w:line="339" w:lineRule="auto"/>
        <w:rPr>
          <w:sz w:val="20"/>
          <w:szCs w:val="20"/>
          <w:color w:val="auto"/>
        </w:rPr>
      </w:pPr>
      <w:r>
        <w:rPr>
          <w:rFonts w:ascii="Arial" w:cs="Arial" w:eastAsia="Arial" w:hAnsi="Arial"/>
          <w:sz w:val="16"/>
          <w:szCs w:val="16"/>
          <w:b w:val="1"/>
          <w:bCs w:val="1"/>
          <w:color w:val="auto"/>
        </w:rPr>
        <w:t>OUR BOARD OF DIRECTORS UNANIMOUSLY RECOMMENDS THAT YOU VOTE “FOR” THE APPOINTMENT OF PRICEWATERHOUSECOOPERS LLP AS THE INDEPENDENT REGISTERED CERTIFIED PUBLIC ACCOUNTING FIRM FOR 2008.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39" w:lineRule="exact"/>
        <w:rPr>
          <w:sz w:val="20"/>
          <w:szCs w:val="20"/>
          <w:color w:val="auto"/>
        </w:rPr>
      </w:pPr>
    </w:p>
    <w:p>
      <w:pPr>
        <w:ind w:left="1160" w:hanging="571"/>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Reviewed and discussed with management Ocwen’s audited financial statements as of and for the year ended December 31, 2007;</w:t>
      </w:r>
    </w:p>
    <w:p>
      <w:pPr>
        <w:spacing w:after="0" w:line="180" w:lineRule="exact"/>
        <w:rPr>
          <w:rFonts w:ascii="Arial" w:cs="Arial" w:eastAsia="Arial" w:hAnsi="Arial"/>
          <w:sz w:val="16"/>
          <w:szCs w:val="16"/>
          <w:color w:val="auto"/>
        </w:rPr>
      </w:pPr>
    </w:p>
    <w:p>
      <w:pPr>
        <w:ind w:left="1160" w:right="540" w:hanging="571"/>
        <w:spacing w:after="0" w:line="332" w:lineRule="auto"/>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Discussed with PricewaterhouseCoopers LLP, Ocwen’s independent registered certified public accounting firm, the matters required to be discussed by Statement on Auditing Standards No. 61, “Communication with Audit Committees;” and</w:t>
      </w:r>
    </w:p>
    <w:p>
      <w:pPr>
        <w:spacing w:after="0" w:line="71" w:lineRule="exact"/>
        <w:rPr>
          <w:rFonts w:ascii="Arial" w:cs="Arial" w:eastAsia="Arial" w:hAnsi="Arial"/>
          <w:sz w:val="16"/>
          <w:szCs w:val="16"/>
          <w:color w:val="auto"/>
        </w:rPr>
      </w:pPr>
    </w:p>
    <w:p>
      <w:pPr>
        <w:ind w:left="1160" w:right="20" w:hanging="571"/>
        <w:spacing w:after="0" w:line="259"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from PricewaterhouseCoopers LLP required by the Independence Standards Board’s Independence Standard No. 1, “Independence Discussions with Audit Committees” and discussed with PricewaterhouseCoopers LLP their independence.</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reliance on the review and discussion referred to above, the Committee recommends to the Board of Directors that the audited financial statements be included in Ocwen’s annual report on Form 10-K for the year ended December 31, 2007.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March 11, 2008</w:t>
      </w:r>
      <w:r>
        <w:rPr>
          <w:sz w:val="20"/>
          <w:szCs w:val="20"/>
          <w:color w:val="auto"/>
        </w:rPr>
        <w:tab/>
      </w:r>
      <w:r>
        <w:rPr>
          <w:rFonts w:ascii="Arial" w:cs="Arial" w:eastAsia="Arial" w:hAnsi="Arial"/>
          <w:sz w:val="15"/>
          <w:szCs w:val="15"/>
          <w:color w:val="auto"/>
        </w:rPr>
        <w:t>Ronald J. Korn,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Martha C. Goss, Director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Barry N. Wish, Director</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PricewaterhouseCoopers LLP Fees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to Ocwen for professional services by PricewaterhouseCoopers LLP for fiscal years 2007 and 2006: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330" w:type="dxa"/>
            <w:vAlign w:val="bottom"/>
          </w:tcPr>
          <w:p>
            <w:pPr>
              <w:jc w:val="right"/>
              <w:ind w:right="47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3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3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Audit Fees</w:t>
            </w:r>
          </w:p>
        </w:tc>
        <w:tc>
          <w:tcPr>
            <w:tcW w:w="300" w:type="dxa"/>
            <w:vAlign w:val="bottom"/>
            <w:shd w:val="clear" w:color="auto" w:fill="EAF9E8"/>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2,124,960</w:t>
            </w:r>
          </w:p>
        </w:tc>
        <w:tc>
          <w:tcPr>
            <w:tcW w:w="45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3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2,223,546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Audit Related Fees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142,186</w:t>
            </w:r>
          </w:p>
        </w:tc>
        <w:tc>
          <w:tcPr>
            <w:tcW w:w="3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330" w:type="dxa"/>
            <w:vAlign w:val="bottom"/>
          </w:tcPr>
          <w:p>
            <w:pPr>
              <w:jc w:val="right"/>
              <w:spacing w:after="0"/>
              <w:rPr>
                <w:sz w:val="20"/>
                <w:szCs w:val="20"/>
                <w:color w:val="auto"/>
              </w:rPr>
            </w:pPr>
            <w:r>
              <w:rPr>
                <w:rFonts w:ascii="Arial" w:cs="Arial" w:eastAsia="Arial" w:hAnsi="Arial"/>
                <w:sz w:val="18"/>
                <w:szCs w:val="18"/>
                <w:color w:val="auto"/>
              </w:rPr>
              <w:t>171,066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Tax Fees</w:t>
            </w:r>
          </w:p>
        </w:tc>
        <w:tc>
          <w:tcPr>
            <w:tcW w:w="30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123,600</w:t>
            </w:r>
          </w:p>
        </w:tc>
        <w:tc>
          <w:tcPr>
            <w:tcW w:w="320" w:type="dxa"/>
            <w:vAlign w:val="bottom"/>
            <w:shd w:val="clear" w:color="auto" w:fill="EAF9E8"/>
          </w:tcPr>
          <w:p>
            <w:pPr>
              <w:spacing w:after="0"/>
              <w:rPr>
                <w:sz w:val="18"/>
                <w:szCs w:val="18"/>
                <w:color w:val="auto"/>
              </w:rPr>
            </w:pPr>
          </w:p>
        </w:tc>
        <w:tc>
          <w:tcPr>
            <w:tcW w:w="130" w:type="dxa"/>
            <w:vAlign w:val="bottom"/>
            <w:shd w:val="clear" w:color="auto" w:fill="EAF9E8"/>
          </w:tcPr>
          <w:p>
            <w:pPr>
              <w:spacing w:after="0"/>
              <w:rPr>
                <w:sz w:val="18"/>
                <w:szCs w:val="18"/>
                <w:color w:val="auto"/>
              </w:rPr>
            </w:pPr>
          </w:p>
        </w:tc>
        <w:tc>
          <w:tcPr>
            <w:tcW w:w="13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42,000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All Other Fees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8,130</w:t>
            </w:r>
          </w:p>
        </w:tc>
        <w:tc>
          <w:tcPr>
            <w:tcW w:w="3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330" w:type="dxa"/>
            <w:vAlign w:val="bottom"/>
          </w:tcPr>
          <w:p>
            <w:pPr>
              <w:jc w:val="right"/>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33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3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EAF9E8"/>
          </w:tcPr>
          <w:p>
            <w:pPr>
              <w:ind w:left="14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EAF9E8"/>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2,398,876</w:t>
            </w:r>
          </w:p>
        </w:tc>
        <w:tc>
          <w:tcPr>
            <w:tcW w:w="45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3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2,444,742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33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2007 and 2006, for the reviews of the financial statements included in Ocwen’s quarterly reports on Form 10-Q during fiscal years 2007 and 2006 and for services that are normally provided by the independent registered certified public accounting firm in connection with statutory and regulatory filings or engagements for the relevant fiscal years.</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in each of the last two fiscal years for assurance and related services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public accounting firm for tax compliance, tax planning and tax advice. Of these amounts, $111,200 and $42,000 were related to tax compliance services for 2007 and 2006, respectively.</w:t>
      </w:r>
    </w:p>
    <w:p>
      <w:pPr>
        <w:spacing w:after="0" w:line="194"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b w:val="1"/>
          <w:bCs w:val="1"/>
          <w:i w:val="1"/>
          <w:iCs w:val="1"/>
          <w:color w:val="auto"/>
        </w:rPr>
        <w:t xml:space="preserve">All Other Fees. </w:t>
      </w:r>
      <w:r>
        <w:rPr>
          <w:rFonts w:ascii="Arial" w:cs="Arial" w:eastAsia="Arial" w:hAnsi="Arial"/>
          <w:sz w:val="16"/>
          <w:szCs w:val="16"/>
          <w:color w:val="auto"/>
        </w:rPr>
        <w:t>This category includes the aggregate fees billed in each of the last two fiscal years for products and services provided by the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certified public accounting firm that are not reported above under “Audit Fees,” “Audit-Related Fees” or “Tax Fees.”</w:t>
      </w:r>
    </w:p>
    <w:p>
      <w:pPr>
        <w:spacing w:after="0" w:line="139"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Audit Committee considered the compatibility of the non-audit-related services provided by and fees paid to PricewaterhouseCoopers LLP in 2007 and the proposed services for 2008 and determined that such services and fees are compatible with the independence of PricewaterhouseCoopers LLP.</w:t>
      </w:r>
    </w:p>
    <w:p>
      <w:pPr>
        <w:spacing w:after="0" w:line="13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certified public accounting firm in order to assure that the provision of such services does not impair the auditor’s independence. Unless a type of service to be provided by the independent auditor has received general pre-approval, it will require specific pre-approval by the Audit Committee. In 2007, less than 1% of the fees associated with the independent registered public accounting firm services were not pre-approved by the Audit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Adopted December 11, 2006</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The Board has adopted a policy and procedure for review, approval and monitoring of transactions involving Ocwen and related persons (directors and executive officers or their immediate family members, or shareholders owning five percent or greater of the company’s outstanding stock) within our written Code of Business Conduct and Ethics, which is available at </w:t>
      </w:r>
      <w:r>
        <w:rPr>
          <w:rFonts w:ascii="Arial" w:cs="Arial" w:eastAsia="Arial" w:hAnsi="Arial"/>
          <w:sz w:val="16"/>
          <w:szCs w:val="16"/>
          <w:u w:val="single" w:color="auto"/>
          <w:color w:val="auto"/>
        </w:rPr>
        <w:t>www.ocwen.com</w:t>
      </w:r>
      <w:r>
        <w:rPr>
          <w:rFonts w:ascii="Arial" w:cs="Arial" w:eastAsia="Arial" w:hAnsi="Arial"/>
          <w:sz w:val="16"/>
          <w:szCs w:val="16"/>
          <w:color w:val="auto"/>
        </w:rPr>
        <w:t>. The policy and procedure is not limited to related person transactions that meet the threshold for disclosure under the relevant Securities and Exchange Commission, as it broadly covers any situation in which a conflict of interest may arise.</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the Board if any such situation requires approval of the Board.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Ocwen;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Ocwen. The Committee will periodically monitor any approved transactions to ensure that there are no changed circumstances that would render it advisable for the company to amend or terminate the transaction.</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14, 2008, the Board of Directors received a proposal from a group of investors led by William C. Erbey, Chairman and Chief Executive Officer of the company, Oaktree Capital Management, L.P. and Angelo, Gordon &amp; Co., L.P. to acquire all of the outstanding shares of our common stock for $7.00 per share in cash. The Board of Directors of the company formed a Special Committee of independent directors to consider the proposal. The Special Committee, instead of the Audit Committee, reviewed the factors set forth in the previous paragraph to determine the fairness of this proposed transaction to the company. On March 11, 2008, the company announced that the parties were unable to reach an agreement as to the terms of a definitive agreement regarding the proposal and negotiations were terminated as a result.</w:t>
      </w:r>
    </w:p>
    <w:p>
      <w:pPr>
        <w:spacing w:after="0" w:line="198"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The only related person transaction during the last fiscal year was the execution of a Stock Purchase Agreement between Ocwen and Wishco, Inc. on April 30, 2007. Wishco is a holding company controlled by Barry N. Wish pursuant to his ownership of 93% of Wishco’s common stock. Mr. Wish is the Chairman Emeritus and a Director of Ocwen. Pursuant to the terms of the Stock Purchase Agreement, Ocwen purchased 1,000,000 shares of its common stock owned by Wishco at a price of $14.52 per share. The aggregate purchase price for the shares was paid on April 30, 2007 in accordance with the terms of the Stock Repurchase Agreement. The proposed transaction was brought to the attention of the General Counsel, who consulted with the Chairman of the Board and obtained advice of outside counsel. The Chairman informed the Board of the proposed transaction, which was unanimously ratified by the Board on May 10, 2007 with Mr. Wish abstaining from the vote.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Any proposal which a shareholder desires to have included in our proxy materials relating to our next Annual Meeting of Shareholders, which is scheduled to be held on May 7, 2009, must be received at our executive offices no later than November 1, 2008. All shareholder proposals for the 2009 Annual Meeting should be directed to our Secretary at Ocwen Financial Corporation, 1661 Worthington Road, Suite 100, West Palm Beach, Florida 33409. We recommend that you send any shareholder proposal by certified mail, return-receipt requested.</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For any proposal that is not submitted for inclusion in the 2009 proxy statement, but is instead sought to be presented directly at the 2009 Annual Meeting, Securities and Exchange Commission rules permit management to vote proxies in its discretion if we:</w:t>
      </w:r>
    </w:p>
    <w:p>
      <w:pPr>
        <w:spacing w:after="0" w:line="199" w:lineRule="exact"/>
        <w:rPr>
          <w:sz w:val="20"/>
          <w:szCs w:val="20"/>
          <w:color w:val="auto"/>
        </w:rPr>
      </w:pPr>
    </w:p>
    <w:p>
      <w:pPr>
        <w:ind w:left="580" w:right="20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receive notice of the proposal before the close of business on February 8, 2009 and advise shareholders in the 2009 proxy statement about the nature of the matter and how management intends to vote on such matter; or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 not receive notice of the proposal prior to the close of business on February 8, 2009.</w:t>
      </w:r>
    </w:p>
    <w:p>
      <w:pPr>
        <w:spacing w:after="0" w:line="22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Notice of intent to present a proposal at the 2009 Annual Meeting should be directed to our Secretary at Ocwen Financial Corporation, 1661 Worthington Road, Suite 100, West Palm Beach, Florida 33409.</w:t>
      </w:r>
    </w:p>
    <w:p>
      <w:pPr>
        <w:spacing w:after="0" w:line="18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did not receive notice of any shareholder proposals relating to the 2008 Annual Meeting. At the Annual Meeting, our management may exercise discretionary authority when voting on any properly presented shareholder proposal that is not included as an agenda item in this proxy statement.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REPORTS</w:t>
      </w:r>
    </w:p>
    <w:p>
      <w:pPr>
        <w:spacing w:after="0" w:line="2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2007 was mailed to shareholders of record as of March 10, 2008 on or about March 31, 2008.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will furnish without charge to each person whose proxy is solicited and to each person who represents that as of the record date for the meeting he or she was a beneficial owner of shares entitled to vote at the meeting, on written request, a copy of our annual report on Form 10-K for the year ended December 31, 2007, required to be filed by us with the Securities and Exchange Commission under the Securities Exchange Act of 1934, as amended. Such requests should be directed to Shareholder Relations, Ocwen Financial Corporation, 1661 Worthington Road, Suite 100, West Palm Beach, Florida 33409.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2007 and this proxy statement will be supplied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shares represented by all valid proxies received by phone, by Internet or by mail will be voted in the manner specified. Where specific choices are not indicated by a shareholder, the shares represented by all valid proxies received will be voted: (1) for the nominees for director named earlier in this proxy statement and (2) for the ratification of the selection of the independent auditor. Should any matter not described above be properly presented at the meeting, the persons named in the proxy form will vote in accordance with their judgment.</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or other nominee may only deliver one copy of this proxy statement and our 2007 annual report to multiple shareholders who share an address unless that nominee has received contrary instructions from one or more of the shareholders. Shareholders at an address to which a single copy of this proxy statement and our 2007 annual report was sent, may request a separate copy by contacting Shareholder Relations, Ocwen Financial Corporation, 1661 Worthington Road, Suite 100, West Palm Beach, Florida 33409. Beneficial owners sharing an address who are receiving multiple copies and who wish to receive a single copy of materials in the future will need to contact their broker, bank or other nominee to request that only a single copy of each document be mailed to all shareholders at the shared address.</w:t>
      </w:r>
    </w:p>
    <w:p>
      <w:pPr>
        <w:spacing w:after="0" w:line="17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This proxy statement and our 2007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OCWEN FINANCIAL CORPORATION</w:t>
            </w:r>
          </w:p>
        </w:tc>
        <w:tc>
          <w:tcPr>
            <w:tcW w:w="480" w:type="dxa"/>
            <w:vAlign w:val="bottom"/>
          </w:tcPr>
          <w:p>
            <w:pPr>
              <w:spacing w:after="0"/>
              <w:rPr>
                <w:sz w:val="14"/>
                <w:szCs w:val="14"/>
                <w:color w:val="auto"/>
              </w:rPr>
            </w:pPr>
          </w:p>
        </w:tc>
        <w:tc>
          <w:tcPr>
            <w:tcW w:w="3760" w:type="dxa"/>
            <w:vAlign w:val="bottom"/>
            <w:gridSpan w:val="2"/>
          </w:tcPr>
          <w:p>
            <w:pPr>
              <w:ind w:left="560"/>
              <w:spacing w:after="0"/>
              <w:rPr>
                <w:sz w:val="20"/>
                <w:szCs w:val="20"/>
                <w:color w:val="auto"/>
              </w:rPr>
            </w:pPr>
            <w:r>
              <w:rPr>
                <w:rFonts w:ascii="Arial" w:cs="Arial" w:eastAsia="Arial" w:hAnsi="Arial"/>
                <w:sz w:val="14"/>
                <w:szCs w:val="14"/>
                <w:b w:val="1"/>
                <w:bCs w:val="1"/>
                <w:color w:val="auto"/>
              </w:rPr>
              <w:t>VOTE BY INTERNET - www.proxyvote.com</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6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8320" w:type="dxa"/>
            <w:vAlign w:val="bottom"/>
            <w:gridSpan w:val="7"/>
          </w:tcPr>
          <w:p>
            <w:pPr>
              <w:ind w:left="560"/>
              <w:spacing w:after="0" w:line="147" w:lineRule="exact"/>
              <w:rPr>
                <w:sz w:val="20"/>
                <w:szCs w:val="20"/>
                <w:color w:val="auto"/>
              </w:rPr>
            </w:pPr>
            <w:r>
              <w:rPr>
                <w:rFonts w:ascii="Arial" w:cs="Arial" w:eastAsia="Arial" w:hAnsi="Arial"/>
                <w:sz w:val="14"/>
                <w:szCs w:val="14"/>
                <w:color w:val="auto"/>
                <w:w w:val="89"/>
              </w:rPr>
              <w:t>Use the lnternet to transmit your voting instructions and for electronic delivery of information up until 11:59 P.M. Eastern Time the day before</w:t>
            </w: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1661 WORTHINGTON ROAD</w:t>
            </w:r>
          </w:p>
        </w:tc>
        <w:tc>
          <w:tcPr>
            <w:tcW w:w="480" w:type="dxa"/>
            <w:vAlign w:val="bottom"/>
          </w:tcPr>
          <w:p>
            <w:pPr>
              <w:spacing w:after="0"/>
              <w:rPr>
                <w:sz w:val="12"/>
                <w:szCs w:val="12"/>
                <w:color w:val="auto"/>
              </w:rPr>
            </w:pPr>
          </w:p>
        </w:tc>
        <w:tc>
          <w:tcPr>
            <w:tcW w:w="8320" w:type="dxa"/>
            <w:vAlign w:val="bottom"/>
            <w:gridSpan w:val="7"/>
          </w:tcPr>
          <w:p>
            <w:pPr>
              <w:ind w:left="560"/>
              <w:spacing w:after="0" w:line="149" w:lineRule="exact"/>
              <w:rPr>
                <w:sz w:val="20"/>
                <w:szCs w:val="20"/>
                <w:color w:val="auto"/>
              </w:rPr>
            </w:pPr>
            <w:r>
              <w:rPr>
                <w:rFonts w:ascii="Arial" w:cs="Arial" w:eastAsia="Arial" w:hAnsi="Arial"/>
                <w:sz w:val="14"/>
                <w:szCs w:val="14"/>
                <w:color w:val="auto"/>
                <w:w w:val="88"/>
              </w:rPr>
              <w:t>the cut-off date or meeting date. Have your proxy card in hand when you access the website and follow the instructions to obtain your records</w:t>
            </w: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SUITE 100</w:t>
            </w:r>
          </w:p>
        </w:tc>
        <w:tc>
          <w:tcPr>
            <w:tcW w:w="480" w:type="dxa"/>
            <w:vAlign w:val="bottom"/>
          </w:tcPr>
          <w:p>
            <w:pPr>
              <w:spacing w:after="0"/>
              <w:rPr>
                <w:sz w:val="12"/>
                <w:szCs w:val="12"/>
                <w:color w:val="auto"/>
              </w:rPr>
            </w:pPr>
          </w:p>
        </w:tc>
        <w:tc>
          <w:tcPr>
            <w:tcW w:w="37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and to create an electronic voting instruction form.</w:t>
            </w: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WEST PALM BEACH, FL 33409</w:t>
            </w:r>
          </w:p>
        </w:tc>
        <w:tc>
          <w:tcPr>
            <w:tcW w:w="480" w:type="dxa"/>
            <w:vAlign w:val="bottom"/>
          </w:tcPr>
          <w:p>
            <w:pPr>
              <w:spacing w:after="0"/>
              <w:rPr>
                <w:sz w:val="15"/>
                <w:szCs w:val="15"/>
                <w:color w:val="auto"/>
              </w:rPr>
            </w:pPr>
          </w:p>
        </w:tc>
        <w:tc>
          <w:tcPr>
            <w:tcW w:w="54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w w:val="98"/>
              </w:rPr>
              <w:t>ELECTRONIC DELIVERY OF FUTURE SHAREHOLDER COMMUNICATIONS</w:t>
            </w:r>
          </w:p>
        </w:tc>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BROADRIDGE</w:t>
            </w:r>
          </w:p>
        </w:tc>
        <w:tc>
          <w:tcPr>
            <w:tcW w:w="480" w:type="dxa"/>
            <w:vAlign w:val="bottom"/>
          </w:tcPr>
          <w:p>
            <w:pPr>
              <w:spacing w:after="0"/>
              <w:rPr>
                <w:sz w:val="10"/>
                <w:szCs w:val="10"/>
                <w:color w:val="auto"/>
              </w:rPr>
            </w:pPr>
          </w:p>
        </w:tc>
        <w:tc>
          <w:tcPr>
            <w:tcW w:w="548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6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8320" w:type="dxa"/>
            <w:vAlign w:val="bottom"/>
            <w:gridSpan w:val="7"/>
          </w:tcPr>
          <w:p>
            <w:pPr>
              <w:ind w:left="560"/>
              <w:spacing w:after="0" w:line="147" w:lineRule="exact"/>
              <w:rPr>
                <w:sz w:val="20"/>
                <w:szCs w:val="20"/>
                <w:color w:val="auto"/>
              </w:rPr>
            </w:pPr>
            <w:r>
              <w:rPr>
                <w:rFonts w:ascii="Arial" w:cs="Arial" w:eastAsia="Arial" w:hAnsi="Arial"/>
                <w:sz w:val="14"/>
                <w:szCs w:val="14"/>
                <w:color w:val="auto"/>
                <w:w w:val="91"/>
              </w:rPr>
              <w:t>If you would like to reduce the costs incurred by Ocwen Financial Corporation in mailing proxy materials, you can consent to receiving all</w:t>
            </w:r>
          </w:p>
        </w:tc>
        <w:tc>
          <w:tcPr>
            <w:tcW w:w="0" w:type="dxa"/>
            <w:vAlign w:val="bottom"/>
          </w:tcPr>
          <w:p>
            <w:pPr>
              <w:spacing w:after="0"/>
              <w:rPr>
                <w:sz w:val="1"/>
                <w:szCs w:val="1"/>
                <w:color w:val="auto"/>
              </w:rPr>
            </w:pPr>
          </w:p>
        </w:tc>
      </w:tr>
      <w:tr>
        <w:trPr>
          <w:trHeight w:val="151"/>
        </w:trPr>
        <w:tc>
          <w:tcPr>
            <w:tcW w:w="26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INVESTOR COMM SERVICES</w:t>
            </w:r>
          </w:p>
        </w:tc>
        <w:tc>
          <w:tcPr>
            <w:tcW w:w="480" w:type="dxa"/>
            <w:vAlign w:val="bottom"/>
          </w:tcPr>
          <w:p>
            <w:pPr>
              <w:spacing w:after="0"/>
              <w:rPr>
                <w:sz w:val="13"/>
                <w:szCs w:val="13"/>
                <w:color w:val="auto"/>
              </w:rPr>
            </w:pPr>
          </w:p>
        </w:tc>
        <w:tc>
          <w:tcPr>
            <w:tcW w:w="8320" w:type="dxa"/>
            <w:vAlign w:val="bottom"/>
            <w:gridSpan w:val="7"/>
          </w:tcPr>
          <w:p>
            <w:pPr>
              <w:ind w:left="560"/>
              <w:spacing w:after="0" w:line="151" w:lineRule="exact"/>
              <w:rPr>
                <w:sz w:val="20"/>
                <w:szCs w:val="20"/>
                <w:color w:val="auto"/>
              </w:rPr>
            </w:pPr>
            <w:r>
              <w:rPr>
                <w:rFonts w:ascii="Arial" w:cs="Arial" w:eastAsia="Arial" w:hAnsi="Arial"/>
                <w:sz w:val="14"/>
                <w:szCs w:val="14"/>
                <w:color w:val="auto"/>
                <w:w w:val="91"/>
              </w:rPr>
              <w:t>future proxy statements, proxy cards and annual reports electronically via e-mail or the Internet. To sign up for electronic delivery, please</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51 MERCEDES WAY</w:t>
            </w:r>
          </w:p>
        </w:tc>
        <w:tc>
          <w:tcPr>
            <w:tcW w:w="480" w:type="dxa"/>
            <w:vAlign w:val="bottom"/>
          </w:tcPr>
          <w:p>
            <w:pPr>
              <w:spacing w:after="0"/>
              <w:rPr>
                <w:sz w:val="12"/>
                <w:szCs w:val="12"/>
                <w:color w:val="auto"/>
              </w:rPr>
            </w:pPr>
          </w:p>
        </w:tc>
        <w:tc>
          <w:tcPr>
            <w:tcW w:w="8320" w:type="dxa"/>
            <w:vAlign w:val="bottom"/>
            <w:gridSpan w:val="7"/>
          </w:tcPr>
          <w:p>
            <w:pPr>
              <w:ind w:left="560"/>
              <w:spacing w:after="0" w:line="149" w:lineRule="exact"/>
              <w:rPr>
                <w:sz w:val="20"/>
                <w:szCs w:val="20"/>
                <w:color w:val="auto"/>
              </w:rPr>
            </w:pPr>
            <w:r>
              <w:rPr>
                <w:rFonts w:ascii="Arial" w:cs="Arial" w:eastAsia="Arial" w:hAnsi="Arial"/>
                <w:sz w:val="14"/>
                <w:szCs w:val="14"/>
                <w:color w:val="auto"/>
                <w:w w:val="94"/>
              </w:rPr>
              <w:t>follow the instructions above to vote using the Internet and, when prompted, indicate that you agree to receive or access shareholder</w:t>
            </w:r>
          </w:p>
        </w:tc>
        <w:tc>
          <w:tcPr>
            <w:tcW w:w="0" w:type="dxa"/>
            <w:vAlign w:val="bottom"/>
          </w:tcPr>
          <w:p>
            <w:pPr>
              <w:spacing w:after="0"/>
              <w:rPr>
                <w:sz w:val="1"/>
                <w:szCs w:val="1"/>
                <w:color w:val="auto"/>
              </w:rPr>
            </w:pPr>
          </w:p>
        </w:tc>
      </w:tr>
      <w:tr>
        <w:trPr>
          <w:trHeight w:val="147"/>
        </w:trPr>
        <w:tc>
          <w:tcPr>
            <w:tcW w:w="26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760" w:type="dxa"/>
            <w:vAlign w:val="bottom"/>
            <w:gridSpan w:val="2"/>
          </w:tcPr>
          <w:p>
            <w:pPr>
              <w:ind w:left="560"/>
              <w:spacing w:after="0" w:line="147" w:lineRule="exact"/>
              <w:rPr>
                <w:sz w:val="20"/>
                <w:szCs w:val="20"/>
                <w:color w:val="auto"/>
              </w:rPr>
            </w:pPr>
            <w:r>
              <w:rPr>
                <w:rFonts w:ascii="Arial" w:cs="Arial" w:eastAsia="Arial" w:hAnsi="Arial"/>
                <w:sz w:val="14"/>
                <w:szCs w:val="14"/>
                <w:color w:val="auto"/>
              </w:rPr>
              <w:t>communications electronically in future years.</w:t>
            </w: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EDGEWOOD, NY</w:t>
            </w:r>
          </w:p>
        </w:tc>
        <w:tc>
          <w:tcPr>
            <w:tcW w:w="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00" w:type="dxa"/>
            <w:vAlign w:val="bottom"/>
          </w:tcPr>
          <w:p>
            <w:pPr>
              <w:spacing w:after="0" w:line="151" w:lineRule="exact"/>
              <w:rPr>
                <w:sz w:val="20"/>
                <w:szCs w:val="20"/>
                <w:color w:val="auto"/>
              </w:rPr>
            </w:pPr>
            <w:r>
              <w:rPr>
                <w:rFonts w:ascii="Arial" w:cs="Arial" w:eastAsia="Arial" w:hAnsi="Arial"/>
                <w:sz w:val="14"/>
                <w:szCs w:val="14"/>
                <w:b w:val="1"/>
                <w:bCs w:val="1"/>
                <w:color w:val="auto"/>
              </w:rPr>
              <w:t>11717</w:t>
            </w:r>
          </w:p>
        </w:tc>
        <w:tc>
          <w:tcPr>
            <w:tcW w:w="2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60" w:type="dxa"/>
            <w:vAlign w:val="bottom"/>
          </w:tcPr>
          <w:p>
            <w:pPr>
              <w:ind w:left="560"/>
              <w:spacing w:after="0" w:line="151" w:lineRule="exact"/>
              <w:rPr>
                <w:sz w:val="20"/>
                <w:szCs w:val="20"/>
                <w:color w:val="auto"/>
              </w:rPr>
            </w:pPr>
            <w:r>
              <w:rPr>
                <w:rFonts w:ascii="Arial" w:cs="Arial" w:eastAsia="Arial" w:hAnsi="Arial"/>
                <w:sz w:val="14"/>
                <w:szCs w:val="14"/>
                <w:b w:val="1"/>
                <w:bCs w:val="1"/>
                <w:color w:val="auto"/>
                <w:w w:val="95"/>
              </w:rPr>
              <w:t>VOTE BY PHONE - 1-800-690-6903</w:t>
            </w: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320" w:type="dxa"/>
            <w:vAlign w:val="bottom"/>
            <w:gridSpan w:val="7"/>
          </w:tcPr>
          <w:p>
            <w:pPr>
              <w:ind w:left="560"/>
              <w:spacing w:after="0" w:line="149" w:lineRule="exact"/>
              <w:rPr>
                <w:sz w:val="20"/>
                <w:szCs w:val="20"/>
                <w:color w:val="auto"/>
              </w:rPr>
            </w:pPr>
            <w:r>
              <w:rPr>
                <w:rFonts w:ascii="Arial" w:cs="Arial" w:eastAsia="Arial" w:hAnsi="Arial"/>
                <w:sz w:val="14"/>
                <w:szCs w:val="14"/>
                <w:color w:val="auto"/>
                <w:w w:val="89"/>
              </w:rPr>
              <w:t>Use any touch-tone telephone to transmit your voting instructions up until 11:59 PM Eastern Time the day before the cut-off date or meeting</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80" w:type="dxa"/>
            <w:vAlign w:val="bottom"/>
            <w:gridSpan w:val="4"/>
          </w:tcPr>
          <w:p>
            <w:pPr>
              <w:ind w:left="560"/>
              <w:spacing w:after="0"/>
              <w:rPr>
                <w:sz w:val="20"/>
                <w:szCs w:val="20"/>
                <w:color w:val="auto"/>
              </w:rPr>
            </w:pPr>
            <w:r>
              <w:rPr>
                <w:rFonts w:ascii="Arial" w:cs="Arial" w:eastAsia="Arial" w:hAnsi="Arial"/>
                <w:sz w:val="14"/>
                <w:szCs w:val="14"/>
                <w:color w:val="auto"/>
                <w:w w:val="96"/>
              </w:rPr>
              <w:t>date. Have your proxy card in hand when you call and then follow the instructions.</w:t>
            </w: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760" w:type="dxa"/>
            <w:vAlign w:val="bottom"/>
          </w:tcPr>
          <w:p>
            <w:pPr>
              <w:ind w:left="560"/>
              <w:spacing w:after="0"/>
              <w:rPr>
                <w:sz w:val="20"/>
                <w:szCs w:val="20"/>
                <w:color w:val="auto"/>
              </w:rPr>
            </w:pPr>
            <w:r>
              <w:rPr>
                <w:rFonts w:ascii="Arial" w:cs="Arial" w:eastAsia="Arial" w:hAnsi="Arial"/>
                <w:sz w:val="14"/>
                <w:szCs w:val="14"/>
                <w:b w:val="1"/>
                <w:bCs w:val="1"/>
                <w:color w:val="auto"/>
              </w:rPr>
              <w:t>VOTE BY MAIL</w:t>
            </w:r>
          </w:p>
        </w:tc>
        <w:tc>
          <w:tcPr>
            <w:tcW w:w="10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320" w:type="dxa"/>
            <w:vAlign w:val="bottom"/>
            <w:gridSpan w:val="7"/>
          </w:tcPr>
          <w:p>
            <w:pPr>
              <w:ind w:left="560"/>
              <w:spacing w:after="0" w:line="149" w:lineRule="exact"/>
              <w:rPr>
                <w:sz w:val="20"/>
                <w:szCs w:val="20"/>
                <w:color w:val="auto"/>
              </w:rPr>
            </w:pPr>
            <w:r>
              <w:rPr>
                <w:rFonts w:ascii="Arial" w:cs="Arial" w:eastAsia="Arial" w:hAnsi="Arial"/>
                <w:sz w:val="14"/>
                <w:szCs w:val="14"/>
                <w:color w:val="auto"/>
                <w:w w:val="88"/>
              </w:rPr>
              <w:t>Mark, sign and date your proxy card and return it in the postage-paid envelope we have provided or return it to Ocwen Financial Corporation,</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760" w:type="dxa"/>
            <w:vAlign w:val="bottom"/>
            <w:gridSpan w:val="2"/>
          </w:tcPr>
          <w:p>
            <w:pPr>
              <w:ind w:left="560"/>
              <w:spacing w:after="0"/>
              <w:rPr>
                <w:sz w:val="20"/>
                <w:szCs w:val="20"/>
                <w:color w:val="auto"/>
              </w:rPr>
            </w:pPr>
            <w:r>
              <w:rPr>
                <w:rFonts w:ascii="Arial" w:cs="Arial" w:eastAsia="Arial" w:hAnsi="Arial"/>
                <w:sz w:val="14"/>
                <w:szCs w:val="14"/>
                <w:color w:val="auto"/>
                <w:w w:val="88"/>
              </w:rPr>
              <w:t>c/o Broadridge, 51 Mercedes Way, Edgewood, NY 11717.</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586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TO VOTE, MARK BLOCKS BELOW IN BLUE OR BLACK INK AS FOLLOWS  </w:t>
            </w:r>
            <w:r>
              <w:rPr>
                <w:rFonts w:ascii="Arial" w:cs="Arial" w:eastAsia="Arial" w:hAnsi="Arial"/>
                <w:sz w:val="14"/>
                <w:szCs w:val="14"/>
                <w:color w:val="auto"/>
              </w:rPr>
              <w:t>x</w:t>
            </w:r>
            <w:r>
              <w:rPr>
                <w:rFonts w:ascii="Arial" w:cs="Arial" w:eastAsia="Arial" w:hAnsi="Arial"/>
                <w:sz w:val="14"/>
                <w:szCs w:val="14"/>
                <w:b w:val="1"/>
                <w:bCs w:val="1"/>
                <w:color w:val="auto"/>
              </w:rPr>
              <w:t xml:space="preserve">   OCWEN1</w:t>
            </w:r>
          </w:p>
        </w:tc>
        <w:tc>
          <w:tcPr>
            <w:tcW w:w="5560" w:type="dxa"/>
            <w:vAlign w:val="bottom"/>
            <w:gridSpan w:val="6"/>
          </w:tcPr>
          <w:p>
            <w:pPr>
              <w:ind w:left="80"/>
              <w:spacing w:after="0"/>
              <w:rPr>
                <w:sz w:val="20"/>
                <w:szCs w:val="20"/>
                <w:color w:val="auto"/>
              </w:rPr>
            </w:pPr>
            <w:r>
              <w:rPr>
                <w:rFonts w:ascii="Arial" w:cs="Arial" w:eastAsia="Arial" w:hAnsi="Arial"/>
                <w:sz w:val="14"/>
                <w:szCs w:val="14"/>
                <w:b w:val="1"/>
                <w:bCs w:val="1"/>
                <w:color w:val="auto"/>
              </w:rPr>
              <w:t>KEEP THIS PORTION FOR YOUR RECORDS</w:t>
            </w:r>
          </w:p>
        </w:tc>
        <w:tc>
          <w:tcPr>
            <w:tcW w:w="0" w:type="dxa"/>
            <w:vAlign w:val="bottom"/>
          </w:tcPr>
          <w:p>
            <w:pPr>
              <w:spacing w:after="0"/>
              <w:rPr>
                <w:sz w:val="1"/>
                <w:szCs w:val="1"/>
                <w:color w:val="auto"/>
              </w:rPr>
            </w:pPr>
          </w:p>
        </w:tc>
      </w:tr>
      <w:tr>
        <w:trPr>
          <w:trHeight w:val="258"/>
        </w:trPr>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760" w:type="dxa"/>
            <w:vAlign w:val="bottom"/>
            <w:gridSpan w:val="3"/>
          </w:tcPr>
          <w:p>
            <w:pPr>
              <w:ind w:left="1160"/>
              <w:spacing w:after="0"/>
              <w:rPr>
                <w:sz w:val="20"/>
                <w:szCs w:val="20"/>
                <w:color w:val="auto"/>
              </w:rPr>
            </w:pPr>
            <w:r>
              <w:rPr>
                <w:rFonts w:ascii="Arial" w:cs="Arial" w:eastAsia="Arial" w:hAnsi="Arial"/>
                <w:sz w:val="14"/>
                <w:szCs w:val="14"/>
                <w:b w:val="1"/>
                <w:bCs w:val="1"/>
                <w:color w:val="auto"/>
              </w:rPr>
              <w:t>DETACH AND RETURN THlS PORTION ONLY</w:t>
            </w: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5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760" w:type="dxa"/>
            <w:vAlign w:val="bottom"/>
            <w:tcBorders>
              <w:bottom w:val="single" w:sz="8" w:color="auto"/>
            </w:tcBorders>
            <w:gridSpan w:val="3"/>
          </w:tcPr>
          <w:p>
            <w:pPr>
              <w:ind w:left="540"/>
              <w:spacing w:after="0" w:line="158" w:lineRule="exact"/>
              <w:rPr>
                <w:sz w:val="20"/>
                <w:szCs w:val="20"/>
                <w:color w:val="auto"/>
              </w:rPr>
            </w:pPr>
            <w:r>
              <w:rPr>
                <w:rFonts w:ascii="Arial" w:cs="Arial" w:eastAsia="Arial" w:hAnsi="Arial"/>
                <w:sz w:val="14"/>
                <w:szCs w:val="14"/>
                <w:b w:val="1"/>
                <w:bCs w:val="1"/>
                <w:color w:val="auto"/>
                <w:w w:val="97"/>
              </w:rPr>
              <w:t>THIS PROXY CARD IS VALID ONLY WHEN SIGNED AND DATED.</w:t>
            </w: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2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OCWEN FINANCIAL CORPORATION</w:t>
            </w:r>
          </w:p>
        </w:tc>
        <w:tc>
          <w:tcPr>
            <w:tcW w:w="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THE DIRECTORS RECOMMEND A VOTE “FOR” ITEMS 1 AND 2</w:t>
            </w: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Vote on Directors</w:t>
            </w:r>
          </w:p>
        </w:tc>
        <w:tc>
          <w:tcPr>
            <w:tcW w:w="4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860" w:type="dxa"/>
            <w:vAlign w:val="bottom"/>
            <w:gridSpan w:val="4"/>
          </w:tcPr>
          <w:p>
            <w:pPr>
              <w:ind w:left="20"/>
              <w:spacing w:after="0"/>
              <w:rPr>
                <w:sz w:val="20"/>
                <w:szCs w:val="20"/>
                <w:color w:val="auto"/>
              </w:rPr>
            </w:pPr>
            <w:r>
              <w:rPr>
                <w:rFonts w:ascii="Arial" w:cs="Arial" w:eastAsia="Arial" w:hAnsi="Arial"/>
                <w:sz w:val="14"/>
                <w:szCs w:val="14"/>
                <w:color w:val="auto"/>
              </w:rPr>
              <w:t>1.  To elect as Directors of Ocwen Financial Corporation the nominees listed below:</w:t>
            </w:r>
          </w:p>
        </w:tc>
        <w:tc>
          <w:tcPr>
            <w:tcW w:w="1000" w:type="dxa"/>
            <w:vAlign w:val="bottom"/>
          </w:tcPr>
          <w:p>
            <w:pPr>
              <w:jc w:val="center"/>
              <w:ind w:left="92"/>
              <w:spacing w:after="0"/>
              <w:rPr>
                <w:sz w:val="20"/>
                <w:szCs w:val="20"/>
                <w:color w:val="auto"/>
              </w:rPr>
            </w:pPr>
            <w:r>
              <w:rPr>
                <w:rFonts w:ascii="Arial" w:cs="Arial" w:eastAsia="Arial" w:hAnsi="Arial"/>
                <w:sz w:val="14"/>
                <w:szCs w:val="14"/>
                <w:b w:val="1"/>
                <w:bCs w:val="1"/>
                <w:color w:val="auto"/>
                <w:w w:val="88"/>
              </w:rPr>
              <w:t>For</w:t>
            </w:r>
          </w:p>
        </w:tc>
        <w:tc>
          <w:tcPr>
            <w:tcW w:w="1000" w:type="dxa"/>
            <w:vAlign w:val="bottom"/>
          </w:tcPr>
          <w:p>
            <w:pPr>
              <w:jc w:val="center"/>
              <w:ind w:right="314"/>
              <w:spacing w:after="0"/>
              <w:rPr>
                <w:sz w:val="20"/>
                <w:szCs w:val="20"/>
                <w:color w:val="auto"/>
              </w:rPr>
            </w:pPr>
            <w:r>
              <w:rPr>
                <w:rFonts w:ascii="Arial" w:cs="Arial" w:eastAsia="Arial" w:hAnsi="Arial"/>
                <w:sz w:val="14"/>
                <w:szCs w:val="14"/>
                <w:b w:val="1"/>
                <w:bCs w:val="1"/>
                <w:color w:val="auto"/>
                <w:w w:val="90"/>
              </w:rPr>
              <w:t>Withhold</w:t>
            </w:r>
          </w:p>
        </w:tc>
        <w:tc>
          <w:tcPr>
            <w:tcW w:w="72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For All</w:t>
            </w:r>
          </w:p>
        </w:tc>
        <w:tc>
          <w:tcPr>
            <w:tcW w:w="2840" w:type="dxa"/>
            <w:vAlign w:val="bottom"/>
            <w:gridSpan w:val="3"/>
          </w:tcPr>
          <w:p>
            <w:pPr>
              <w:ind w:left="40"/>
              <w:spacing w:after="0"/>
              <w:rPr>
                <w:sz w:val="20"/>
                <w:szCs w:val="20"/>
                <w:color w:val="auto"/>
              </w:rPr>
            </w:pPr>
            <w:r>
              <w:rPr>
                <w:rFonts w:ascii="Arial" w:cs="Arial" w:eastAsia="Arial" w:hAnsi="Arial"/>
                <w:sz w:val="14"/>
                <w:szCs w:val="14"/>
                <w:color w:val="auto"/>
                <w:w w:val="97"/>
              </w:rPr>
              <w:t>To withhold authority to vote for any individual</w:t>
            </w:r>
          </w:p>
        </w:tc>
        <w:tc>
          <w:tcPr>
            <w:tcW w:w="0" w:type="dxa"/>
            <w:vAlign w:val="bottom"/>
          </w:tcPr>
          <w:p>
            <w:pPr>
              <w:spacing w:after="0"/>
              <w:rPr>
                <w:sz w:val="1"/>
                <w:szCs w:val="1"/>
                <w:color w:val="auto"/>
              </w:rPr>
            </w:pPr>
          </w:p>
        </w:tc>
      </w:tr>
      <w:tr>
        <w:trPr>
          <w:trHeight w:val="151"/>
        </w:trPr>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0" w:type="dxa"/>
            <w:vAlign w:val="bottom"/>
          </w:tcPr>
          <w:p>
            <w:pPr>
              <w:jc w:val="center"/>
              <w:ind w:left="92"/>
              <w:spacing w:after="0" w:line="151" w:lineRule="exact"/>
              <w:rPr>
                <w:sz w:val="20"/>
                <w:szCs w:val="20"/>
                <w:color w:val="auto"/>
              </w:rPr>
            </w:pPr>
            <w:r>
              <w:rPr>
                <w:rFonts w:ascii="Arial" w:cs="Arial" w:eastAsia="Arial" w:hAnsi="Arial"/>
                <w:sz w:val="14"/>
                <w:szCs w:val="14"/>
                <w:b w:val="1"/>
                <w:bCs w:val="1"/>
                <w:color w:val="auto"/>
                <w:w w:val="89"/>
              </w:rPr>
              <w:t>All</w:t>
            </w:r>
          </w:p>
        </w:tc>
        <w:tc>
          <w:tcPr>
            <w:tcW w:w="1000" w:type="dxa"/>
            <w:vAlign w:val="bottom"/>
          </w:tcPr>
          <w:p>
            <w:pPr>
              <w:jc w:val="center"/>
              <w:ind w:right="314"/>
              <w:spacing w:after="0" w:line="151" w:lineRule="exact"/>
              <w:rPr>
                <w:sz w:val="20"/>
                <w:szCs w:val="20"/>
                <w:color w:val="auto"/>
              </w:rPr>
            </w:pPr>
            <w:r>
              <w:rPr>
                <w:rFonts w:ascii="Arial" w:cs="Arial" w:eastAsia="Arial" w:hAnsi="Arial"/>
                <w:sz w:val="14"/>
                <w:szCs w:val="14"/>
                <w:b w:val="1"/>
                <w:bCs w:val="1"/>
                <w:color w:val="auto"/>
              </w:rPr>
              <w:t>All</w:t>
            </w:r>
          </w:p>
        </w:tc>
        <w:tc>
          <w:tcPr>
            <w:tcW w:w="720" w:type="dxa"/>
            <w:vAlign w:val="bottom"/>
          </w:tcPr>
          <w:p>
            <w:pPr>
              <w:jc w:val="center"/>
              <w:ind w:right="134"/>
              <w:spacing w:after="0" w:line="151" w:lineRule="exact"/>
              <w:rPr>
                <w:sz w:val="20"/>
                <w:szCs w:val="20"/>
                <w:color w:val="auto"/>
              </w:rPr>
            </w:pPr>
            <w:r>
              <w:rPr>
                <w:rFonts w:ascii="Arial" w:cs="Arial" w:eastAsia="Arial" w:hAnsi="Arial"/>
                <w:sz w:val="14"/>
                <w:szCs w:val="14"/>
                <w:b w:val="1"/>
                <w:bCs w:val="1"/>
                <w:color w:val="auto"/>
                <w:w w:val="87"/>
              </w:rPr>
              <w:t>Except</w:t>
            </w:r>
          </w:p>
        </w:tc>
        <w:tc>
          <w:tcPr>
            <w:tcW w:w="2840" w:type="dxa"/>
            <w:vAlign w:val="bottom"/>
            <w:gridSpan w:val="3"/>
          </w:tcPr>
          <w:p>
            <w:pPr>
              <w:ind w:left="40"/>
              <w:spacing w:after="0" w:line="151" w:lineRule="exact"/>
              <w:rPr>
                <w:sz w:val="20"/>
                <w:szCs w:val="20"/>
                <w:color w:val="auto"/>
              </w:rPr>
            </w:pPr>
            <w:r>
              <w:rPr>
                <w:rFonts w:ascii="Arial" w:cs="Arial" w:eastAsia="Arial" w:hAnsi="Arial"/>
                <w:sz w:val="14"/>
                <w:szCs w:val="14"/>
                <w:color w:val="auto"/>
                <w:w w:val="94"/>
              </w:rPr>
              <w:t>nominee(s), mark “For All Except” and write the</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40" w:type="dxa"/>
            <w:vAlign w:val="bottom"/>
            <w:gridSpan w:val="3"/>
          </w:tcPr>
          <w:p>
            <w:pPr>
              <w:ind w:left="40"/>
              <w:spacing w:after="0"/>
              <w:rPr>
                <w:sz w:val="20"/>
                <w:szCs w:val="20"/>
                <w:color w:val="auto"/>
              </w:rPr>
            </w:pPr>
            <w:r>
              <w:rPr>
                <w:rFonts w:ascii="Arial" w:cs="Arial" w:eastAsia="Arial" w:hAnsi="Arial"/>
                <w:sz w:val="14"/>
                <w:szCs w:val="14"/>
                <w:color w:val="auto"/>
                <w:w w:val="96"/>
              </w:rPr>
              <w:t>number(s) of the nominee(s) on the line below.</w:t>
            </w:r>
          </w:p>
        </w:tc>
        <w:tc>
          <w:tcPr>
            <w:tcW w:w="0" w:type="dxa"/>
            <w:vAlign w:val="bottom"/>
          </w:tcPr>
          <w:p>
            <w:pPr>
              <w:spacing w:after="0"/>
              <w:rPr>
                <w:sz w:val="1"/>
                <w:szCs w:val="1"/>
                <w:color w:val="auto"/>
              </w:rPr>
            </w:pPr>
          </w:p>
        </w:tc>
      </w:tr>
      <w:tr>
        <w:trPr>
          <w:trHeight w:val="287"/>
        </w:trPr>
        <w:tc>
          <w:tcPr>
            <w:tcW w:w="500" w:type="dxa"/>
            <w:vAlign w:val="bottom"/>
          </w:tcPr>
          <w:p>
            <w:pPr>
              <w:ind w:left="260"/>
              <w:spacing w:after="0"/>
              <w:rPr>
                <w:sz w:val="20"/>
                <w:szCs w:val="20"/>
                <w:color w:val="auto"/>
              </w:rPr>
            </w:pPr>
            <w:r>
              <w:rPr>
                <w:rFonts w:ascii="Arial" w:cs="Arial" w:eastAsia="Arial" w:hAnsi="Arial"/>
                <w:sz w:val="14"/>
                <w:szCs w:val="14"/>
                <w:color w:val="auto"/>
              </w:rPr>
              <w:t>01)</w:t>
            </w:r>
          </w:p>
        </w:tc>
        <w:tc>
          <w:tcPr>
            <w:tcW w:w="2120" w:type="dxa"/>
            <w:vAlign w:val="bottom"/>
          </w:tcPr>
          <w:p>
            <w:pPr>
              <w:ind w:left="60"/>
              <w:spacing w:after="0"/>
              <w:rPr>
                <w:sz w:val="20"/>
                <w:szCs w:val="20"/>
                <w:color w:val="auto"/>
              </w:rPr>
            </w:pPr>
            <w:r>
              <w:rPr>
                <w:rFonts w:ascii="Arial" w:cs="Arial" w:eastAsia="Arial" w:hAnsi="Arial"/>
                <w:sz w:val="14"/>
                <w:szCs w:val="14"/>
                <w:color w:val="auto"/>
              </w:rPr>
              <w:t>William C. Erbey</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05)</w:t>
            </w:r>
          </w:p>
        </w:tc>
        <w:tc>
          <w:tcPr>
            <w:tcW w:w="2760" w:type="dxa"/>
            <w:vAlign w:val="bottom"/>
          </w:tcPr>
          <w:p>
            <w:pPr>
              <w:ind w:left="60"/>
              <w:spacing w:after="0"/>
              <w:rPr>
                <w:sz w:val="20"/>
                <w:szCs w:val="20"/>
                <w:color w:val="auto"/>
              </w:rPr>
            </w:pPr>
            <w:r>
              <w:rPr>
                <w:rFonts w:ascii="Arial" w:cs="Arial" w:eastAsia="Arial" w:hAnsi="Arial"/>
                <w:sz w:val="14"/>
                <w:szCs w:val="14"/>
                <w:color w:val="auto"/>
              </w:rPr>
              <w:t>William H. Lacy</w:t>
            </w:r>
          </w:p>
        </w:tc>
        <w:tc>
          <w:tcPr>
            <w:tcW w:w="1000" w:type="dxa"/>
            <w:vAlign w:val="bottom"/>
            <w:vMerge w:val="restart"/>
          </w:tcPr>
          <w:p>
            <w:pPr>
              <w:jc w:val="center"/>
              <w:ind w:left="92"/>
              <w:spacing w:after="0"/>
              <w:rPr>
                <w:sz w:val="20"/>
                <w:szCs w:val="20"/>
                <w:color w:val="auto"/>
              </w:rPr>
            </w:pPr>
            <w:r>
              <w:rPr>
                <w:rFonts w:ascii="Arial" w:cs="Arial" w:eastAsia="Arial" w:hAnsi="Arial"/>
                <w:sz w:val="14"/>
                <w:szCs w:val="14"/>
                <w:b w:val="1"/>
                <w:bCs w:val="1"/>
                <w:color w:val="auto"/>
                <w:w w:val="92"/>
              </w:rPr>
              <w:t>o</w:t>
            </w:r>
          </w:p>
        </w:tc>
        <w:tc>
          <w:tcPr>
            <w:tcW w:w="1000" w:type="dxa"/>
            <w:vAlign w:val="bottom"/>
            <w:vMerge w:val="restart"/>
          </w:tcPr>
          <w:p>
            <w:pPr>
              <w:jc w:val="center"/>
              <w:ind w:right="314"/>
              <w:spacing w:after="0"/>
              <w:rPr>
                <w:sz w:val="20"/>
                <w:szCs w:val="20"/>
                <w:color w:val="auto"/>
              </w:rPr>
            </w:pPr>
            <w:r>
              <w:rPr>
                <w:rFonts w:ascii="Arial" w:cs="Arial" w:eastAsia="Arial" w:hAnsi="Arial"/>
                <w:sz w:val="12"/>
                <w:szCs w:val="12"/>
                <w:b w:val="1"/>
                <w:bCs w:val="1"/>
                <w:color w:val="auto"/>
                <w:w w:val="81"/>
              </w:rPr>
              <w:t>o</w:t>
            </w:r>
          </w:p>
        </w:tc>
        <w:tc>
          <w:tcPr>
            <w:tcW w:w="720" w:type="dxa"/>
            <w:vAlign w:val="bottom"/>
            <w:vMerge w:val="restart"/>
          </w:tcPr>
          <w:p>
            <w:pPr>
              <w:jc w:val="center"/>
              <w:ind w:right="154"/>
              <w:spacing w:after="0"/>
              <w:rPr>
                <w:sz w:val="20"/>
                <w:szCs w:val="20"/>
                <w:color w:val="auto"/>
              </w:rPr>
            </w:pPr>
            <w:r>
              <w:rPr>
                <w:rFonts w:ascii="Arial" w:cs="Arial" w:eastAsia="Arial" w:hAnsi="Arial"/>
                <w:sz w:val="12"/>
                <w:szCs w:val="12"/>
                <w:b w:val="1"/>
                <w:bCs w:val="1"/>
                <w:color w:val="auto"/>
                <w:w w:val="81"/>
              </w:rPr>
              <w:t>o</w:t>
            </w: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00" w:type="dxa"/>
            <w:vAlign w:val="bottom"/>
          </w:tcPr>
          <w:p>
            <w:pPr>
              <w:ind w:left="260"/>
              <w:spacing w:after="0" w:line="146" w:lineRule="exact"/>
              <w:rPr>
                <w:sz w:val="20"/>
                <w:szCs w:val="20"/>
                <w:color w:val="auto"/>
              </w:rPr>
            </w:pPr>
            <w:r>
              <w:rPr>
                <w:rFonts w:ascii="Arial" w:cs="Arial" w:eastAsia="Arial" w:hAnsi="Arial"/>
                <w:sz w:val="14"/>
                <w:szCs w:val="14"/>
                <w:color w:val="auto"/>
              </w:rPr>
              <w:t>02)</w:t>
            </w:r>
          </w:p>
        </w:tc>
        <w:tc>
          <w:tcPr>
            <w:tcW w:w="2120" w:type="dxa"/>
            <w:vAlign w:val="bottom"/>
          </w:tcPr>
          <w:p>
            <w:pPr>
              <w:ind w:left="60"/>
              <w:spacing w:after="0" w:line="146" w:lineRule="exact"/>
              <w:rPr>
                <w:sz w:val="20"/>
                <w:szCs w:val="20"/>
                <w:color w:val="auto"/>
              </w:rPr>
            </w:pPr>
            <w:r>
              <w:rPr>
                <w:rFonts w:ascii="Arial" w:cs="Arial" w:eastAsia="Arial" w:hAnsi="Arial"/>
                <w:sz w:val="14"/>
                <w:szCs w:val="14"/>
                <w:color w:val="auto"/>
              </w:rPr>
              <w:t>Ronald M. Faris</w:t>
            </w:r>
          </w:p>
        </w:tc>
        <w:tc>
          <w:tcPr>
            <w:tcW w:w="480" w:type="dxa"/>
            <w:vAlign w:val="bottom"/>
          </w:tcPr>
          <w:p>
            <w:pPr>
              <w:jc w:val="right"/>
              <w:ind w:right="12"/>
              <w:spacing w:after="0" w:line="146" w:lineRule="exact"/>
              <w:rPr>
                <w:sz w:val="20"/>
                <w:szCs w:val="20"/>
                <w:color w:val="auto"/>
              </w:rPr>
            </w:pPr>
            <w:r>
              <w:rPr>
                <w:rFonts w:ascii="Arial" w:cs="Arial" w:eastAsia="Arial" w:hAnsi="Arial"/>
                <w:sz w:val="14"/>
                <w:szCs w:val="14"/>
                <w:color w:val="auto"/>
              </w:rPr>
              <w:t>06)</w:t>
            </w:r>
          </w:p>
        </w:tc>
        <w:tc>
          <w:tcPr>
            <w:tcW w:w="2760" w:type="dxa"/>
            <w:vAlign w:val="bottom"/>
          </w:tcPr>
          <w:p>
            <w:pPr>
              <w:ind w:left="60"/>
              <w:spacing w:after="0" w:line="146" w:lineRule="exact"/>
              <w:rPr>
                <w:sz w:val="20"/>
                <w:szCs w:val="20"/>
                <w:color w:val="auto"/>
              </w:rPr>
            </w:pPr>
            <w:r>
              <w:rPr>
                <w:rFonts w:ascii="Arial" w:cs="Arial" w:eastAsia="Arial" w:hAnsi="Arial"/>
                <w:sz w:val="14"/>
                <w:szCs w:val="14"/>
                <w:color w:val="auto"/>
              </w:rPr>
              <w:t>Barry N. Wish</w:t>
            </w:r>
          </w:p>
        </w:tc>
        <w:tc>
          <w:tcPr>
            <w:tcW w:w="10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-970280</wp:posOffset>
            </wp:positionV>
            <wp:extent cx="7250430" cy="3176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176905"/>
                    </a:xfrm>
                    <a:prstGeom prst="rect">
                      <a:avLst/>
                    </a:prstGeom>
                    <a:noFill/>
                  </pic:spPr>
                </pic:pic>
              </a:graphicData>
            </a:graphic>
          </wp:anchor>
        </w:drawing>
      </w:r>
    </w:p>
    <w:p>
      <w:pPr>
        <w:ind w:left="560" w:hanging="309"/>
        <w:spacing w:after="0" w:line="223" w:lineRule="auto"/>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Martha C. Goss</w:t>
      </w:r>
    </w:p>
    <w:p>
      <w:pPr>
        <w:ind w:left="540" w:hanging="289"/>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Ronald J. Korn</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8520" w:type="dxa"/>
            <w:vAlign w:val="bottom"/>
            <w:gridSpan w:val="2"/>
          </w:tcPr>
          <w:p>
            <w:pPr>
              <w:spacing w:after="0"/>
              <w:rPr>
                <w:sz w:val="20"/>
                <w:szCs w:val="20"/>
                <w:color w:val="auto"/>
              </w:rPr>
            </w:pPr>
            <w:r>
              <w:rPr>
                <w:rFonts w:ascii="Arial" w:cs="Arial" w:eastAsia="Arial" w:hAnsi="Arial"/>
                <w:sz w:val="14"/>
                <w:szCs w:val="14"/>
                <w:b w:val="1"/>
                <w:bCs w:val="1"/>
                <w:color w:val="auto"/>
              </w:rPr>
              <w:t>Vote on Proposal</w:t>
            </w:r>
          </w:p>
        </w:tc>
        <w:tc>
          <w:tcPr>
            <w:tcW w:w="740" w:type="dxa"/>
            <w:vAlign w:val="bottom"/>
          </w:tcPr>
          <w:p>
            <w:pPr>
              <w:jc w:val="center"/>
              <w:ind w:left="12"/>
              <w:spacing w:after="0"/>
              <w:rPr>
                <w:sz w:val="20"/>
                <w:szCs w:val="20"/>
                <w:color w:val="auto"/>
              </w:rPr>
            </w:pPr>
            <w:r>
              <w:rPr>
                <w:rFonts w:ascii="Arial" w:cs="Arial" w:eastAsia="Arial" w:hAnsi="Arial"/>
                <w:sz w:val="14"/>
                <w:szCs w:val="14"/>
                <w:b w:val="1"/>
                <w:bCs w:val="1"/>
                <w:color w:val="auto"/>
                <w:w w:val="97"/>
              </w:rPr>
              <w:t>For</w:t>
            </w: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Against</w:t>
            </w:r>
          </w:p>
        </w:tc>
        <w:tc>
          <w:tcPr>
            <w:tcW w:w="780" w:type="dxa"/>
            <w:vAlign w:val="bottom"/>
          </w:tcPr>
          <w:p>
            <w:pPr>
              <w:jc w:val="center"/>
              <w:ind w:left="272"/>
              <w:spacing w:after="0"/>
              <w:rPr>
                <w:sz w:val="20"/>
                <w:szCs w:val="20"/>
                <w:color w:val="auto"/>
              </w:rPr>
            </w:pPr>
            <w:r>
              <w:rPr>
                <w:rFonts w:ascii="Arial" w:cs="Arial" w:eastAsia="Arial" w:hAnsi="Arial"/>
                <w:sz w:val="14"/>
                <w:szCs w:val="14"/>
                <w:b w:val="1"/>
                <w:bCs w:val="1"/>
                <w:color w:val="auto"/>
                <w:w w:val="85"/>
              </w:rPr>
              <w:t>Abstain</w:t>
            </w:r>
          </w:p>
        </w:tc>
      </w:tr>
      <w:tr>
        <w:trPr>
          <w:trHeight w:val="273"/>
        </w:trPr>
        <w:tc>
          <w:tcPr>
            <w:tcW w:w="160" w:type="dxa"/>
            <w:vAlign w:val="bottom"/>
          </w:tcPr>
          <w:p>
            <w:pPr>
              <w:spacing w:after="0"/>
              <w:rPr>
                <w:sz w:val="20"/>
                <w:szCs w:val="20"/>
                <w:color w:val="auto"/>
              </w:rPr>
            </w:pPr>
            <w:r>
              <w:rPr>
                <w:rFonts w:ascii="Arial" w:cs="Arial" w:eastAsia="Arial" w:hAnsi="Arial"/>
                <w:sz w:val="14"/>
                <w:szCs w:val="14"/>
                <w:color w:val="auto"/>
              </w:rPr>
              <w:t>2.</w:t>
            </w:r>
          </w:p>
        </w:tc>
        <w:tc>
          <w:tcPr>
            <w:tcW w:w="8360" w:type="dxa"/>
            <w:vAlign w:val="bottom"/>
          </w:tcPr>
          <w:p>
            <w:pPr>
              <w:ind w:left="80"/>
              <w:spacing w:after="0"/>
              <w:rPr>
                <w:sz w:val="20"/>
                <w:szCs w:val="20"/>
                <w:color w:val="auto"/>
              </w:rPr>
            </w:pPr>
            <w:r>
              <w:rPr>
                <w:rFonts w:ascii="Arial" w:cs="Arial" w:eastAsia="Arial" w:hAnsi="Arial"/>
                <w:sz w:val="14"/>
                <w:szCs w:val="14"/>
                <w:color w:val="auto"/>
                <w:w w:val="91"/>
              </w:rPr>
              <w:t>Proposal to ratify the appointment of PricewaterhouseCoopers LLP as our independent registered certified public accounting firm for the fiscal year</w:t>
            </w:r>
          </w:p>
        </w:tc>
        <w:tc>
          <w:tcPr>
            <w:tcW w:w="740" w:type="dxa"/>
            <w:vAlign w:val="bottom"/>
          </w:tcPr>
          <w:p>
            <w:pPr>
              <w:jc w:val="center"/>
              <w:ind w:left="12"/>
              <w:spacing w:after="0"/>
              <w:rPr>
                <w:sz w:val="20"/>
                <w:szCs w:val="20"/>
                <w:color w:val="auto"/>
              </w:rPr>
            </w:pPr>
            <w:r>
              <w:rPr>
                <w:rFonts w:ascii="Arial" w:cs="Arial" w:eastAsia="Arial" w:hAnsi="Arial"/>
                <w:sz w:val="14"/>
                <w:szCs w:val="14"/>
                <w:color w:val="auto"/>
                <w:w w:val="76"/>
              </w:rPr>
              <w:t>o</w:t>
            </w:r>
          </w:p>
        </w:tc>
        <w:tc>
          <w:tcPr>
            <w:tcW w:w="1000" w:type="dxa"/>
            <w:vAlign w:val="bottom"/>
          </w:tcPr>
          <w:p>
            <w:pPr>
              <w:ind w:left="520"/>
              <w:spacing w:after="0"/>
              <w:rPr>
                <w:sz w:val="20"/>
                <w:szCs w:val="20"/>
                <w:color w:val="auto"/>
              </w:rPr>
            </w:pPr>
            <w:r>
              <w:rPr>
                <w:rFonts w:ascii="Arial" w:cs="Arial" w:eastAsia="Arial" w:hAnsi="Arial"/>
                <w:sz w:val="14"/>
                <w:szCs w:val="14"/>
                <w:color w:val="auto"/>
              </w:rPr>
              <w:t>o</w:t>
            </w:r>
          </w:p>
        </w:tc>
        <w:tc>
          <w:tcPr>
            <w:tcW w:w="780" w:type="dxa"/>
            <w:vAlign w:val="bottom"/>
          </w:tcPr>
          <w:p>
            <w:pPr>
              <w:jc w:val="center"/>
              <w:ind w:left="272"/>
              <w:spacing w:after="0"/>
              <w:rPr>
                <w:sz w:val="20"/>
                <w:szCs w:val="20"/>
                <w:color w:val="auto"/>
              </w:rPr>
            </w:pPr>
            <w:r>
              <w:rPr>
                <w:rFonts w:ascii="Arial" w:cs="Arial" w:eastAsia="Arial" w:hAnsi="Arial"/>
                <w:sz w:val="14"/>
                <w:szCs w:val="14"/>
                <w:color w:val="auto"/>
              </w:rPr>
              <w:t>o</w:t>
            </w:r>
          </w:p>
        </w:tc>
      </w:tr>
      <w:tr>
        <w:trPr>
          <w:trHeight w:val="172"/>
        </w:trPr>
        <w:tc>
          <w:tcPr>
            <w:tcW w:w="160" w:type="dxa"/>
            <w:vAlign w:val="bottom"/>
          </w:tcPr>
          <w:p>
            <w:pPr>
              <w:spacing w:after="0"/>
              <w:rPr>
                <w:sz w:val="14"/>
                <w:szCs w:val="14"/>
                <w:color w:val="auto"/>
              </w:rPr>
            </w:pPr>
          </w:p>
        </w:tc>
        <w:tc>
          <w:tcPr>
            <w:tcW w:w="8360" w:type="dxa"/>
            <w:vAlign w:val="bottom"/>
          </w:tcPr>
          <w:p>
            <w:pPr>
              <w:ind w:left="80"/>
              <w:spacing w:after="0"/>
              <w:rPr>
                <w:sz w:val="20"/>
                <w:szCs w:val="20"/>
                <w:color w:val="auto"/>
              </w:rPr>
            </w:pPr>
            <w:r>
              <w:rPr>
                <w:rFonts w:ascii="Arial" w:cs="Arial" w:eastAsia="Arial" w:hAnsi="Arial"/>
                <w:sz w:val="14"/>
                <w:szCs w:val="14"/>
                <w:color w:val="auto"/>
              </w:rPr>
              <w:t>ending December 31, 2008</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97"/>
        </w:trPr>
        <w:tc>
          <w:tcPr>
            <w:tcW w:w="160" w:type="dxa"/>
            <w:vAlign w:val="bottom"/>
          </w:tcPr>
          <w:p>
            <w:pPr>
              <w:spacing w:after="0"/>
              <w:rPr>
                <w:sz w:val="20"/>
                <w:szCs w:val="20"/>
                <w:color w:val="auto"/>
              </w:rPr>
            </w:pPr>
            <w:r>
              <w:rPr>
                <w:rFonts w:ascii="Arial" w:cs="Arial" w:eastAsia="Arial" w:hAnsi="Arial"/>
                <w:sz w:val="14"/>
                <w:szCs w:val="14"/>
                <w:color w:val="auto"/>
              </w:rPr>
              <w:t>3.</w:t>
            </w:r>
          </w:p>
        </w:tc>
        <w:tc>
          <w:tcPr>
            <w:tcW w:w="8360" w:type="dxa"/>
            <w:vAlign w:val="bottom"/>
          </w:tcPr>
          <w:p>
            <w:pPr>
              <w:ind w:left="80"/>
              <w:spacing w:after="0"/>
              <w:rPr>
                <w:sz w:val="20"/>
                <w:szCs w:val="20"/>
                <w:color w:val="auto"/>
              </w:rPr>
            </w:pPr>
            <w:r>
              <w:rPr>
                <w:rFonts w:ascii="Arial" w:cs="Arial" w:eastAsia="Arial" w:hAnsi="Arial"/>
                <w:sz w:val="14"/>
                <w:szCs w:val="14"/>
                <w:color w:val="auto"/>
              </w:rPr>
              <w:t>In their discretion, upon such other matters that may properly come before the meeting or any adjournment or adjournments thereof</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5" w:lineRule="exact"/>
        <w:rPr>
          <w:sz w:val="20"/>
          <w:szCs w:val="20"/>
          <w:color w:val="auto"/>
        </w:rPr>
      </w:pPr>
    </w:p>
    <w:p>
      <w:pPr>
        <w:ind w:left="20" w:right="260"/>
        <w:spacing w:after="0" w:line="239" w:lineRule="auto"/>
        <w:rPr>
          <w:sz w:val="20"/>
          <w:szCs w:val="20"/>
          <w:color w:val="auto"/>
        </w:rPr>
      </w:pPr>
      <w:r>
        <w:rPr>
          <w:rFonts w:ascii="Arial" w:cs="Arial" w:eastAsia="Arial" w:hAnsi="Arial"/>
          <w:sz w:val="14"/>
          <w:szCs w:val="14"/>
          <w:color w:val="auto"/>
        </w:rPr>
        <w:t>The shares represented by this proxy when properly executed will be voted in the manner directed herein by the undersigned Stockholder(s). If no direction is made, this proxy will be voted FOR items 1 and 2. If any other matters properly come before the meeting, or if cumulative voting is required, the person named in this proxy will vote in their discretion.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ind w:left="20"/>
              <w:spacing w:after="0"/>
              <w:rPr>
                <w:sz w:val="20"/>
                <w:szCs w:val="20"/>
                <w:color w:val="auto"/>
              </w:rPr>
            </w:pPr>
            <w:r>
              <w:rPr>
                <w:rFonts w:ascii="Arial" w:cs="Arial" w:eastAsia="Arial" w:hAnsi="Arial"/>
                <w:sz w:val="14"/>
                <w:szCs w:val="14"/>
                <w:color w:val="auto"/>
              </w:rPr>
              <w:t>For address changes and/or comments, please check this box</w:t>
            </w:r>
          </w:p>
        </w:tc>
        <w:tc>
          <w:tcPr>
            <w:tcW w:w="1100" w:type="dxa"/>
            <w:vAlign w:val="bottom"/>
          </w:tcPr>
          <w:p>
            <w:pPr>
              <w:jc w:val="center"/>
              <w:ind w:left="152"/>
              <w:spacing w:after="0"/>
              <w:rPr>
                <w:sz w:val="20"/>
                <w:szCs w:val="20"/>
                <w:color w:val="auto"/>
              </w:rPr>
            </w:pPr>
            <w:r>
              <w:rPr>
                <w:rFonts w:ascii="Arial" w:cs="Arial" w:eastAsia="Arial" w:hAnsi="Arial"/>
                <w:sz w:val="14"/>
                <w:szCs w:val="14"/>
                <w:color w:val="auto"/>
              </w:rPr>
              <w:t>o</w:t>
            </w:r>
          </w:p>
        </w:tc>
        <w:tc>
          <w:tcPr>
            <w:tcW w:w="900" w:type="dxa"/>
            <w:vAlign w:val="bottom"/>
          </w:tcPr>
          <w:p>
            <w:pPr>
              <w:spacing w:after="0"/>
              <w:rPr>
                <w:sz w:val="14"/>
                <w:szCs w:val="14"/>
                <w:color w:val="auto"/>
              </w:rPr>
            </w:pPr>
          </w:p>
        </w:tc>
        <w:tc>
          <w:tcPr>
            <w:tcW w:w="5140" w:type="dxa"/>
            <w:vAlign w:val="bottom"/>
            <w:gridSpan w:val="3"/>
          </w:tcPr>
          <w:p>
            <w:pPr>
              <w:spacing w:after="0"/>
              <w:rPr>
                <w:sz w:val="20"/>
                <w:szCs w:val="20"/>
                <w:color w:val="auto"/>
              </w:rPr>
            </w:pPr>
            <w:r>
              <w:rPr>
                <w:rFonts w:ascii="Arial" w:cs="Arial" w:eastAsia="Arial" w:hAnsi="Arial"/>
                <w:sz w:val="14"/>
                <w:szCs w:val="14"/>
                <w:color w:val="auto"/>
                <w:w w:val="90"/>
              </w:rPr>
              <w:t>Please sign exactly as your name or names appear(s) on this Proxy. When shares are held</w:t>
            </w:r>
          </w:p>
        </w:tc>
        <w:tc>
          <w:tcPr>
            <w:tcW w:w="0" w:type="dxa"/>
            <w:vAlign w:val="bottom"/>
          </w:tcPr>
          <w:p>
            <w:pPr>
              <w:spacing w:after="0"/>
              <w:rPr>
                <w:sz w:val="1"/>
                <w:szCs w:val="1"/>
                <w:color w:val="auto"/>
              </w:rPr>
            </w:pPr>
          </w:p>
        </w:tc>
      </w:tr>
      <w:tr>
        <w:trPr>
          <w:trHeight w:val="149"/>
        </w:trPr>
        <w:tc>
          <w:tcPr>
            <w:tcW w:w="4300" w:type="dxa"/>
            <w:vAlign w:val="bottom"/>
          </w:tcPr>
          <w:p>
            <w:pPr>
              <w:ind w:left="20"/>
              <w:spacing w:after="0" w:line="149" w:lineRule="exact"/>
              <w:rPr>
                <w:sz w:val="20"/>
                <w:szCs w:val="20"/>
                <w:color w:val="auto"/>
              </w:rPr>
            </w:pPr>
            <w:r>
              <w:rPr>
                <w:rFonts w:ascii="Arial" w:cs="Arial" w:eastAsia="Arial" w:hAnsi="Arial"/>
                <w:sz w:val="14"/>
                <w:szCs w:val="14"/>
                <w:color w:val="auto"/>
              </w:rPr>
              <w:t>and write them on the back where indicated.</w:t>
            </w: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w w:val="89"/>
              </w:rPr>
              <w:t>jointly, each holder should sign. When signing as executor, administrator, attorney, trustee or</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10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2"/>
              </w:rPr>
              <w:t>Yes</w:t>
            </w:r>
          </w:p>
        </w:tc>
        <w:tc>
          <w:tcPr>
            <w:tcW w:w="900" w:type="dxa"/>
            <w:vAlign w:val="bottom"/>
          </w:tcPr>
          <w:p>
            <w:pPr>
              <w:spacing w:after="0" w:line="149" w:lineRule="exact"/>
              <w:rPr>
                <w:sz w:val="20"/>
                <w:szCs w:val="20"/>
                <w:color w:val="auto"/>
              </w:rPr>
            </w:pPr>
            <w:r>
              <w:rPr>
                <w:rFonts w:ascii="Arial" w:cs="Arial" w:eastAsia="Arial" w:hAnsi="Arial"/>
                <w:sz w:val="14"/>
                <w:szCs w:val="14"/>
                <w:color w:val="auto"/>
              </w:rPr>
              <w:t>No</w:t>
            </w: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w w:val="99"/>
              </w:rPr>
              <w:t>guardian, please give full title as such. If the signer is a corporation, please sign full</w:t>
            </w:r>
          </w:p>
        </w:tc>
        <w:tc>
          <w:tcPr>
            <w:tcW w:w="0" w:type="dxa"/>
            <w:vAlign w:val="bottom"/>
          </w:tcPr>
          <w:p>
            <w:pPr>
              <w:spacing w:after="0"/>
              <w:rPr>
                <w:sz w:val="1"/>
                <w:szCs w:val="1"/>
                <w:color w:val="auto"/>
              </w:rPr>
            </w:pPr>
          </w:p>
        </w:tc>
      </w:tr>
      <w:tr>
        <w:trPr>
          <w:trHeight w:val="149"/>
        </w:trPr>
        <w:tc>
          <w:tcPr>
            <w:tcW w:w="4300" w:type="dxa"/>
            <w:vAlign w:val="bottom"/>
            <w:vMerge w:val="restart"/>
          </w:tcPr>
          <w:p>
            <w:pPr>
              <w:ind w:left="20"/>
              <w:spacing w:after="0"/>
              <w:rPr>
                <w:sz w:val="20"/>
                <w:szCs w:val="20"/>
                <w:color w:val="auto"/>
              </w:rPr>
            </w:pPr>
            <w:r>
              <w:rPr>
                <w:rFonts w:ascii="Arial" w:cs="Arial" w:eastAsia="Arial" w:hAnsi="Arial"/>
                <w:sz w:val="14"/>
                <w:szCs w:val="14"/>
                <w:color w:val="auto"/>
              </w:rPr>
              <w:t>Please indicate if you plan to attend this meeting.</w:t>
            </w: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140" w:type="dxa"/>
            <w:vAlign w:val="bottom"/>
            <w:gridSpan w:val="3"/>
          </w:tcPr>
          <w:p>
            <w:pPr>
              <w:spacing w:after="0" w:line="149" w:lineRule="exact"/>
              <w:rPr>
                <w:sz w:val="20"/>
                <w:szCs w:val="20"/>
                <w:color w:val="auto"/>
              </w:rPr>
            </w:pPr>
            <w:r>
              <w:rPr>
                <w:rFonts w:ascii="Arial" w:cs="Arial" w:eastAsia="Arial" w:hAnsi="Arial"/>
                <w:sz w:val="14"/>
                <w:szCs w:val="14"/>
                <w:color w:val="auto"/>
                <w:w w:val="91"/>
              </w:rPr>
              <w:t>corporate name by duly authorized officer, giving full title as such. If signer is a partnership,</w:t>
            </w:r>
          </w:p>
        </w:tc>
        <w:tc>
          <w:tcPr>
            <w:tcW w:w="0" w:type="dxa"/>
            <w:vAlign w:val="bottom"/>
          </w:tcPr>
          <w:p>
            <w:pPr>
              <w:spacing w:after="0"/>
              <w:rPr>
                <w:sz w:val="1"/>
                <w:szCs w:val="1"/>
                <w:color w:val="auto"/>
              </w:rPr>
            </w:pPr>
          </w:p>
        </w:tc>
      </w:tr>
      <w:tr>
        <w:trPr>
          <w:trHeight w:val="118"/>
        </w:trPr>
        <w:tc>
          <w:tcPr>
            <w:tcW w:w="4300" w:type="dxa"/>
            <w:vAlign w:val="bottom"/>
            <w:vMerge w:val="continue"/>
          </w:tcPr>
          <w:p>
            <w:pPr>
              <w:spacing w:after="0"/>
              <w:rPr>
                <w:sz w:val="10"/>
                <w:szCs w:val="10"/>
                <w:color w:val="auto"/>
              </w:rPr>
            </w:pPr>
          </w:p>
        </w:tc>
        <w:tc>
          <w:tcPr>
            <w:tcW w:w="1100" w:type="dxa"/>
            <w:vAlign w:val="bottom"/>
            <w:vMerge w:val="restart"/>
          </w:tcPr>
          <w:p>
            <w:pPr>
              <w:jc w:val="center"/>
              <w:ind w:left="152"/>
              <w:spacing w:after="0"/>
              <w:rPr>
                <w:sz w:val="20"/>
                <w:szCs w:val="20"/>
                <w:color w:val="auto"/>
              </w:rPr>
            </w:pPr>
            <w:r>
              <w:rPr>
                <w:rFonts w:ascii="Arial" w:cs="Arial" w:eastAsia="Arial" w:hAnsi="Arial"/>
                <w:sz w:val="14"/>
                <w:szCs w:val="14"/>
                <w:color w:val="auto"/>
              </w:rPr>
              <w:t>o</w:t>
            </w:r>
          </w:p>
        </w:tc>
        <w:tc>
          <w:tcPr>
            <w:tcW w:w="900" w:type="dxa"/>
            <w:vAlign w:val="bottom"/>
            <w:vMerge w:val="restart"/>
          </w:tcPr>
          <w:p>
            <w:pPr>
              <w:spacing w:after="0"/>
              <w:rPr>
                <w:sz w:val="20"/>
                <w:szCs w:val="20"/>
                <w:color w:val="auto"/>
              </w:rPr>
            </w:pPr>
            <w:r>
              <w:rPr>
                <w:rFonts w:ascii="Arial" w:cs="Arial" w:eastAsia="Arial" w:hAnsi="Arial"/>
                <w:sz w:val="14"/>
                <w:szCs w:val="14"/>
                <w:color w:val="auto"/>
              </w:rPr>
              <w:t>o</w:t>
            </w:r>
          </w:p>
        </w:tc>
        <w:tc>
          <w:tcPr>
            <w:tcW w:w="3000" w:type="dxa"/>
            <w:vAlign w:val="bottom"/>
            <w:gridSpan w:val="2"/>
            <w:vMerge w:val="restart"/>
          </w:tcPr>
          <w:p>
            <w:pPr>
              <w:spacing w:after="0"/>
              <w:rPr>
                <w:sz w:val="20"/>
                <w:szCs w:val="20"/>
                <w:color w:val="auto"/>
              </w:rPr>
            </w:pPr>
            <w:r>
              <w:rPr>
                <w:rFonts w:ascii="Arial" w:cs="Arial" w:eastAsia="Arial" w:hAnsi="Arial"/>
                <w:sz w:val="14"/>
                <w:szCs w:val="14"/>
                <w:color w:val="auto"/>
                <w:w w:val="87"/>
              </w:rPr>
              <w:t>please sign in partnership name by authorized person.</w:t>
            </w: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3000" w:type="dxa"/>
            <w:vAlign w:val="bottom"/>
            <w:gridSpan w:val="2"/>
            <w:vMerge w:val="continue"/>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1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123,456,789,012</w:t>
            </w:r>
          </w:p>
        </w:tc>
        <w:tc>
          <w:tcPr>
            <w:tcW w:w="0" w:type="dxa"/>
            <w:vAlign w:val="bottom"/>
          </w:tcPr>
          <w:p>
            <w:pPr>
              <w:spacing w:after="0"/>
              <w:rPr>
                <w:sz w:val="1"/>
                <w:szCs w:val="1"/>
                <w:color w:val="auto"/>
              </w:rPr>
            </w:pPr>
          </w:p>
        </w:tc>
      </w:tr>
      <w:tr>
        <w:trPr>
          <w:trHeight w:val="119"/>
        </w:trPr>
        <w:tc>
          <w:tcPr>
            <w:tcW w:w="43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30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140" w:type="dxa"/>
            <w:vAlign w:val="bottom"/>
          </w:tcPr>
          <w:p>
            <w:pPr>
              <w:jc w:val="right"/>
              <w:ind w:right="92"/>
              <w:spacing w:after="0" w:line="145" w:lineRule="exact"/>
              <w:rPr>
                <w:sz w:val="20"/>
                <w:szCs w:val="20"/>
                <w:color w:val="auto"/>
              </w:rPr>
            </w:pPr>
            <w:r>
              <w:rPr>
                <w:rFonts w:ascii="Arial" w:cs="Arial" w:eastAsia="Arial" w:hAnsi="Arial"/>
                <w:sz w:val="14"/>
                <w:szCs w:val="14"/>
                <w:b w:val="1"/>
                <w:bCs w:val="1"/>
                <w:color w:val="auto"/>
              </w:rPr>
              <w:t>675746A99</w:t>
            </w:r>
          </w:p>
        </w:tc>
        <w:tc>
          <w:tcPr>
            <w:tcW w:w="0" w:type="dxa"/>
            <w:vAlign w:val="bottom"/>
          </w:tcPr>
          <w:p>
            <w:pPr>
              <w:spacing w:after="0"/>
              <w:rPr>
                <w:sz w:val="1"/>
                <w:szCs w:val="1"/>
                <w:color w:val="auto"/>
              </w:rPr>
            </w:pPr>
          </w:p>
        </w:tc>
      </w:tr>
      <w:tr>
        <w:trPr>
          <w:trHeight w:val="152"/>
        </w:trPr>
        <w:tc>
          <w:tcPr>
            <w:tcW w:w="4300" w:type="dxa"/>
            <w:vAlign w:val="bottom"/>
          </w:tcPr>
          <w:p>
            <w:pPr>
              <w:ind w:left="20"/>
              <w:spacing w:after="0" w:line="153" w:lineRule="exact"/>
              <w:rPr>
                <w:sz w:val="20"/>
                <w:szCs w:val="20"/>
                <w:color w:val="auto"/>
              </w:rPr>
            </w:pPr>
            <w:r>
              <w:rPr>
                <w:rFonts w:ascii="Arial" w:cs="Arial" w:eastAsia="Arial" w:hAnsi="Arial"/>
                <w:sz w:val="14"/>
                <w:szCs w:val="14"/>
                <w:color w:val="auto"/>
              </w:rPr>
              <w:t>Signature [PLEASE SIGN WITHIN BOX]</w:t>
            </w:r>
          </w:p>
        </w:tc>
        <w:tc>
          <w:tcPr>
            <w:tcW w:w="1100" w:type="dxa"/>
            <w:vAlign w:val="bottom"/>
          </w:tcPr>
          <w:p>
            <w:pPr>
              <w:spacing w:after="0" w:line="153" w:lineRule="exact"/>
              <w:rPr>
                <w:sz w:val="20"/>
                <w:szCs w:val="20"/>
                <w:color w:val="auto"/>
              </w:rPr>
            </w:pPr>
            <w:r>
              <w:rPr>
                <w:rFonts w:ascii="Arial" w:cs="Arial" w:eastAsia="Arial" w:hAnsi="Arial"/>
                <w:sz w:val="14"/>
                <w:szCs w:val="14"/>
                <w:color w:val="auto"/>
              </w:rPr>
              <w:t>Date</w:t>
            </w:r>
          </w:p>
        </w:tc>
        <w:tc>
          <w:tcPr>
            <w:tcW w:w="900" w:type="dxa"/>
            <w:vAlign w:val="bottom"/>
          </w:tcPr>
          <w:p>
            <w:pPr>
              <w:ind w:left="240"/>
              <w:spacing w:after="0" w:line="139" w:lineRule="exact"/>
              <w:rPr>
                <w:sz w:val="20"/>
                <w:szCs w:val="20"/>
                <w:color w:val="auto"/>
              </w:rPr>
            </w:pPr>
            <w:r>
              <w:rPr>
                <w:rFonts w:ascii="Arial" w:cs="Arial" w:eastAsia="Arial" w:hAnsi="Arial"/>
                <w:sz w:val="14"/>
                <w:szCs w:val="14"/>
                <w:b w:val="1"/>
                <w:bCs w:val="1"/>
                <w:color w:val="auto"/>
              </w:rPr>
              <w:t>P40365</w:t>
            </w:r>
          </w:p>
        </w:tc>
        <w:tc>
          <w:tcPr>
            <w:tcW w:w="2320" w:type="dxa"/>
            <w:vAlign w:val="bottom"/>
          </w:tcPr>
          <w:p>
            <w:pPr>
              <w:spacing w:after="0" w:line="153" w:lineRule="exact"/>
              <w:rPr>
                <w:sz w:val="20"/>
                <w:szCs w:val="20"/>
                <w:color w:val="auto"/>
              </w:rPr>
            </w:pPr>
            <w:r>
              <w:rPr>
                <w:rFonts w:ascii="Arial" w:cs="Arial" w:eastAsia="Arial" w:hAnsi="Arial"/>
                <w:sz w:val="14"/>
                <w:szCs w:val="14"/>
                <w:color w:val="auto"/>
              </w:rPr>
              <w:t>Signature (Joint Owners)</w:t>
            </w:r>
          </w:p>
        </w:tc>
        <w:tc>
          <w:tcPr>
            <w:tcW w:w="680" w:type="dxa"/>
            <w:vAlign w:val="bottom"/>
          </w:tcPr>
          <w:p>
            <w:pPr>
              <w:spacing w:after="0" w:line="153" w:lineRule="exact"/>
              <w:rPr>
                <w:sz w:val="20"/>
                <w:szCs w:val="20"/>
                <w:color w:val="auto"/>
              </w:rPr>
            </w:pPr>
            <w:r>
              <w:rPr>
                <w:rFonts w:ascii="Arial" w:cs="Arial" w:eastAsia="Arial" w:hAnsi="Arial"/>
                <w:sz w:val="14"/>
                <w:szCs w:val="14"/>
                <w:color w:val="auto"/>
              </w:rPr>
              <w:t>Date</w:t>
            </w:r>
          </w:p>
        </w:tc>
        <w:tc>
          <w:tcPr>
            <w:tcW w:w="2140" w:type="dxa"/>
            <w:vAlign w:val="bottom"/>
          </w:tcPr>
          <w:p>
            <w:pPr>
              <w:jc w:val="right"/>
              <w:ind w:right="92"/>
              <w:spacing w:after="0" w:line="13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348"/>
        </w:trPr>
        <w:tc>
          <w:tcPr>
            <w:tcW w:w="43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OCWEN FINANCIAL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1661 Worthington Road, Suite 100 – West Palm Beach, Florida 33409</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REVOCABLE PROXY</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THlS PROXY IS SOLICITED ON BEHALF OF THE BOARD OF DIRECTORS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USE ONLY AT THE ANNUAL MEETING OF SHAREHOLDERS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8, 2008, AND AT ANY ADJOURNMENT THEREOF.</w:t>
      </w:r>
    </w:p>
    <w:p>
      <w:pPr>
        <w:spacing w:after="0" w:line="21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undersigned hereby appoints William C. Erbey, Ronald M. Faris and Kevin J. Wilcox, or any of them, as proxy, with full powers of substitution, and hereby authorizes them to represent and vote, as designated on the reverse side, all the shares of Common Stock of Ocwen Financial Corporation (the “Company”) held of record by the undersigned on March 10, 2008, at the Annual Meeting of Shareholders to be held at the offices of the Company located at 1661 Worthington Road, Suite 100, West Palm Beach, Florida 33409 on May 8, 2008 at 9:00 a.m., Eastern Daylight Time and at any adjournment thereof.</w:t>
      </w:r>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Shares of Common Stock of the Company will be voted as specified. </w:t>
      </w:r>
      <w:r>
        <w:rPr>
          <w:rFonts w:ascii="Arial" w:cs="Arial" w:eastAsia="Arial" w:hAnsi="Arial"/>
          <w:sz w:val="18"/>
          <w:szCs w:val="18"/>
          <w:b w:val="1"/>
          <w:bCs w:val="1"/>
          <w:color w:val="auto"/>
        </w:rPr>
        <w:t>If you execute and return this proxy without specific voting instructions, this proxy will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be voted FOR the election of each of the Board of Directors’ nominees to the Board of Directors and FOR the ratification of the appointment of PricewaterhouseCoopers LLP as independent registered certified public accounting firm. </w:t>
      </w:r>
      <w:r>
        <w:rPr>
          <w:rFonts w:ascii="Arial" w:cs="Arial" w:eastAsia="Arial" w:hAnsi="Arial"/>
          <w:sz w:val="18"/>
          <w:szCs w:val="18"/>
          <w:color w:val="auto"/>
        </w:rPr>
        <w:t>You may revoke this proxy at any time prior to the time it is voted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Annual Meeting.</w:t>
      </w:r>
    </w:p>
    <w:p>
      <w:pPr>
        <w:spacing w:after="0" w:line="1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undersigned hereby acknowledges receipt of the Notice of Annual Meeting of Shareholders of Ocwen Financial Corporation to be held on May 8, 2008, or any adjournment thereof, a Proxy Statement for the Annual Meeting and the 2007 Annual Report to Shareholders of the Company prior to the signing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7073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707390"/>
                    </a:xfrm>
                    <a:prstGeom prst="rect">
                      <a:avLst/>
                    </a:prstGeom>
                    <a:noFill/>
                  </pic:spPr>
                </pic:pic>
              </a:graphicData>
            </a:graphic>
          </wp:anchor>
        </w:drawing>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(Continued and to be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x"/>
      <w:numFmt w:val="bullet"/>
      <w:start w:val="1"/>
    </w:lvl>
  </w:abstractNum>
  <w:abstractNum w:abstractNumId="2">
    <w:nsid w:val="41A7C4C9"/>
    <w:multiLevelType w:val="hybridMultilevel"/>
    <w:lvl w:ilvl="0">
      <w:lvlJc w:val="left"/>
      <w:lvlText w:val="o"/>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3"/>
    </w:lvl>
  </w:abstractNum>
  <w:abstractNum w:abstractNumId="21">
    <w:nsid w:val="79838CB2"/>
    <w:multiLevelType w:val="hybridMultilevel"/>
    <w:lvl w:ilvl="0">
      <w:lvlJc w:val="left"/>
      <w:lvlText w:val="(%1)"/>
      <w:numFmt w:val="decimal"/>
      <w:start w:val="4"/>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2"/>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2019-12-11T14:48:27Z</dcterms:created>
  <dcterms:modified xsi:type="dcterms:W3CDTF">2019-12-11T14:48:27Z</dcterms:modified>
</cp:coreProperties>
</file>