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9"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(Name of Registrant as Specified in its Charter)</w:t>
      </w:r>
    </w:p>
    <w:p>
      <w:pPr>
        <w:spacing w:after="0" w:line="158" w:lineRule="exact"/>
        <w:rPr>
          <w:sz w:val="24"/>
          <w:szCs w:val="24"/>
          <w:color w:val="auto"/>
        </w:rPr>
      </w:pPr>
    </w:p>
    <w:p>
      <w:pPr>
        <w:ind w:left="5560"/>
        <w:spacing w:after="0"/>
        <w:rPr>
          <w:sz w:val="20"/>
          <w:szCs w:val="20"/>
          <w:color w:val="auto"/>
        </w:rPr>
      </w:pPr>
      <w:r>
        <w:rPr>
          <w:rFonts w:ascii="Arial" w:cs="Arial" w:eastAsia="Arial" w:hAnsi="Arial"/>
          <w:sz w:val="18"/>
          <w:szCs w:val="18"/>
          <w:color w:val="auto"/>
        </w:rPr>
        <w:t>N/A</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1"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157"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1160" w:hanging="567"/>
        <w:spacing w:after="0" w:line="323"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9" w:lineRule="exact"/>
        <w:rPr>
          <w:sz w:val="24"/>
          <w:szCs w:val="24"/>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3408045</wp:posOffset>
            </wp:positionH>
            <wp:positionV relativeFrom="page">
              <wp:posOffset>88900</wp:posOffset>
            </wp:positionV>
            <wp:extent cx="746125" cy="797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46125" cy="7975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March 31,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behalf of the Board of Directors, I cordially invite you to attend the Annual Meeting of Shareholders of Ocwen Financial Corporation which will be held at the offices of the company located at 1661 Worthington Road, Suite 100, West Palm Beach, Florida 33409, on Thursday, May 10, 2007, at 9:00 a.m., Eastern Daylight Time. The matters to be considered by shareholders at the Annual Meeting are described in detail in the accompanying materials.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are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1661 Worthington Road, Suite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19"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Thursday, May 10, 2007</w:t>
      </w:r>
    </w:p>
    <w:p>
      <w:pPr>
        <w:spacing w:after="0" w:line="1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1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Ocwen Financial Corporation</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West Palm Beach, Florida 33409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31"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for a one-year term and/or until their successors are elected and qualified;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2007 Equity Incentive Plan; and</w:t>
      </w:r>
    </w:p>
    <w:p>
      <w:pPr>
        <w:spacing w:after="0" w:line="157"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our Board of Directors of PricewaterhouseCoopers LLP as the independent registered certified public accounting firm of Ocwen Financial Corporation for the fiscal year ending December 31, 2007;</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 Management is not aware of any such other business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31" w:lineRule="exact"/>
        <w:rPr>
          <w:sz w:val="20"/>
          <w:szCs w:val="20"/>
          <w:color w:val="auto"/>
        </w:rPr>
      </w:pPr>
    </w:p>
    <w:p>
      <w:pPr>
        <w:ind w:left="1160" w:hanging="571"/>
        <w:spacing w:after="0" w:line="26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of Directors has fixed March 9, 2007 as the record date for the determination of shareholders entitled to notice of and to vote at the Annual Meeting.</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Kevin J.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31,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sent you this proxy statement on or about March 31, 2007 as a holder of common stock, because our Board of Directors is soliciting your proxy to be used at our Annual Meeting of Shareholders and at any adjournment of this meeting. The meeting will be held at our offices located at 1661 Worthington Road, Suite 100, West Palm Beach, Florida 33409, on Thursday, May 10, 2007, at 9:00 a.m., Eastern Daylight Time for the purposes listed in the Notice of Annual Meeting of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properly complete, sign and return your proxy to Ocwen and do not revoke it prior to its use, it will be voted in accordance with your instructions. If no contrary instructions are given, each proxy received will be voted:</w:t>
      </w:r>
    </w:p>
    <w:p>
      <w:pPr>
        <w:spacing w:after="0" w:line="186"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of the nominees for Director;</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of the 2007 Equity Incentive Plan;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ratification of the appointment of PricewaterhouseCoopers LLP as our independent registered certified public accounting firm for 2007; and</w:t>
      </w:r>
    </w:p>
    <w:p>
      <w:pPr>
        <w:spacing w:after="0" w:line="180"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proxy may be used only at the Annual Meeting and any adjournment of this meeting and will not be used for any other meeting. You have the power to revoke your proxy at any time before it is exercised by:</w:t>
      </w:r>
    </w:p>
    <w:p>
      <w:pPr>
        <w:spacing w:after="0" w:line="186"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w:t>
      </w:r>
    </w:p>
    <w:p>
      <w:pPr>
        <w:spacing w:after="0" w:line="157" w:lineRule="exact"/>
        <w:rPr>
          <w:rFonts w:ascii="Arial" w:cs="Arial" w:eastAsia="Arial" w:hAnsi="Arial"/>
          <w:sz w:val="18"/>
          <w:szCs w:val="18"/>
          <w:color w:val="auto"/>
        </w:rPr>
      </w:pPr>
    </w:p>
    <w:p>
      <w:pPr>
        <w:ind w:left="1160" w:right="8180"/>
        <w:spacing w:after="0" w:line="286" w:lineRule="auto"/>
        <w:rPr>
          <w:rFonts w:ascii="Arial" w:cs="Arial" w:eastAsia="Arial" w:hAnsi="Arial"/>
          <w:sz w:val="18"/>
          <w:szCs w:val="18"/>
          <w:color w:val="auto"/>
        </w:rPr>
      </w:pPr>
      <w:r>
        <w:rPr>
          <w:rFonts w:ascii="Arial" w:cs="Arial" w:eastAsia="Arial" w:hAnsi="Arial"/>
          <w:sz w:val="16"/>
          <w:szCs w:val="16"/>
          <w:color w:val="auto"/>
        </w:rPr>
        <w:t>Kevin J. Wilcox, Secretary Ocwen Financial Corporation</w:t>
      </w:r>
    </w:p>
    <w:p>
      <w:pPr>
        <w:ind w:left="1160" w:right="7820"/>
        <w:spacing w:after="0" w:line="361" w:lineRule="auto"/>
        <w:rPr>
          <w:rFonts w:ascii="Arial" w:cs="Arial" w:eastAsia="Arial" w:hAnsi="Arial"/>
          <w:sz w:val="18"/>
          <w:szCs w:val="18"/>
          <w:color w:val="auto"/>
        </w:rPr>
      </w:pPr>
      <w:r>
        <w:rPr>
          <w:rFonts w:ascii="Arial" w:cs="Arial" w:eastAsia="Arial" w:hAnsi="Arial"/>
          <w:sz w:val="15"/>
          <w:szCs w:val="15"/>
          <w:color w:val="auto"/>
        </w:rPr>
        <w:t>1661 Worthington Road, Suite 100 West Palm Beach, Florida 33409</w:t>
      </w:r>
    </w:p>
    <w:p>
      <w:pPr>
        <w:spacing w:after="0" w:line="5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are entitled to vote at the Annual Meeting or any adjournment of this meeting if you are a holder of record of our common stock at the close of business on March 9, 2007. At the close of business on March 9, 2007, there were 63,183,427 shares of common stock issued and outstanding and no other class of equity securities outstanding. Each share of our common stock is entitled to one vote at the Annual Meeting on all matters properly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Assuming a quorum, the eight persons receiving the greatest number of votes for Director will be elected as Directors of Ocwen. You may vote in favor of or withhold authority to vote for one or more nominees for Director. The proposals to approve the 2007 Equity Incentive Plan and to ratify the appointment of PricewaterhouseCoopers LLP as our independent registered certified public accounting firm for 2007, and any other matter properly submitted for your consideration at the Annual Meeting (other than the election of Directors), will be approved if the votes cast in favor of the action exceed the votes cast opposing the action.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New York Stock Exchange precludes brokers from giving a proxy to vote on non-routine items, such as approval of the 2007 Equity Incentive Plan.</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Many banks and brokerage firms offer the option of voting over the Internet or by telephone. Please contact your bank or brokerage firm for further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(Proposal One)</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eight members, with the exact number to be fixed by our Board of Directors. On July 26, 2005, our Board of Directors fixed the number of directors at eight. Directors are elected annually and hold office until the earlier of the election and qualification of their successors or their resignation and removal.</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will propose the eight nominees listed below for election as Directors at the Annual Meeting. All eight nominees are currently our Directors. There are no arrangements or understandings between any nominee and any other person for selection as a nominee.</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Nomination/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35"/>
                <w:szCs w:val="35"/>
                <w:b w:val="1"/>
                <w:bCs w:val="1"/>
                <w:color w:val="auto"/>
                <w:w w:val="75"/>
                <w:vertAlign w:val="subscript"/>
              </w:rPr>
              <w:t>Age</w:t>
            </w:r>
            <w:r>
              <w:rPr>
                <w:rFonts w:ascii="Arial" w:cs="Arial" w:eastAsia="Arial" w:hAnsi="Arial"/>
                <w:sz w:val="15"/>
                <w:szCs w:val="15"/>
                <w:color w:val="auto"/>
                <w:w w:val="75"/>
              </w:rPr>
              <w:t xml:space="preserve"> (1)</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w:t>
            </w: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Audit</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Governance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c>
          <w:tcPr>
            <w:tcW w:w="2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Committee</w:t>
            </w:r>
          </w:p>
        </w:tc>
        <w:tc>
          <w:tcPr>
            <w:tcW w:w="2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Committee</w:t>
            </w:r>
          </w:p>
        </w:tc>
        <w:tc>
          <w:tcPr>
            <w:tcW w:w="1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Committee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3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57</w:t>
            </w:r>
          </w:p>
        </w:tc>
        <w:tc>
          <w:tcPr>
            <w:tcW w:w="16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1988</w:t>
            </w: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ind w:left="5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(2)</w:t>
            </w: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Ronald M. Faris</w:t>
            </w:r>
          </w:p>
        </w:tc>
        <w:tc>
          <w:tcPr>
            <w:tcW w:w="13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44</w:t>
            </w:r>
          </w:p>
        </w:tc>
        <w:tc>
          <w:tcPr>
            <w:tcW w:w="16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2003</w:t>
            </w:r>
          </w:p>
        </w:tc>
        <w:tc>
          <w:tcPr>
            <w:tcW w:w="200" w:type="dxa"/>
            <w:vAlign w:val="bottom"/>
          </w:tcPr>
          <w:p>
            <w:pPr>
              <w:spacing w:after="0"/>
              <w:rPr>
                <w:sz w:val="18"/>
                <w:szCs w:val="18"/>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13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57</w:t>
            </w:r>
          </w:p>
        </w:tc>
        <w:tc>
          <w:tcPr>
            <w:tcW w:w="16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2005</w:t>
            </w: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X</w:t>
            </w: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Ronald J. Korn</w:t>
            </w:r>
          </w:p>
        </w:tc>
        <w:tc>
          <w:tcPr>
            <w:tcW w:w="13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66</w:t>
            </w:r>
          </w:p>
        </w:tc>
        <w:tc>
          <w:tcPr>
            <w:tcW w:w="16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2003</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ind w:left="4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(2)</w:t>
            </w:r>
          </w:p>
        </w:tc>
        <w:tc>
          <w:tcPr>
            <w:tcW w:w="180" w:type="dxa"/>
            <w:vAlign w:val="bottom"/>
          </w:tcPr>
          <w:p>
            <w:pPr>
              <w:spacing w:after="0"/>
              <w:rPr>
                <w:sz w:val="18"/>
                <w:szCs w:val="18"/>
                <w:color w:val="auto"/>
              </w:rPr>
            </w:pPr>
          </w:p>
        </w:tc>
        <w:tc>
          <w:tcPr>
            <w:tcW w:w="1380" w:type="dxa"/>
            <w:vAlign w:val="bottom"/>
          </w:tcPr>
          <w:p>
            <w:pPr>
              <w:ind w:left="560"/>
              <w:spacing w:after="0"/>
              <w:rPr>
                <w:sz w:val="20"/>
                <w:szCs w:val="20"/>
                <w:color w:val="auto"/>
              </w:rPr>
            </w:pPr>
            <w:r>
              <w:rPr>
                <w:rFonts w:ascii="Arial" w:cs="Arial" w:eastAsia="Arial" w:hAnsi="Arial"/>
                <w:sz w:val="18"/>
                <w:szCs w:val="18"/>
                <w:color w:val="auto"/>
              </w:rPr>
              <w:t>X</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3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62</w:t>
            </w:r>
          </w:p>
        </w:tc>
        <w:tc>
          <w:tcPr>
            <w:tcW w:w="16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2002</w:t>
            </w: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X</w:t>
            </w: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shd w:val="clear" w:color="auto" w:fill="EAF9E8"/>
          </w:tcPr>
          <w:p>
            <w:pPr>
              <w:ind w:left="5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W. Michael Linn</w:t>
            </w:r>
          </w:p>
        </w:tc>
        <w:tc>
          <w:tcPr>
            <w:tcW w:w="13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58</w:t>
            </w:r>
          </w:p>
        </w:tc>
        <w:tc>
          <w:tcPr>
            <w:tcW w:w="16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AF9E8"/>
          </w:tcPr>
          <w:p>
            <w:pPr>
              <w:spacing w:after="0"/>
              <w:rPr>
                <w:sz w:val="20"/>
                <w:szCs w:val="20"/>
                <w:color w:val="auto"/>
              </w:rPr>
            </w:pPr>
            <w:r>
              <w:rPr>
                <w:rFonts w:ascii="Arial" w:cs="Arial" w:eastAsia="Arial" w:hAnsi="Arial"/>
                <w:sz w:val="18"/>
                <w:szCs w:val="18"/>
                <w:color w:val="auto"/>
              </w:rPr>
              <w:t>W. C. Martin</w:t>
            </w:r>
          </w:p>
        </w:tc>
        <w:tc>
          <w:tcPr>
            <w:tcW w:w="13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58</w:t>
            </w:r>
          </w:p>
        </w:tc>
        <w:tc>
          <w:tcPr>
            <w:tcW w:w="16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9"/>
              </w:rPr>
              <w:t>1996</w:t>
            </w: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ind w:left="5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(2)</w:t>
            </w:r>
          </w:p>
        </w:tc>
        <w:tc>
          <w:tcPr>
            <w:tcW w:w="180" w:type="dxa"/>
            <w:vAlign w:val="bottom"/>
            <w:shd w:val="clear" w:color="auto" w:fill="EAF9E8"/>
          </w:tcPr>
          <w:p>
            <w:pPr>
              <w:spacing w:after="0"/>
              <w:rPr>
                <w:sz w:val="18"/>
                <w:szCs w:val="18"/>
                <w:color w:val="auto"/>
              </w:rPr>
            </w:pPr>
          </w:p>
        </w:tc>
        <w:tc>
          <w:tcPr>
            <w:tcW w:w="1360" w:type="dxa"/>
            <w:vAlign w:val="bottom"/>
            <w:shd w:val="clear" w:color="auto" w:fill="EAF9E8"/>
          </w:tcPr>
          <w:p>
            <w:pPr>
              <w:ind w:left="5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Barry N. Wish</w:t>
            </w:r>
          </w:p>
        </w:tc>
        <w:tc>
          <w:tcPr>
            <w:tcW w:w="13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65</w:t>
            </w:r>
          </w:p>
        </w:tc>
        <w:tc>
          <w:tcPr>
            <w:tcW w:w="16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1988</w:t>
            </w:r>
          </w:p>
        </w:tc>
        <w:tc>
          <w:tcPr>
            <w:tcW w:w="200" w:type="dxa"/>
            <w:vAlign w:val="bottom"/>
          </w:tcPr>
          <w:p>
            <w:pPr>
              <w:spacing w:after="0"/>
              <w:rPr>
                <w:sz w:val="19"/>
                <w:szCs w:val="19"/>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560"/>
              <w:spacing w:after="0"/>
              <w:rPr>
                <w:sz w:val="20"/>
                <w:szCs w:val="20"/>
                <w:color w:val="auto"/>
              </w:rPr>
            </w:pPr>
            <w:r>
              <w:rPr>
                <w:rFonts w:ascii="Arial" w:cs="Arial" w:eastAsia="Arial" w:hAnsi="Arial"/>
                <w:sz w:val="18"/>
                <w:szCs w:val="18"/>
                <w:color w:val="auto"/>
              </w:rPr>
              <w:t>X</w:t>
            </w:r>
          </w:p>
        </w:tc>
        <w:tc>
          <w:tcPr>
            <w:tcW w:w="1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As of March 31, 2007</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Committee Chairman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years and additional biographical information of each Director of Ocwen is set forth below.</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b w:val="1"/>
          <w:bCs w:val="1"/>
          <w:i w:val="1"/>
          <w:iCs w:val="1"/>
          <w:color w:val="auto"/>
        </w:rPr>
        <w:t>William C. Erbey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Erbey has served as the Chairman of the Board of Directors of Ocwen since September 1996, as the Chief Executive Officer of Ocwen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1988 and as the President of Ocwen from January 1988 to May 1998.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a Masters of Business Administration from Harvard University.</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Ronald M. Faris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Faris has served as a Director of Ocwen since May 2003 and as the President of Ocwen since March 2001. Mr. Faris served as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of Ocwen from May 1998 to March 2001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 w:name="page7"/>
    <w:bookmarkEnd w:id="6"/>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Martha Clark Goss. </w:t>
      </w:r>
      <w:r>
        <w:rPr>
          <w:rFonts w:ascii="Arial" w:cs="Arial" w:eastAsia="Arial" w:hAnsi="Arial"/>
          <w:sz w:val="16"/>
          <w:szCs w:val="16"/>
          <w:color w:val="auto"/>
        </w:rPr>
        <w:t>Ms. Goss has served as a Director of Ocwen since July 2005. Ms. Goss has served as Chief Operating and Financial Officer of Amwell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and Hopewell Holdings LLC since 2003. She previously served as Chief Financial Officer for The Capital Markets Company, a provider of e-based solutions to the global financial services and capital markets industry, and for Booz Allen &amp; Hamilton Inc., a management consulting firm. Ms. Goss has held various senior executive positions with Prudential Insurance Company of America and Chase Manhattan Bank, N.A. Ms. Goss has served on the boards of Claire’s Stores, Inc., American Water, Channel Reinsurance Holding, Ltd., Foster Wheeler Ltd., Dexter Corporation, IBJ Whitehall Business Credit Corporation, Bank Leumi, USA, Allianz Life Insurance Company of New York, the Metropolitan Regional Advisory Board of Chase Manhattan Bank, and the Advisory Boards of Attensity and the McLean Group as well as the boards of various subsidiaries of The Prudential Insurance Company of America. Ms. Goss holds a Bachelor of Arts from Brown University and a Masters of Business Administration from Harvard University.</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Ronald J. Korn. </w:t>
      </w:r>
      <w:r>
        <w:rPr>
          <w:rFonts w:ascii="Arial" w:cs="Arial" w:eastAsia="Arial" w:hAnsi="Arial"/>
          <w:sz w:val="16"/>
          <w:szCs w:val="16"/>
          <w:color w:val="auto"/>
        </w:rPr>
        <w:t>Mr. Korn has served as a Director of Ocwen since May 2003. Mr. Korn is currently the President of Ronald Korn Consulting, which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and marketing services to a limited number of clients. Mr. Korn has been Director and Chairman of the Audit Committee of PetMed Express, Inc. since 2002. He has also served as a Director and Chairman of the Audit Committee of Comscore Networks,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from New York University Law School.</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William H. Lacy. </w:t>
      </w:r>
      <w:r>
        <w:rPr>
          <w:rFonts w:ascii="Arial" w:cs="Arial" w:eastAsia="Arial" w:hAnsi="Arial"/>
          <w:sz w:val="16"/>
          <w:szCs w:val="16"/>
          <w:color w:val="auto"/>
        </w:rPr>
        <w:t>Mr. Lacy has served as a Director of Ocwen since May 2002. Mr. Lacy was formerly Chairman of Mortgage Guaranty Insurance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Chairman and Chief Executive Officer of MGIC Investment Corporation, Milwaukee, Wisconsin. Both corporations are providers of private mortgage guaranty insurance and other mortgage-related services. Mr. Lacy is also a Director of ACA Capital Holdings, Inc. and of Johnson Controls, Inc. Mr. Lacy is Chairman of Johnson Controls’ Finance Committee and serves on Johnson Controls’ Compensation Committee. He is also a member of ACA Capital’s Risk Management and Audit Committees. Mr. Lacy holds a Bachelor of Arts from the School of Business at the University of Wisconsin.</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W. Michael Linn. </w:t>
      </w:r>
      <w:r>
        <w:rPr>
          <w:rFonts w:ascii="Arial" w:cs="Arial" w:eastAsia="Arial" w:hAnsi="Arial"/>
          <w:sz w:val="16"/>
          <w:szCs w:val="16"/>
          <w:color w:val="auto"/>
        </w:rPr>
        <w:t>Mr. Linn has served as a Director of Ocwen since August 2002 and became employed by the Company as Executive Vice President of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Marketing on February 17, 2004. He currently heads the Business Process Outsourcing business segment. Prior to joining Ocwen, Mr. Linn was the Chairman and Chief Executive Officer of Max Q Technologies, Inc., Findlay, Ohio. Prior to joining Max Q Technologies, he served as the Executive Vice President of Sales and Marketing of Solomon Software, Inc., a corporation now owned by Microsoft Corporation. Mr. Linn currently serves on the Board of Directors of National Lime &amp; Stone. He holds a Bachelor of Arts and a Masters of Business Administration from Harvard University.</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W. C. Martin. </w:t>
      </w:r>
      <w:r>
        <w:rPr>
          <w:rFonts w:ascii="Arial" w:cs="Arial" w:eastAsia="Arial" w:hAnsi="Arial"/>
          <w:sz w:val="16"/>
          <w:szCs w:val="16"/>
          <w:color w:val="auto"/>
        </w:rPr>
        <w:t>Mr. Martin has served as a Director of Ocwen since July 1996. Since 1982, Mr. Martin has been associated with Holding Capital Group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Chief Executive Officer of HCG Technologies, Inc., a holding company formed by him and HCG to acquire, fund or start technology companies. In 1999, he became Chief Executive Officer of SV Microwave Components Group, Inc., a newly formed subsidiary of HCG Technologies, Inc. engaged in the design, production and sale of passive microwave devices. On May 31, 2005, HCG Technologies, Inc. and its subsidiaries were sold to Amphenol Corp., and Mr. Martin continues as General Manager of the former HCG Technologies, Inc. businesses. Prior to 1982, Mr. Martin was a Manager in Touche Ross &amp; Company’s Management Consulting Division, and prior to that, he held positions in financial management with Chrysler Corporation. Mr. Martin holds a Bachelor of Science in Industrial Management from LaSalle University and a Masters of Business Administration from the University of Notre Dame.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Barry N. Wish. </w:t>
      </w:r>
      <w:r>
        <w:rPr>
          <w:rFonts w:ascii="Arial" w:cs="Arial" w:eastAsia="Arial" w:hAnsi="Arial"/>
          <w:sz w:val="18"/>
          <w:szCs w:val="18"/>
          <w:color w:val="auto"/>
        </w:rPr>
        <w:t>Mr. Wish has served as Chairman Emeritus of the Board of Directors of Ocwen since September 1996. He previously served as 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from Bowdoin College.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Board of Directors held six meetings during 2006. None of our Directors attended fewer than 75% of either these meetings or of the number of meetings held by all committees of our Board of Directors on which he or she served during the period. Although we do not have a formal policy regarding Director attendance at the Annual Meeting, our Directors are encouraged to attend. All eight members of our Board of Directors attended our 2006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the listing standards of the New York Stock Exchange and applicable law.</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Only those Directors who are determined by our Board of Directors to have no material relationship with Ocwen are considered independent Directors. This determination is based in part on analysis of categorical questionnaire responses that follow the independence standards established by the New York Stock Exchange and is subject to additional qualifications prescribed under its listing standards and applicable law. Our current Board of Directors has determined that Ms. Goss and Messrs. Korn, Lacy, Martin and Wish are independent Directors. Specifically with regard to Mr. Wish, our Board of Directors considered his previous service as the managing General Partner of The Oxford Financial Group, the predecessor of Ocwen, and determined that such service has not impaired his independence from Ocwen and our management.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tends to further align a director’s interests with those of our other shareholders. The purpose of this review was to determine whether any such transactions or relationships were inconsistent with a determination that the Director is independent.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Board of Directors has established an Executive Committee, an Audit Committee, a Compensation Committee and a Nomination/Governance Committee. A brief description of these Committees is provided below.</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The Executive Committee approved one transaction in 2006 by unanimous written consent in lieu of a meeting. This transaction related to the purchase of Sun Trust Bank Index-Linked Certificates of Deposit maturing March and April 2021 by Ocwen Investment Trust and was ratified by the Board of Directors at their next meeting. On March 25, 2003, our Board of Directors authorized the Chairman and Chief Executive Officer to approve and/or to designate in writing certain individuals to approve actions that are required to be documented by counter parties, but do not require action by the Board of Directors. Such actions would include approving, signing and executing checks and electronic funds transmissions, dissolving or merging our wholly-owned subsidiaries and performing such other ministerial actions on such terms, conditions and limits as the Chairman deems appropriate in his sole discretion. In 2006, the Chairman approved 28 transactions in this manner on behalf of the Board of Directors. All such approvals and designations by the Chairman were provided to the Board of Directors at or before their next meeting and ratified by the Board of Directors at the next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certified public accounting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is independent as defined in regulations adopted by the Securities and Exchange Commission and the listing standards of the New York Stock Exchange. Our Board of Directors has determined that all members of our Audit Committee are financially literate. Further, our Board of Directors has determined that Ronald J. Korn and Martha C. Goss possess accounting or related financial management expertise within the meaning of the listing standards of the New York Stock Exchange and each qualifies as an audit committee financial expert, as that term is defined in Securities and Exchange Commission rules implementing requirements of the Sarbanes-Oxley Act of 2002. Our Audit Committee operates under a written charter approved by our Board of Directors, a copy of which is available on our website at www.ocwen.com. This Committee met 12 times during 2006.</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Executive Officers. The Compensation Committee reviews with the Chief Executive Officer and subsequently approves all executive compensation plans, any severance or termination arrangement,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Committee shared jurisdiction with our full Board of Directors over the administration of and grants under the 1991 Equity Incentive Plan and will share jurisdiction with our full Board of Directors over the administration of the 2007 Equity Incentive Plan if approved by the shareholders at the Annual Meeting. Our Compensation Committee operates under a written charter approved by our Board of Directors, a copy of which is available on our website at www.ocwen.com. This Committee met three times during 2006.</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Compensation Committee has the authority, at our expense, to retain independent counsel or other advisers as it deems necessary in connection with its responsibilities at our expense; however the Compensation Committee did not engage an outside compensation consultant in 2006. Certain executives are involved in the design and implementation of our executive compensation programs, including the Chief Executive Officer and Senior Vice President of Human Resources,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Senior Vice President of Human Resources for development and execution.</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members of the Compensation Committee for 2006 were Messrs. Korn, Martin and Wish.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member of this Committee was, at any time during the 2006 fiscal year or 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or more executive officers who served as a member of our Board of Directors or our Compensation Committee during the 2006 fiscal year.</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 to our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Each member of our Nomination/Governance Committee is independent as defined in the listing standards of the New York Stock Exchange. Our Nomination/Governance Committee operates under a written charter approved by our Board of Directors, a copy of which is available on our web site at www.ocwen.com. This Committee met three times during 2006.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6"/>
          <w:szCs w:val="16"/>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knowledge, experience, skills, expertise, diversity and the interplay of the candidate’s experience with the background of other members of our Board of Directors. 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 In evaluating the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2008 Annual Meeting, we must receive your recommendations by November 1,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evaluation of the Board of Directors.</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Nomination/Governance Committee reviews our Corporate Governance Guidelines at least once a year and, if necessary, recommends changes to our Board of Directors. Our Corporate Governance Guidelines are available on our web site at www.ocwen.com and are available to any shareholder who requests them by writing to our Secretary at Ocwen Financial Corporation, 1661 Worthington Road, Suite 100, West Palm Beach, Florida 33409.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Non-management Directors met in executive session without management six times during 2006. A non-management Director presides on a rotational basis as determined by our Board of Directors at each executive session.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you desire to contact our Board of Directors or any individual Director regarding Ocwen, you may do so by mail addressed to our Secretary at Ocwen Financial Corporation, 1661 Worthington Road, Suite 100, West Palm Beach, Florida 33409. Communications received in writing are distributed to our Board of Directors or to individual Directors, as appropriate, depending on the facts and circumstances outlined in the communication received.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as required by the New York Stock Exchange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our Chief Financial Officer and our Chief Accounting Officer. The Code of Business Conduct and Ethics and the Code of Ethics for Senior Financial Officers are available on our website at www.ocwen.com and are available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following table discloses compensation received by each non-management member of our Board of Directors who served as a Director during fiscal year 2006. Our management Directors do not receive an annual retainer or any other compensation for their service on the Board of Directors.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212"/>
              <w:spacing w:after="0"/>
              <w:rPr>
                <w:sz w:val="20"/>
                <w:szCs w:val="20"/>
                <w:color w:val="auto"/>
              </w:rPr>
            </w:pPr>
            <w:r>
              <w:rPr>
                <w:rFonts w:ascii="Arial" w:cs="Arial" w:eastAsia="Arial" w:hAnsi="Arial"/>
                <w:sz w:val="18"/>
                <w:szCs w:val="18"/>
                <w:b w:val="1"/>
                <w:bCs w:val="1"/>
                <w:color w:val="auto"/>
              </w:rPr>
              <w:t>Fees Earned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72"/>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19"/>
                <w:szCs w:val="19"/>
                <w:color w:val="auto"/>
              </w:rPr>
            </w:pPr>
          </w:p>
        </w:tc>
        <w:tc>
          <w:tcPr>
            <w:tcW w:w="1520" w:type="dxa"/>
            <w:vAlign w:val="bottom"/>
          </w:tcPr>
          <w:p>
            <w:pPr>
              <w:ind w:left="38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b w:val="1"/>
                <w:bCs w:val="1"/>
                <w:color w:val="auto"/>
                <w:w w:val="90"/>
              </w:rPr>
              <w:t>Or Paid in Cash</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b w:val="1"/>
                <w:bCs w:val="1"/>
                <w:color w:val="auto"/>
                <w:w w:val="89"/>
              </w:rPr>
              <w:t>Awards</w:t>
            </w:r>
            <w:r>
              <w:rPr>
                <w:rFonts w:ascii="Arial" w:cs="Arial" w:eastAsia="Arial" w:hAnsi="Arial"/>
                <w:sz w:val="29"/>
                <w:szCs w:val="29"/>
                <w:b w:val="1"/>
                <w:bCs w:val="1"/>
                <w:color w:val="auto"/>
                <w:w w:val="89"/>
                <w:vertAlign w:val="superscript"/>
              </w:rPr>
              <w:t>(1)(2)</w:t>
            </w:r>
          </w:p>
        </w:tc>
        <w:tc>
          <w:tcPr>
            <w:tcW w:w="200" w:type="dxa"/>
            <w:vAlign w:val="bottom"/>
          </w:tcPr>
          <w:p>
            <w:pPr>
              <w:spacing w:after="0"/>
              <w:rPr>
                <w:sz w:val="24"/>
                <w:szCs w:val="24"/>
                <w:color w:val="auto"/>
              </w:rPr>
            </w:pPr>
          </w:p>
        </w:tc>
        <w:tc>
          <w:tcPr>
            <w:tcW w:w="1520" w:type="dxa"/>
            <w:vAlign w:val="bottom"/>
          </w:tcPr>
          <w:p>
            <w:pPr>
              <w:ind w:left="200"/>
              <w:spacing w:after="0"/>
              <w:rPr>
                <w:sz w:val="20"/>
                <w:szCs w:val="20"/>
                <w:color w:val="auto"/>
              </w:rPr>
            </w:pPr>
            <w:r>
              <w:rPr>
                <w:rFonts w:ascii="Arial" w:cs="Arial" w:eastAsia="Arial" w:hAnsi="Arial"/>
                <w:sz w:val="18"/>
                <w:szCs w:val="18"/>
                <w:b w:val="1"/>
                <w:bCs w:val="1"/>
                <w:color w:val="auto"/>
              </w:rPr>
              <w:t>Compensation</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Martha Clark Goss</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37,500</w:t>
            </w: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EAF9E8"/>
          </w:tcPr>
          <w:p>
            <w:pPr>
              <w:spacing w:after="0"/>
              <w:rPr>
                <w:sz w:val="18"/>
                <w:szCs w:val="18"/>
                <w:color w:val="auto"/>
              </w:rPr>
            </w:pPr>
          </w:p>
        </w:tc>
        <w:tc>
          <w:tcPr>
            <w:tcW w:w="1520" w:type="dxa"/>
            <w:vAlign w:val="bottom"/>
            <w:shd w:val="clear" w:color="auto" w:fill="EAF9E8"/>
          </w:tcPr>
          <w:p>
            <w:pPr>
              <w:ind w:left="1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Ronald J. Korn</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45,000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520" w:type="dxa"/>
            <w:vAlign w:val="bottom"/>
          </w:tcPr>
          <w:p>
            <w:pPr>
              <w:ind w:left="1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37,500</w:t>
            </w: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EAF9E8"/>
          </w:tcPr>
          <w:p>
            <w:pPr>
              <w:spacing w:after="0"/>
              <w:rPr>
                <w:sz w:val="18"/>
                <w:szCs w:val="18"/>
                <w:color w:val="auto"/>
              </w:rPr>
            </w:pPr>
          </w:p>
        </w:tc>
        <w:tc>
          <w:tcPr>
            <w:tcW w:w="1520" w:type="dxa"/>
            <w:vAlign w:val="bottom"/>
            <w:shd w:val="clear" w:color="auto" w:fill="EAF9E8"/>
          </w:tcPr>
          <w:p>
            <w:pPr>
              <w:ind w:left="1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W. C. Martin</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520" w:type="dxa"/>
            <w:vAlign w:val="bottom"/>
          </w:tcPr>
          <w:p>
            <w:pPr>
              <w:ind w:left="1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Barry N. Wish</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EAF9E8"/>
          </w:tcPr>
          <w:p>
            <w:pPr>
              <w:spacing w:after="0"/>
              <w:rPr>
                <w:sz w:val="18"/>
                <w:szCs w:val="18"/>
                <w:color w:val="auto"/>
              </w:rPr>
            </w:pPr>
          </w:p>
        </w:tc>
        <w:tc>
          <w:tcPr>
            <w:tcW w:w="1520" w:type="dxa"/>
            <w:vAlign w:val="bottom"/>
            <w:shd w:val="clear" w:color="auto" w:fill="EAF9E8"/>
          </w:tcPr>
          <w:p>
            <w:pPr>
              <w:ind w:left="1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580" w:hanging="572"/>
        <w:spacing w:after="0" w:line="228" w:lineRule="auto"/>
        <w:tabs>
          <w:tab w:leader="none" w:pos="5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number of shares issued pursuant to the Directors’ Stock Plan is based on the “fair market value” of our common stock on the date of election (or re-election) of such Director to our Board of Directors. The term “fair market value” is defined in the Directors’ Stock Plan to mean the average of the high and low prices of the common stock as reported on the New York Stock Exchange on the relevant date. Shares issued pursuant to the Directors’ Stock Plan are subject to forfeiture during the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145" w:lineRule="exact"/>
        <w:rPr>
          <w:rFonts w:ascii="Arial" w:cs="Arial" w:eastAsia="Arial" w:hAnsi="Arial"/>
          <w:sz w:val="29"/>
          <w:szCs w:val="29"/>
          <w:color w:val="auto"/>
          <w:vertAlign w:val="superscript"/>
        </w:rPr>
      </w:pPr>
    </w:p>
    <w:p>
      <w:pPr>
        <w:jc w:val="both"/>
        <w:ind w:left="580" w:hanging="572"/>
        <w:spacing w:after="0" w:line="218" w:lineRule="auto"/>
        <w:tabs>
          <w:tab w:leader="none" w:pos="5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In March 2005, the Board of Directors adopted a Deferred Compensation Plan for Directors, pursuant to which Directors are permitted to defer receipt of their compensation granted under the Directors’ Stock Plan. During 2006, Ms. Goss and Mr. Wish did not elect to defer their $20,000 in equity compensation and were each issued 1,794 shares of common stock as a result. Our remaining three non-management Directors elected to defer their $20,000 in equity compensation pursuant to the terms of the Deferred Compensation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w:t>
      </w:r>
    </w:p>
    <w:p>
      <w:pPr>
        <w:spacing w:after="0" w:line="225"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retainer of $35,000 paid in quarterly installments;</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$10,000 to the Audit Committee chairperson;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$2,500 to all Audit Committee members.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Equity Compensation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our non-management Directors an annual award of restricted shares of common stock with a fair market value of $20,000 pursuant to a Directors’ Stock Plan adopted by our Board of Directors and our shareholders in July 1996. Equity compensation is paid after the annual organizational meeting of the Board of Directors, which immediately follows the annual meeting of our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Deferral Plan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purpose of Deferral Plan for Directors is to provide Directors with the opportunity to defer the receipt of all or a portion of their equity compensation earned for their service as Directors. The plan is administered by the Compensation Committee, and all Directors are eligible to participate. Before the end of each calendar year, the Directors make an election to either receive the equity portion of their annual compensation in restricted stock or to obtain a credit to their deferral account for the number of share units equal to the number of shares of restricted stock granted to such Director. A Director will become vested in the share units and will receive dividend equivalents to the same extent as such Director would if the original award of restricted stock was held.</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Director electing deferral must specify the payment date at the time of election as (i) the six-month anniversary of the Director’s termination date or (ii) any other date elected by the Director which is at least two years after the last day of the year of service for which the compensation was awarded. At least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Issues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Directors’ compensation is subject to review and adjustment by the Board of Directors from time to time. On March 8, 2007, the Compensation Committee approved the following adjustments to Director compensation:</w:t>
      </w:r>
    </w:p>
    <w:p>
      <w:pPr>
        <w:spacing w:after="0" w:line="197"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$30,000 in restricted shares of common stock pursuant to the Directors’ Stock Plan;</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$12,500 to the Audit Committee chairperson;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$5,000 to all Audit Committee members.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These adjustments to Director compensation will become effective as of the date of the 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3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our executive officer. None of our Directors and/or executive officers are related to any other Directors and/or executive officer of Ocwen or any of its subsidiaries by blood, marriage or adoption.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 xml:space="preserve">Age </w:t>
            </w:r>
            <w:r>
              <w:rPr>
                <w:rFonts w:ascii="Arial" w:cs="Arial" w:eastAsia="Arial" w:hAnsi="Arial"/>
                <w:sz w:val="29"/>
                <w:szCs w:val="29"/>
                <w:color w:val="auto"/>
                <w:w w:val="82"/>
                <w:vertAlign w:val="superscript"/>
              </w:rPr>
              <w:t>(1)</w:t>
            </w:r>
          </w:p>
        </w:tc>
        <w:tc>
          <w:tcPr>
            <w:tcW w:w="200" w:type="dxa"/>
            <w:vAlign w:val="bottom"/>
          </w:tcPr>
          <w:p>
            <w:pPr>
              <w:spacing w:after="0"/>
              <w:rPr>
                <w:sz w:val="24"/>
                <w:szCs w:val="2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309"/>
        </w:trPr>
        <w:tc>
          <w:tcPr>
            <w:tcW w:w="2100" w:type="dxa"/>
            <w:vAlign w:val="bottom"/>
          </w:tcPr>
          <w:p>
            <w:pPr>
              <w:spacing w:after="0"/>
              <w:rPr>
                <w:sz w:val="20"/>
                <w:szCs w:val="20"/>
                <w:color w:val="auto"/>
              </w:rPr>
            </w:pPr>
            <w:r>
              <w:rPr>
                <w:rFonts w:ascii="Arial" w:cs="Arial" w:eastAsia="Arial" w:hAnsi="Arial"/>
                <w:sz w:val="18"/>
                <w:szCs w:val="18"/>
                <w:color w:val="auto"/>
              </w:rPr>
              <w:t>David J. Gunter</w:t>
            </w:r>
          </w:p>
        </w:tc>
        <w:tc>
          <w:tcPr>
            <w:tcW w:w="114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William B. Shepro</w:t>
            </w:r>
          </w:p>
        </w:tc>
        <w:tc>
          <w:tcPr>
            <w:tcW w:w="114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38</w:t>
            </w:r>
          </w:p>
        </w:tc>
        <w:tc>
          <w:tcPr>
            <w:tcW w:w="20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President of Global Servicing Solutions LLC and 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As of March 31, 2007</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principal occupation for the last five years, as well as certain other biographical information, for each of our executive officers that is not a Director is set forth below.</w:t>
      </w:r>
    </w:p>
    <w:p>
      <w:pPr>
        <w:spacing w:after="0" w:line="18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 xml:space="preserve">David J. Gunter. </w:t>
      </w:r>
      <w:r>
        <w:rPr>
          <w:rFonts w:ascii="Arial" w:cs="Arial" w:eastAsia="Arial" w:hAnsi="Arial"/>
          <w:sz w:val="16"/>
          <w:szCs w:val="16"/>
          <w:color w:val="auto"/>
        </w:rPr>
        <w:t>Mr. Gunter has served as Ocwen’s Senior Vice President and Chief Financial Officer since May 2006. From 2002 until joining Ocwen, he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position of Senior Vice President, Corporate Finance at Equifax Inc., where he was responsible for managing Securities and Exchange Commission reporting, Sarbanes Oxley Section 404 implementation, planning analysis, realestate and procurement. Mr. Gunter served as Chief Financial Officer for Cingular Wireless’ East Region from 2001 to 2002. Prior to that, he held several other executive positions for BellSouth Corporate Technology from 1994 to 2001. Mr. Gunter holds a Bachelor of Science in Accounting from Concord College and a Masters of Public Administration from West Virginia University.</w:t>
      </w:r>
    </w:p>
    <w:p>
      <w:pPr>
        <w:spacing w:after="0" w:line="17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has served as President of Global Servicing Solutions, LLC, a joint venture between Ocwen Financial Corporation and Merrill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Lynch, since 2003. Mr. Shepro has served as Senior Vice President of Ocwen since 2003 where he has been responsible for Commercial Servicing, and Ocwen Recovery Group and Bankhaus Oswald Kruber KG since 2005. Prior to becoming Senior Vice President, Mr. Shepro held the positions of Senior Manager, Director and Vice President of Commercial Servicing. Prior to joining the Commercial Servicing segment in August 1998, Mr. Shepro was Counsel in the Ocwen Law Department. Before joining Ocwen in August 1997, Mr. Shepro was an attorney with Willinger, Shepro, Tower and Bucci, P.C. He holds a Bachelor of Science in Business from Skidmore College and a Juris Doctorate from the Florida State University College of Law.</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25"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Director and named executive officer of Ocwen,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Directors and named executive officers of Ocwen as a group and</w:t>
      </w:r>
    </w:p>
    <w:p>
      <w:pPr>
        <w:spacing w:after="0" w:line="157"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persons known by Ocwen to own beneficially 5% or more of the outstanding common stock or to have a Schedule 13D or Schedule 13G on file with the Securities and Exchange Commission.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60" w:type="dxa"/>
            <w:vAlign w:val="bottom"/>
            <w:gridSpan w:val="3"/>
          </w:tcPr>
          <w:p>
            <w:pPr>
              <w:jc w:val="right"/>
              <w:ind w:right="2152"/>
              <w:spacing w:after="0"/>
              <w:rPr>
                <w:sz w:val="20"/>
                <w:szCs w:val="20"/>
                <w:color w:val="auto"/>
              </w:rPr>
            </w:pPr>
            <w:r>
              <w:rPr>
                <w:rFonts w:ascii="Arial" w:cs="Arial" w:eastAsia="Arial" w:hAnsi="Arial"/>
                <w:sz w:val="18"/>
                <w:szCs w:val="18"/>
                <w:b w:val="1"/>
                <w:bCs w:val="1"/>
                <w:color w:val="auto"/>
              </w:rPr>
              <w:t xml:space="preserve">Shares Beneficially Owned as of March 9, 2007 </w:t>
            </w:r>
            <w:r>
              <w:rPr>
                <w:rFonts w:ascii="Arial" w:cs="Arial" w:eastAsia="Arial" w:hAnsi="Arial"/>
                <w:sz w:val="29"/>
                <w:szCs w:val="29"/>
                <w:color w:val="auto"/>
                <w:vertAlign w:val="superscript"/>
              </w:rPr>
              <w:t>(1)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Altus Capital, LLC </w:t>
            </w:r>
            <w:r>
              <w:rPr>
                <w:rFonts w:ascii="Arial" w:cs="Arial" w:eastAsia="Arial" w:hAnsi="Arial"/>
                <w:sz w:val="29"/>
                <w:szCs w:val="29"/>
                <w:color w:val="auto"/>
                <w:vertAlign w:val="superscript"/>
              </w:rPr>
              <w:t>(2)</w:t>
            </w:r>
          </w:p>
        </w:tc>
        <w:tc>
          <w:tcPr>
            <w:tcW w:w="66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3,279,407</w:t>
            </w:r>
          </w:p>
        </w:tc>
        <w:tc>
          <w:tcPr>
            <w:tcW w:w="160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rPr>
              <w:t>6120 Parkland Blvd, Suite 303</w:t>
            </w:r>
          </w:p>
        </w:tc>
        <w:tc>
          <w:tcPr>
            <w:tcW w:w="5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rPr>
              <w:t>Mayfield Heights, Ohio 44124</w:t>
            </w:r>
          </w:p>
        </w:tc>
        <w:tc>
          <w:tcPr>
            <w:tcW w:w="5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160" w:type="dxa"/>
            <w:vAlign w:val="bottom"/>
            <w:gridSpan w:val="2"/>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29"/>
                <w:szCs w:val="29"/>
                <w:color w:val="auto"/>
                <w:vertAlign w:val="superscript"/>
              </w:rPr>
              <w:t>(3)</w:t>
            </w:r>
          </w:p>
        </w:tc>
        <w:tc>
          <w:tcPr>
            <w:tcW w:w="6660" w:type="dxa"/>
            <w:vAlign w:val="bottom"/>
            <w:gridSpan w:val="3"/>
          </w:tcPr>
          <w:p>
            <w:pPr>
              <w:jc w:val="right"/>
              <w:spacing w:after="0"/>
              <w:rPr>
                <w:sz w:val="20"/>
                <w:szCs w:val="20"/>
                <w:color w:val="auto"/>
              </w:rPr>
            </w:pPr>
            <w:r>
              <w:rPr>
                <w:rFonts w:ascii="Arial" w:cs="Arial" w:eastAsia="Arial" w:hAnsi="Arial"/>
                <w:sz w:val="18"/>
                <w:szCs w:val="18"/>
                <w:color w:val="auto"/>
              </w:rPr>
              <w:t>3,603,389</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1299 Ocean Avenue, 11th Floor</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Santa Monica, CA 90401</w:t>
            </w: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1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Perry Corp. </w:t>
            </w:r>
            <w:r>
              <w:rPr>
                <w:rFonts w:ascii="Arial" w:cs="Arial" w:eastAsia="Arial" w:hAnsi="Arial"/>
                <w:sz w:val="29"/>
                <w:szCs w:val="29"/>
                <w:color w:val="auto"/>
                <w:vertAlign w:val="superscript"/>
              </w:rPr>
              <w:t>(4)</w:t>
            </w:r>
          </w:p>
        </w:tc>
        <w:tc>
          <w:tcPr>
            <w:tcW w:w="66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3,613,888</w:t>
            </w:r>
          </w:p>
        </w:tc>
        <w:tc>
          <w:tcPr>
            <w:tcW w:w="160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rPr>
              <w:t>767 Fifth Avenue</w:t>
            </w:r>
          </w:p>
        </w:tc>
        <w:tc>
          <w:tcPr>
            <w:tcW w:w="5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rPr>
              <w:t>New York, New York 10153</w:t>
            </w:r>
          </w:p>
        </w:tc>
        <w:tc>
          <w:tcPr>
            <w:tcW w:w="5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80" w:type="dxa"/>
            <w:vAlign w:val="bottom"/>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2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William C. Erbey </w:t>
            </w:r>
            <w:r>
              <w:rPr>
                <w:rFonts w:ascii="Arial" w:cs="Arial" w:eastAsia="Arial" w:hAnsi="Arial"/>
                <w:sz w:val="29"/>
                <w:szCs w:val="29"/>
                <w:color w:val="auto"/>
                <w:vertAlign w:val="superscript"/>
              </w:rPr>
              <w:t>(5)</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19,507,726</w:t>
            </w:r>
          </w:p>
        </w:tc>
        <w:tc>
          <w:tcPr>
            <w:tcW w:w="160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Pr>
          <w:p>
            <w:pPr>
              <w:spacing w:after="0" w:line="256" w:lineRule="exact"/>
              <w:rPr>
                <w:sz w:val="20"/>
                <w:szCs w:val="20"/>
                <w:color w:val="auto"/>
              </w:rPr>
            </w:pPr>
            <w:r>
              <w:rPr>
                <w:rFonts w:ascii="Arial" w:cs="Arial" w:eastAsia="Arial" w:hAnsi="Arial"/>
                <w:sz w:val="18"/>
                <w:szCs w:val="18"/>
                <w:color w:val="auto"/>
              </w:rPr>
              <w:t xml:space="preserve">Ronald M. Faris </w:t>
            </w:r>
            <w:r>
              <w:rPr>
                <w:rFonts w:ascii="Arial" w:cs="Arial" w:eastAsia="Arial" w:hAnsi="Arial"/>
                <w:sz w:val="29"/>
                <w:szCs w:val="29"/>
                <w:color w:val="auto"/>
                <w:vertAlign w:val="superscript"/>
              </w:rPr>
              <w:t>(6)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874,115</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4,477</w:t>
            </w:r>
          </w:p>
        </w:tc>
        <w:tc>
          <w:tcPr>
            <w:tcW w:w="14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Ronald J. Korn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5,113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12,579</w:t>
            </w:r>
          </w:p>
        </w:tc>
        <w:tc>
          <w:tcPr>
            <w:tcW w:w="14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Pr>
          <w:p>
            <w:pPr>
              <w:spacing w:after="0" w:line="256" w:lineRule="exact"/>
              <w:rPr>
                <w:sz w:val="20"/>
                <w:szCs w:val="20"/>
                <w:color w:val="auto"/>
              </w:rPr>
            </w:pPr>
            <w:r>
              <w:rPr>
                <w:rFonts w:ascii="Arial" w:cs="Arial" w:eastAsia="Arial" w:hAnsi="Arial"/>
                <w:sz w:val="18"/>
                <w:szCs w:val="18"/>
                <w:color w:val="auto"/>
              </w:rPr>
              <w:t xml:space="preserve">W. Michael Linn </w:t>
            </w:r>
            <w:r>
              <w:rPr>
                <w:rFonts w:ascii="Arial" w:cs="Arial" w:eastAsia="Arial" w:hAnsi="Arial"/>
                <w:sz w:val="29"/>
                <w:szCs w:val="29"/>
                <w:color w:val="auto"/>
                <w:vertAlign w:val="superscript"/>
              </w:rPr>
              <w:t>(7)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248,120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W. C. Martin </w:t>
            </w:r>
            <w:r>
              <w:rPr>
                <w:rFonts w:ascii="Arial" w:cs="Arial" w:eastAsia="Arial" w:hAnsi="Arial"/>
                <w:sz w:val="29"/>
                <w:szCs w:val="29"/>
                <w:color w:val="auto"/>
                <w:vertAlign w:val="superscript"/>
              </w:rPr>
              <w:t>(8)</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20,603</w:t>
            </w:r>
          </w:p>
        </w:tc>
        <w:tc>
          <w:tcPr>
            <w:tcW w:w="14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Pr>
          <w:p>
            <w:pPr>
              <w:spacing w:after="0" w:line="256" w:lineRule="exact"/>
              <w:rPr>
                <w:sz w:val="20"/>
                <w:szCs w:val="20"/>
                <w:color w:val="auto"/>
              </w:rPr>
            </w:pPr>
            <w:r>
              <w:rPr>
                <w:rFonts w:ascii="Arial" w:cs="Arial" w:eastAsia="Arial" w:hAnsi="Arial"/>
                <w:sz w:val="18"/>
                <w:szCs w:val="18"/>
                <w:color w:val="auto"/>
              </w:rPr>
              <w:t xml:space="preserve">Barry N. Wish </w:t>
            </w:r>
            <w:r>
              <w:rPr>
                <w:rFonts w:ascii="Arial" w:cs="Arial" w:eastAsia="Arial" w:hAnsi="Arial"/>
                <w:sz w:val="29"/>
                <w:szCs w:val="29"/>
                <w:color w:val="auto"/>
                <w:vertAlign w:val="superscript"/>
              </w:rPr>
              <w:t>(9)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7,059,113</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David J. Gunter </w:t>
            </w:r>
            <w:r>
              <w:rPr>
                <w:rFonts w:ascii="Arial" w:cs="Arial" w:eastAsia="Arial" w:hAnsi="Arial"/>
                <w:sz w:val="29"/>
                <w:szCs w:val="29"/>
                <w:color w:val="auto"/>
                <w:vertAlign w:val="superscript"/>
              </w:rPr>
              <w:t>(10)</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1,154</w:t>
            </w:r>
          </w:p>
        </w:tc>
        <w:tc>
          <w:tcPr>
            <w:tcW w:w="14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 xml:space="preserve">William B. Shepro </w:t>
            </w:r>
            <w:r>
              <w:rPr>
                <w:rFonts w:ascii="Arial" w:cs="Arial" w:eastAsia="Arial" w:hAnsi="Arial"/>
                <w:sz w:val="29"/>
                <w:szCs w:val="29"/>
                <w:color w:val="auto"/>
                <w:vertAlign w:val="superscript"/>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251,004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EAF9E8"/>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27,984,004</w:t>
            </w:r>
          </w:p>
        </w:tc>
        <w:tc>
          <w:tcPr>
            <w:tcW w:w="160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-329565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-329565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-329565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-329565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8" w:lineRule="exact"/>
        <w:rPr>
          <w:sz w:val="20"/>
          <w:szCs w:val="20"/>
          <w:color w:val="auto"/>
        </w:rPr>
      </w:pPr>
    </w:p>
    <w:p>
      <w:pPr>
        <w:jc w:val="both"/>
        <w:ind w:left="580" w:hanging="572"/>
        <w:spacing w:after="0" w:line="218" w:lineRule="auto"/>
        <w:tabs>
          <w:tab w:leader="none" w:pos="5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directors or director nominees.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ind w:left="580" w:hanging="572"/>
        <w:spacing w:after="0" w:line="210"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Securities and Exchange Commission on February 14, 2007, by Altus Capital, LLC. Includes 297,207 shares as to which sole voting power and sole dispositive power is claimed. Includes 2,982,200 shares as to which shared voting power and shared dispositive power is claimed.</w:t>
      </w:r>
    </w:p>
    <w:p>
      <w:pPr>
        <w:spacing w:after="0" w:line="142" w:lineRule="exact"/>
        <w:rPr>
          <w:rFonts w:ascii="Arial" w:cs="Arial" w:eastAsia="Arial" w:hAnsi="Arial"/>
          <w:sz w:val="29"/>
          <w:szCs w:val="29"/>
          <w:color w:val="auto"/>
          <w:vertAlign w:val="superscript"/>
        </w:rPr>
      </w:pPr>
    </w:p>
    <w:p>
      <w:pPr>
        <w:jc w:val="both"/>
        <w:ind w:left="580" w:hanging="572"/>
        <w:spacing w:after="0" w:line="210"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Securities and Exchange Commission on February 9, 2007, by Dimensional Fund Advisors LP, an investment advisor registered under Section 203 of the Investment Advisors Act of 1940. Includes 3,603,389 shares as to which sole voting power and sole dispositive power is claimed.</w:t>
      </w:r>
    </w:p>
    <w:p>
      <w:pPr>
        <w:spacing w:after="0" w:line="142" w:lineRule="exact"/>
        <w:rPr>
          <w:rFonts w:ascii="Arial" w:cs="Arial" w:eastAsia="Arial" w:hAnsi="Arial"/>
          <w:sz w:val="29"/>
          <w:szCs w:val="29"/>
          <w:color w:val="auto"/>
          <w:vertAlign w:val="superscript"/>
        </w:rPr>
      </w:pPr>
    </w:p>
    <w:p>
      <w:pPr>
        <w:jc w:val="both"/>
        <w:ind w:left="580" w:hanging="572"/>
        <w:spacing w:after="0" w:line="210"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Securities and Exchange Commission on February 12, 2007, by Perry Corp., an investment advisor registered under Section 203 of the Investment Advisors Act of 1940. Includes 3,613,888 shares as to which sole voting power and sole dispositive power is claimed.</w:t>
      </w:r>
    </w:p>
    <w:p>
      <w:pPr>
        <w:spacing w:after="0" w:line="142" w:lineRule="exact"/>
        <w:rPr>
          <w:rFonts w:ascii="Arial" w:cs="Arial" w:eastAsia="Arial" w:hAnsi="Arial"/>
          <w:sz w:val="29"/>
          <w:szCs w:val="29"/>
          <w:color w:val="auto"/>
          <w:vertAlign w:val="superscript"/>
        </w:rPr>
      </w:pPr>
    </w:p>
    <w:p>
      <w:pPr>
        <w:jc w:val="both"/>
        <w:ind w:left="580" w:hanging="572"/>
        <w:spacing w:after="0" w:line="247" w:lineRule="auto"/>
        <w:tabs>
          <w:tab w:leader="none" w:pos="58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Includes 13,264,356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and 7,035 unissued shares representing the vested portion of a total award of 21,104 shares that has been approved by the Compensation Committee pursuant to the 1998 Annual Incentive Plan, as amended. Prior to issuance, a portion of this grant may be forfeited to cover tax withholdings. Also includes options to acquire 815,737 shares, which are exercisable on or within 60 days after March 31, 2007. In addition, the Compensation Committee has approved an award of 102,821 options pursuant to the 2007 Equity Incentive Plan subject to shareholder approval, which are not included in this table.</w:t>
      </w:r>
    </w:p>
    <w:p>
      <w:pPr>
        <w:spacing w:after="0" w:line="137" w:lineRule="exact"/>
        <w:rPr>
          <w:rFonts w:ascii="Arial" w:cs="Arial" w:eastAsia="Arial" w:hAnsi="Arial"/>
          <w:sz w:val="28"/>
          <w:szCs w:val="28"/>
          <w:color w:val="auto"/>
          <w:vertAlign w:val="superscript"/>
        </w:rPr>
      </w:pPr>
    </w:p>
    <w:p>
      <w:pPr>
        <w:jc w:val="both"/>
        <w:ind w:left="580" w:hanging="572"/>
        <w:spacing w:after="0" w:line="224"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Includes 16,260 shares held jointly with Mr. Faris’ spouse and 5,806 unissued shares representing the vested portion of a total award of 17,418 shares that has been approved by the Compensation Committee pursuant to the 1998 Annual Incentive Plan, as amended. Prior to issuance, a portion of this grant may be forfeited to cover tax withholdings. Also includes options to acquire 732,987 shares, which are exercisable on or within 60 days after March 31, 2007. In addition, the Compensation Committee has approved an award of 84,861 options pursuant to the 2007 Equity Incentive Plan subject to shareholder approval, , which are not included in this table.</w:t>
      </w:r>
    </w:p>
    <w:p>
      <w:pPr>
        <w:spacing w:after="0" w:line="144" w:lineRule="exact"/>
        <w:rPr>
          <w:rFonts w:ascii="Arial" w:cs="Arial" w:eastAsia="Arial" w:hAnsi="Arial"/>
          <w:sz w:val="29"/>
          <w:szCs w:val="29"/>
          <w:color w:val="auto"/>
          <w:vertAlign w:val="superscript"/>
        </w:rPr>
      </w:pPr>
    </w:p>
    <w:p>
      <w:pPr>
        <w:jc w:val="both"/>
        <w:ind w:left="580" w:hanging="572"/>
        <w:spacing w:after="0" w:line="228"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Includes 6,000 shares held by William M. Linn, II Et Al Trust, of which Mr. Linn is the custodian for his minor children, 18,000 shares held by Brown’s Valley Development, a company owned by Mr. Linn, and 2,210 unissued shares representing the vested portion of a total award of 6,629 shares that has been approved by the Compensation Committee pursuant to the 1998 Annual Incentive Plan, as amended. Prior to issuance, a portion of this grant may be forfeited to cover tax withholdings. Also includes options to acquire 149,180 shares, which are exercisable on or within 60 days after March 31, 2007. In addition, the Compensation Committee has approved an award of 32,296 options pursuant to the 2007 Equity Incentive Plan subject to shareholder approval, which are not included in this table.</w:t>
      </w:r>
    </w:p>
    <w:p>
      <w:pPr>
        <w:spacing w:after="0" w:line="34"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Includes 5,110 shares held by Martin &amp; Associates Defined Contribution Pension Plan &amp; Trust.</w:t>
      </w:r>
    </w:p>
    <w:p>
      <w:pPr>
        <w:spacing w:after="0" w:line="156" w:lineRule="exact"/>
        <w:rPr>
          <w:rFonts w:ascii="Arial" w:cs="Arial" w:eastAsia="Arial" w:hAnsi="Arial"/>
          <w:sz w:val="29"/>
          <w:szCs w:val="29"/>
          <w:color w:val="auto"/>
          <w:vertAlign w:val="superscript"/>
        </w:rPr>
      </w:pPr>
    </w:p>
    <w:p>
      <w:pPr>
        <w:jc w:val="both"/>
        <w:ind w:left="580" w:hanging="572"/>
        <w:spacing w:after="0" w:line="230" w:lineRule="auto"/>
        <w:tabs>
          <w:tab w:leader="none" w:pos="58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Includes 6,460,178 shares held by Wishco, Inc., a corporation controlled by Barry N. Wish pursuant to his ownership of 93% of the common stock thereof; 351,940 shares held by B.N.W. Partners, a Delaware partnership of which the partners are Mr. Wish and B.N.W., Inc., a corporation wholly-owned by Mr. Wish; and 37,000 shares held by the Barry Wish Family Foundation, Inc., a charitable foundation of which Mr. Wish is a director.</w:t>
      </w:r>
    </w:p>
    <w:p>
      <w:pPr>
        <w:spacing w:after="0" w:line="143" w:lineRule="exact"/>
        <w:rPr>
          <w:rFonts w:ascii="Arial" w:cs="Arial" w:eastAsia="Arial" w:hAnsi="Arial"/>
          <w:sz w:val="26"/>
          <w:szCs w:val="26"/>
          <w:color w:val="auto"/>
          <w:vertAlign w:val="superscript"/>
        </w:rPr>
      </w:pPr>
    </w:p>
    <w:p>
      <w:pPr>
        <w:jc w:val="both"/>
        <w:ind w:left="580" w:hanging="572"/>
        <w:spacing w:after="0" w:line="218"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Includes 1,154 unissued shares representing the vested portion of a total award of 3,461 shares that has been approved by the Compensation Committee pursuant to the 1998 Annual Incentive Plan, as amended. Prior to issuance, a portion of this grant may be forfeited to cover tax withholdings. In addition, the Compensation Committee has approved an award of 16,861 options pursuant to the 2007 Equity Incentive Plan subject to shareholder approval, which are not included in this table.</w:t>
      </w:r>
    </w:p>
    <w:p>
      <w:pPr>
        <w:spacing w:after="0" w:line="240" w:lineRule="exact"/>
        <w:rPr>
          <w:rFonts w:ascii="Arial" w:cs="Arial" w:eastAsia="Arial" w:hAnsi="Arial"/>
          <w:sz w:val="29"/>
          <w:szCs w:val="29"/>
          <w:color w:val="auto"/>
          <w:vertAlign w:val="superscript"/>
        </w:rPr>
      </w:pPr>
    </w:p>
    <w:p>
      <w:pPr>
        <w:jc w:val="both"/>
        <w:ind w:left="580" w:hanging="572"/>
        <w:spacing w:after="0" w:line="264"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Includes 1,941 unissued shares representing the vested portion of a total award of 5,824 shares that has been approved by the Compensation Committee pursuant to the 1998 Annual Incentive Plan, as amended. Prior to issuance, a portion of this grant may be forfeited to cover tax withholdings. Also includes options to acquire 195,654 shares, which are exercisable on or within 60 days after March 31, 2007. In addition, the Compensation Committee has approved an award of 28,376 options pursuant to the 2007 Equity Incentive Plan subject to shareholder approval, which are not included in this table.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 to</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jc w:val="center"/>
              <w:ind w:right="192"/>
              <w:spacing w:after="0"/>
              <w:rPr>
                <w:sz w:val="20"/>
                <w:szCs w:val="20"/>
                <w:color w:val="auto"/>
              </w:rPr>
            </w:pPr>
            <w:r>
              <w:rPr>
                <w:rFonts w:ascii="Arial" w:cs="Arial" w:eastAsia="Arial" w:hAnsi="Arial"/>
                <w:sz w:val="18"/>
                <w:szCs w:val="18"/>
                <w:b w:val="1"/>
                <w:bCs w:val="1"/>
                <w:color w:val="auto"/>
                <w:w w:val="86"/>
              </w:rPr>
              <w:t>Weighted average</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3"/>
              </w:rPr>
              <w:t>be issued upon exercise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exercise price of</w:t>
            </w:r>
          </w:p>
        </w:tc>
        <w:tc>
          <w:tcPr>
            <w:tcW w:w="2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5"/>
              </w:rPr>
              <w:t>of outstanding options,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jc w:val="center"/>
              <w:ind w:right="212"/>
              <w:spacing w:after="0"/>
              <w:rPr>
                <w:sz w:val="20"/>
                <w:szCs w:val="20"/>
                <w:color w:val="auto"/>
              </w:rPr>
            </w:pPr>
            <w:r>
              <w:rPr>
                <w:rFonts w:ascii="Arial" w:cs="Arial" w:eastAsia="Arial" w:hAnsi="Arial"/>
                <w:sz w:val="18"/>
                <w:szCs w:val="18"/>
                <w:b w:val="1"/>
                <w:bCs w:val="1"/>
                <w:color w:val="auto"/>
                <w:w w:val="85"/>
              </w:rPr>
              <w:t>outstanding options,</w:t>
            </w:r>
          </w:p>
        </w:tc>
        <w:tc>
          <w:tcPr>
            <w:tcW w:w="2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remaining available for</w:t>
            </w:r>
          </w:p>
        </w:tc>
        <w:tc>
          <w:tcPr>
            <w:tcW w:w="0" w:type="dxa"/>
            <w:vAlign w:val="bottom"/>
          </w:tcPr>
          <w:p>
            <w:pPr>
              <w:spacing w:after="0"/>
              <w:rPr>
                <w:sz w:val="1"/>
                <w:szCs w:val="1"/>
                <w:color w:val="auto"/>
              </w:rPr>
            </w:pPr>
          </w:p>
        </w:tc>
      </w:tr>
      <w:tr>
        <w:trPr>
          <w:trHeight w:val="228"/>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warrants and rights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warrants and rights</w:t>
            </w:r>
          </w:p>
        </w:tc>
        <w:tc>
          <w:tcPr>
            <w:tcW w:w="200" w:type="dxa"/>
            <w:vAlign w:val="bottom"/>
          </w:tcPr>
          <w:p>
            <w:pPr>
              <w:spacing w:after="0"/>
              <w:rPr>
                <w:sz w:val="19"/>
                <w:szCs w:val="19"/>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future issuance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color w:val="auto"/>
              </w:rPr>
              <w:t>Equity compensation plans approved by</w:t>
            </w:r>
          </w:p>
        </w:tc>
        <w:tc>
          <w:tcPr>
            <w:tcW w:w="200" w:type="dxa"/>
            <w:vAlign w:val="bottom"/>
            <w:shd w:val="clear" w:color="auto" w:fill="EAF9E8"/>
          </w:tcPr>
          <w:p>
            <w:pPr>
              <w:spacing w:after="0"/>
              <w:rPr>
                <w:sz w:val="18"/>
                <w:szCs w:val="18"/>
                <w:color w:val="auto"/>
              </w:rPr>
            </w:pPr>
          </w:p>
        </w:tc>
        <w:tc>
          <w:tcPr>
            <w:tcW w:w="2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security holders</w:t>
            </w:r>
          </w:p>
        </w:tc>
        <w:tc>
          <w:tcPr>
            <w:tcW w:w="2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3,212,031</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shd w:val="clear" w:color="auto" w:fill="EAF9E8"/>
          </w:tcPr>
          <w:p>
            <w:pPr>
              <w:jc w:val="center"/>
              <w:ind w:left="1752"/>
              <w:spacing w:after="0"/>
              <w:rPr>
                <w:sz w:val="20"/>
                <w:szCs w:val="20"/>
                <w:color w:val="auto"/>
              </w:rPr>
            </w:pPr>
            <w:r>
              <w:rPr>
                <w:rFonts w:ascii="Arial" w:cs="Arial" w:eastAsia="Arial" w:hAnsi="Arial"/>
                <w:sz w:val="18"/>
                <w:szCs w:val="18"/>
                <w:color w:val="auto"/>
                <w:w w:val="85"/>
              </w:rPr>
              <w:t>8.42</w:t>
            </w:r>
          </w:p>
        </w:tc>
        <w:tc>
          <w:tcPr>
            <w:tcW w:w="200" w:type="dxa"/>
            <w:vAlign w:val="bottom"/>
            <w:shd w:val="clear" w:color="auto" w:fill="EAF9E8"/>
          </w:tcPr>
          <w:p>
            <w:pPr>
              <w:spacing w:after="0"/>
              <w:rPr>
                <w:sz w:val="19"/>
                <w:szCs w:val="19"/>
                <w:color w:val="auto"/>
              </w:rPr>
            </w:pPr>
          </w:p>
        </w:tc>
        <w:tc>
          <w:tcPr>
            <w:tcW w:w="2560" w:type="dxa"/>
            <w:vAlign w:val="bottom"/>
            <w:gridSpan w:val="2"/>
            <w:shd w:val="clear" w:color="auto" w:fill="EAF9E8"/>
          </w:tcPr>
          <w:p>
            <w:pPr>
              <w:ind w:left="2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5"/>
              </w:rPr>
              <w:t>Equity compensation plans not approved by</w:t>
            </w: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security holders</w:t>
            </w:r>
          </w:p>
        </w:tc>
        <w:tc>
          <w:tcPr>
            <w:tcW w:w="200" w:type="dxa"/>
            <w:vAlign w:val="bottom"/>
          </w:tcPr>
          <w:p>
            <w:pPr>
              <w:spacing w:after="0"/>
              <w:rPr>
                <w:sz w:val="19"/>
                <w:szCs w:val="19"/>
                <w:color w:val="auto"/>
              </w:rPr>
            </w:pPr>
          </w:p>
        </w:tc>
        <w:tc>
          <w:tcPr>
            <w:tcW w:w="2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jc w:val="center"/>
              <w:ind w:left="171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56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2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3,212,031</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shd w:val="clear" w:color="auto" w:fill="EAF9E8"/>
          </w:tcPr>
          <w:p>
            <w:pPr>
              <w:jc w:val="center"/>
              <w:ind w:left="1752"/>
              <w:spacing w:after="0"/>
              <w:rPr>
                <w:sz w:val="20"/>
                <w:szCs w:val="20"/>
                <w:color w:val="auto"/>
              </w:rPr>
            </w:pPr>
            <w:r>
              <w:rPr>
                <w:rFonts w:ascii="Arial" w:cs="Arial" w:eastAsia="Arial" w:hAnsi="Arial"/>
                <w:sz w:val="18"/>
                <w:szCs w:val="18"/>
                <w:color w:val="auto"/>
                <w:w w:val="85"/>
              </w:rPr>
              <w:t>8.42</w:t>
            </w:r>
          </w:p>
        </w:tc>
        <w:tc>
          <w:tcPr>
            <w:tcW w:w="200" w:type="dxa"/>
            <w:vAlign w:val="bottom"/>
            <w:shd w:val="clear" w:color="auto" w:fill="EAF9E8"/>
          </w:tcPr>
          <w:p>
            <w:pPr>
              <w:spacing w:after="0"/>
              <w:rPr>
                <w:sz w:val="18"/>
                <w:szCs w:val="18"/>
                <w:color w:val="auto"/>
              </w:rPr>
            </w:pPr>
          </w:p>
        </w:tc>
        <w:tc>
          <w:tcPr>
            <w:tcW w:w="2560" w:type="dxa"/>
            <w:vAlign w:val="bottom"/>
            <w:gridSpan w:val="2"/>
            <w:shd w:val="clear" w:color="auto" w:fill="EAF9E8"/>
          </w:tcPr>
          <w:p>
            <w:pPr>
              <w:ind w:left="2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To our knowledge, based solely upon review of the copies of such reports furnished to us and written representations that no other reports were required, all Section 16(a) filing requirements applicable to its executive officers, Directors and greater than 10% shareholders were complied with during 2006.</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information regarding the following:</w:t>
      </w:r>
    </w:p>
    <w:p>
      <w:pPr>
        <w:spacing w:after="0" w:line="225"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compensation programs for our Chief Executive Officer, Chief Financial Officer, and three other most highly compensated executive officers,</w:t>
      </w:r>
    </w:p>
    <w:p>
      <w:pPr>
        <w:spacing w:after="0" w:line="38" w:lineRule="exact"/>
        <w:rPr>
          <w:rFonts w:ascii="Arial" w:cs="Arial" w:eastAsia="Arial" w:hAnsi="Arial"/>
          <w:sz w:val="16"/>
          <w:szCs w:val="16"/>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2006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4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10"/>
        </w:trPr>
        <w:tc>
          <w:tcPr>
            <w:tcW w:w="23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560" w:type="dxa"/>
            <w:vAlign w:val="bottom"/>
            <w:tcBorders>
              <w:bottom w:val="single" w:sz="8" w:color="auto"/>
            </w:tcBorders>
          </w:tcPr>
          <w:p>
            <w:pPr>
              <w:spacing w:after="0"/>
              <w:rPr>
                <w:sz w:val="9"/>
                <w:szCs w:val="9"/>
                <w:color w:val="auto"/>
              </w:rPr>
            </w:pPr>
          </w:p>
        </w:tc>
      </w:tr>
      <w:tr>
        <w:trPr>
          <w:trHeight w:val="309"/>
        </w:trPr>
        <w:tc>
          <w:tcPr>
            <w:tcW w:w="2340" w:type="dxa"/>
            <w:vAlign w:val="bottom"/>
          </w:tcPr>
          <w:p>
            <w:pPr>
              <w:spacing w:after="0"/>
              <w:rPr>
                <w:sz w:val="20"/>
                <w:szCs w:val="20"/>
                <w:color w:val="auto"/>
              </w:rPr>
            </w:pPr>
            <w:r>
              <w:rPr>
                <w:rFonts w:ascii="Arial" w:cs="Arial" w:eastAsia="Arial" w:hAnsi="Arial"/>
                <w:sz w:val="18"/>
                <w:szCs w:val="18"/>
                <w:color w:val="auto"/>
              </w:rPr>
              <w:t>William C. Erbey</w:t>
            </w:r>
          </w:p>
        </w:tc>
        <w:tc>
          <w:tcPr>
            <w:tcW w:w="54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Ronald M. Faris</w:t>
            </w:r>
          </w:p>
        </w:tc>
        <w:tc>
          <w:tcPr>
            <w:tcW w:w="54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David J. Gunter</w:t>
            </w:r>
          </w:p>
        </w:tc>
        <w:tc>
          <w:tcPr>
            <w:tcW w:w="54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W. Michael Linn</w:t>
            </w:r>
          </w:p>
        </w:tc>
        <w:tc>
          <w:tcPr>
            <w:tcW w:w="54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William B. Shepro</w:t>
            </w:r>
          </w:p>
        </w:tc>
        <w:tc>
          <w:tcPr>
            <w:tcW w:w="54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President of Global Servicing Solutions LLC and Senior Vice President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31"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We believe that the most effective executive compensation program is one that aligns executives’ interests with those of the shareholders by rewarding performance that achieves or exceeds specific annual, long-term and strategic goals, with the ultimate objective of improving shareholder value. We seek to promote individual service longevity and to provide our executives with long-term wealth accumulation opportunities, to the extent Ocwen has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believe executive compensation packages should include both cash and equity-based compensation that rewards performance as measured against established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Compensation Committee of the Board of Directors oversees our executive compensation and benefit plans and practices, while establishing management compensation policies and procedures to be reflected in the compensation program offered to our executive officers. The Compensation Committee also evaluates and makes recommendations to the Board of Directors for human resource and compensation matters relating to our executive officers.</w:t>
      </w:r>
    </w:p>
    <w:p>
      <w:pPr>
        <w:spacing w:after="0" w:line="16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Compensation Committee is comprised of three directors, Messrs. Martin, Korn and Wish, who all served throughout 2006. The members are elected annually, and Mr. Martin serves as the chairman of the Committee. Each member of the Compensation Committee is independent as defined in the listing standards of the New York Stock Exchange.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Compensation Committee operates under a written charter approved by the entire Board of Directors, a copy of which is available on our web site at www.ocwen.com.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last reviewed by the Compensation Committee in January 2007, and amendments were recommended to the Board of Directors for approval at their next meeting</w:t>
      </w:r>
      <w:r>
        <w:rPr>
          <w:rFonts w:ascii="Arial" w:cs="Arial" w:eastAsia="Arial" w:hAnsi="Arial"/>
          <w:sz w:val="18"/>
          <w:szCs w:val="18"/>
          <w:b w:val="1"/>
          <w:bCs w:val="1"/>
          <w:color w:val="auto"/>
        </w:rPr>
        <w:t>.</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6"/>
          <w:szCs w:val="16"/>
          <w:color w:val="auto"/>
        </w:rPr>
        <w:t>The Corporate Secretary develops the meeting calendar for the year based on committee member availability and other relevant events within our corporate calendar. Compensation Committee meeting agendas are generally developed by our Corporate Secretary and our Compensation Committee Chairman. The Compensation Committee generally meets in executive session at each scheduled meeting. In 2006, the Compensation Committee approved the incentive compensation awards, including awards of restricted stock and stock options to eligible employees for service in 2005, as well as the compensation of the Chief Executive Officer. Additionally, the Committee reviewed the overall performance of the Chief Executive Officer in 2005 and approved an incentive award of cash, stock options and restricted stock for his performance. The Committee also approved the incentive compensation plan components, including the corporate scorecard setting forth the corporate key performance indicators and targeted levels of achievement for the 2006 year. The Committee reviewed and discussed amendments to the executive compensation disclosure rules approved by the Securities and Exchange Commission, which apply to filings made after December 15, 2006. Thus far in 2007, the Compensation Committee has reviewed the performance of the Chief Executive Officer for service in 2006, approved the incentive compensation for our executive officers, and approved the 2007 Equity Incentive Plan.</w:t>
      </w:r>
    </w:p>
    <w:p>
      <w:pPr>
        <w:spacing w:after="0" w:line="17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Compensation Committee has the authority to retain independent counsel or other advisers as it deems necessary in connection with its responsibilities at our expense; however the Compensation Committee did not engage an outside compensation consultant in 2006. The Compensation Committee may request that any of our Directors, officers or employees, or other persons attend its meetings to provide advice, counsel or pertinent information as the committee requests.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Senior Vice President of Human Resources,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Senior Vice President of Human Resources for development and execution.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strategic corporate goals and initiatives as well as individual performance. We have no employment agreements with our executive officers. We believe that the following elements of compensation are appropriate in light of our performance, industry, current challenges and environment.</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salaries for our executive officers are established based on individual qualifications and job responsibilities, while taking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levels at similarly situated companies for similar positions. Base salaries of the executive officers are reviewed annually during the performance review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the Senior Vice President of Human Resources. In 2006, Mr. Erbey and Mr. Linn received no salary increase. Mr. Faris and Mr. Shepro received salary increases of 4% and 5%, respectively. Mr. Gunter was hired in May of 2006.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Ocwen’s primary incentive compensation plan for executives is the 1998 Annual Incentive Plan, as amended,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by our shareholders. Pursuant to the plan, a participant can earn cash, restricted stock and stock option awards as determined by the Compensation Committee. The plan provides the Compensation Committee and our management with the authority to establish incentive award guidelines, which are further discussed below.</w:t>
      </w:r>
    </w:p>
    <w:p>
      <w:pPr>
        <w:spacing w:after="0" w:line="19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Each executive officer has a targeted annual incentive award that is expressed as a percentage of total target compensation for each executive officer. At the executive level in 2006, 30-65% of total target compensation was payable only upon achievement of certain minimum company and individual performance levels. The percentage varies depending on the nature and scope of each executive officer’s responsibilities. The table below reflects the percentage of each executive officer’s total target compensation that was allocated to base salary and incentive compensation in 2006 and each executive officer’s actual total compensation that was allocated to base salary and incentive compensation in 2006: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Incentive</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 % of</w:t>
            </w: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 of</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 % of</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Target Total</w:t>
            </w: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Target Total</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Actual Total</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Actual 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in</w:t>
            </w: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in</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 in</w:t>
            </w:r>
          </w:p>
        </w:tc>
        <w:tc>
          <w:tcPr>
            <w:tcW w:w="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89"/>
              </w:rPr>
              <w:t>2006</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89"/>
              </w:rPr>
              <w:t>2006</w:t>
            </w:r>
          </w:p>
        </w:tc>
        <w:tc>
          <w:tcPr>
            <w:tcW w:w="204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84"/>
              </w:rPr>
              <w:t>2006</w:t>
            </w:r>
          </w:p>
        </w:tc>
        <w:tc>
          <w:tcPr>
            <w:tcW w:w="202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4"/>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35%</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65%</w:t>
            </w:r>
          </w:p>
        </w:tc>
        <w:tc>
          <w:tcPr>
            <w:tcW w:w="204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8"/>
              </w:rPr>
              <w:t>26%</w:t>
            </w:r>
          </w:p>
        </w:tc>
        <w:tc>
          <w:tcPr>
            <w:tcW w:w="20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Ronald M. Faris</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40%</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60%</w:t>
            </w:r>
          </w:p>
        </w:tc>
        <w:tc>
          <w:tcPr>
            <w:tcW w:w="2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31%</w:t>
            </w:r>
          </w:p>
        </w:tc>
        <w:tc>
          <w:tcPr>
            <w:tcW w:w="20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60%</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40%</w:t>
            </w:r>
          </w:p>
        </w:tc>
        <w:tc>
          <w:tcPr>
            <w:tcW w:w="204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8"/>
              </w:rPr>
              <w:t>54%</w:t>
            </w:r>
          </w:p>
        </w:tc>
        <w:tc>
          <w:tcPr>
            <w:tcW w:w="20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 Michael Linn</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50%</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50%</w:t>
            </w:r>
          </w:p>
        </w:tc>
        <w:tc>
          <w:tcPr>
            <w:tcW w:w="2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47%</w:t>
            </w:r>
          </w:p>
        </w:tc>
        <w:tc>
          <w:tcPr>
            <w:tcW w:w="20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William B. Shepro</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40%</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60%</w:t>
            </w:r>
          </w:p>
        </w:tc>
        <w:tc>
          <w:tcPr>
            <w:tcW w:w="204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8"/>
              </w:rPr>
              <w:t>45%</w:t>
            </w:r>
          </w:p>
        </w:tc>
        <w:tc>
          <w:tcPr>
            <w:tcW w:w="20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Our annual incentive-based cash and non-cash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corporate performance and long-term shareholder value. This corporate scorecard is approved annually by the Compensation Committee and/or the full Board of Directors and is utilized as a factor by the Compensation Committee to determine the appropriate amount of incentive compensation to be paid to the Chief Executive Officer.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Our corporate scorecard for 2006 and corresponding achievement levels are detailed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Achievement Levels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80" w:type="dxa"/>
            <w:vAlign w:val="bottom"/>
            <w:vMerge w:val="restart"/>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Level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2006 Corporate Scorecard Elements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center"/>
              <w:ind w:right="466"/>
              <w:spacing w:after="0"/>
              <w:rPr>
                <w:sz w:val="20"/>
                <w:szCs w:val="20"/>
                <w:color w:val="auto"/>
              </w:rPr>
            </w:pPr>
            <w:r>
              <w:rPr>
                <w:rFonts w:ascii="Arial" w:cs="Arial" w:eastAsia="Arial" w:hAnsi="Arial"/>
                <w:sz w:val="18"/>
                <w:szCs w:val="18"/>
                <w:b w:val="1"/>
                <w:bCs w:val="1"/>
                <w:color w:val="auto"/>
                <w:w w:val="87"/>
              </w:rPr>
              <w:t>Target</w:t>
            </w:r>
          </w:p>
        </w:tc>
        <w:tc>
          <w:tcPr>
            <w:tcW w:w="2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c>
          <w:tcPr>
            <w:tcW w:w="1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4"/>
              </w:rPr>
              <w:t>Achieved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3"/>
          </w:tcPr>
          <w:p>
            <w:pPr>
              <w:jc w:val="right"/>
              <w:ind w:right="82"/>
              <w:spacing w:after="0"/>
              <w:rPr>
                <w:sz w:val="20"/>
                <w:szCs w:val="20"/>
                <w:color w:val="auto"/>
              </w:rPr>
            </w:pPr>
            <w:r>
              <w:rPr>
                <w:rFonts w:ascii="Arial" w:cs="Arial" w:eastAsia="Arial" w:hAnsi="Arial"/>
                <w:sz w:val="18"/>
                <w:szCs w:val="18"/>
                <w:b w:val="1"/>
                <w:bCs w:val="1"/>
                <w:color w:val="auto"/>
              </w:rPr>
              <w:t>Corporate Profitability</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Achieving a pre-tax net income target</w:t>
            </w:r>
          </w:p>
        </w:tc>
        <w:tc>
          <w:tcPr>
            <w:tcW w:w="164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85% of Target</w:t>
            </w:r>
          </w:p>
        </w:tc>
        <w:tc>
          <w:tcPr>
            <w:tcW w:w="70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EAF9E8"/>
          </w:tcPr>
          <w:p>
            <w:pPr>
              <w:jc w:val="right"/>
              <w:ind w:right="366"/>
              <w:spacing w:after="0" w:line="149" w:lineRule="exact"/>
              <w:rPr>
                <w:sz w:val="20"/>
                <w:szCs w:val="20"/>
                <w:color w:val="auto"/>
              </w:rPr>
            </w:pPr>
            <w:r>
              <w:rPr>
                <w:rFonts w:ascii="Arial" w:cs="Arial" w:eastAsia="Arial" w:hAnsi="Arial"/>
                <w:sz w:val="14"/>
                <w:szCs w:val="14"/>
                <w:color w:val="auto"/>
                <w:w w:val="96"/>
              </w:rPr>
              <w:t>42,100,000</w:t>
            </w:r>
          </w:p>
        </w:tc>
        <w:tc>
          <w:tcPr>
            <w:tcW w:w="200" w:type="dxa"/>
            <w:vAlign w:val="bottom"/>
            <w:shd w:val="clear" w:color="auto" w:fill="EAF9E8"/>
          </w:tcPr>
          <w:p>
            <w:pPr>
              <w:spacing w:after="0"/>
              <w:rPr>
                <w:sz w:val="12"/>
                <w:szCs w:val="12"/>
                <w:color w:val="auto"/>
              </w:rPr>
            </w:pPr>
          </w:p>
        </w:tc>
        <w:tc>
          <w:tcPr>
            <w:tcW w:w="164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115% of Target</w:t>
            </w:r>
          </w:p>
        </w:tc>
        <w:tc>
          <w:tcPr>
            <w:tcW w:w="180" w:type="dxa"/>
            <w:vAlign w:val="bottom"/>
            <w:shd w:val="clear" w:color="auto" w:fill="EAF9E8"/>
          </w:tcPr>
          <w:p>
            <w:pPr>
              <w:spacing w:after="0"/>
              <w:rPr>
                <w:sz w:val="12"/>
                <w:szCs w:val="12"/>
                <w:color w:val="auto"/>
              </w:rPr>
            </w:pPr>
          </w:p>
        </w:tc>
        <w:tc>
          <w:tcPr>
            <w:tcW w:w="15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Achieving a revenue target</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366"/>
              <w:spacing w:after="0" w:line="149" w:lineRule="exact"/>
              <w:rPr>
                <w:sz w:val="20"/>
                <w:szCs w:val="20"/>
                <w:color w:val="auto"/>
              </w:rPr>
            </w:pPr>
            <w:r>
              <w:rPr>
                <w:rFonts w:ascii="Arial" w:cs="Arial" w:eastAsia="Arial" w:hAnsi="Arial"/>
                <w:sz w:val="14"/>
                <w:szCs w:val="14"/>
                <w:color w:val="auto"/>
                <w:w w:val="87"/>
              </w:rPr>
              <w:t>405,400,000</w:t>
            </w:r>
          </w:p>
        </w:tc>
        <w:tc>
          <w:tcPr>
            <w:tcW w:w="2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Achieving corporate strategic initiatives (defined below)</w:t>
            </w:r>
          </w:p>
        </w:tc>
        <w:tc>
          <w:tcPr>
            <w:tcW w:w="164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6"/>
              </w:rPr>
              <w:t>3 of 6 Complete</w:t>
            </w:r>
          </w:p>
        </w:tc>
        <w:tc>
          <w:tcPr>
            <w:tcW w:w="200" w:type="dxa"/>
            <w:vAlign w:val="bottom"/>
            <w:shd w:val="clear" w:color="auto" w:fill="EAF9E8"/>
          </w:tcPr>
          <w:p>
            <w:pPr>
              <w:spacing w:after="0"/>
              <w:rPr>
                <w:sz w:val="12"/>
                <w:szCs w:val="12"/>
                <w:color w:val="auto"/>
              </w:rPr>
            </w:pPr>
          </w:p>
        </w:tc>
        <w:tc>
          <w:tcPr>
            <w:tcW w:w="1640" w:type="dxa"/>
            <w:vAlign w:val="bottom"/>
            <w:gridSpan w:val="2"/>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4 of 6 Complete</w:t>
            </w:r>
          </w:p>
        </w:tc>
        <w:tc>
          <w:tcPr>
            <w:tcW w:w="200" w:type="dxa"/>
            <w:vAlign w:val="bottom"/>
            <w:shd w:val="clear" w:color="auto" w:fill="EAF9E8"/>
          </w:tcPr>
          <w:p>
            <w:pPr>
              <w:spacing w:after="0"/>
              <w:rPr>
                <w:sz w:val="12"/>
                <w:szCs w:val="12"/>
                <w:color w:val="auto"/>
              </w:rPr>
            </w:pPr>
          </w:p>
        </w:tc>
        <w:tc>
          <w:tcPr>
            <w:tcW w:w="164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5 of 6 Complete</w:t>
            </w:r>
          </w:p>
        </w:tc>
        <w:tc>
          <w:tcPr>
            <w:tcW w:w="180" w:type="dxa"/>
            <w:vAlign w:val="bottom"/>
            <w:shd w:val="clear" w:color="auto" w:fill="EAF9E8"/>
          </w:tcPr>
          <w:p>
            <w:pPr>
              <w:spacing w:after="0"/>
              <w:rPr>
                <w:sz w:val="12"/>
                <w:szCs w:val="12"/>
                <w:color w:val="auto"/>
              </w:rPr>
            </w:pPr>
          </w:p>
        </w:tc>
        <w:tc>
          <w:tcPr>
            <w:tcW w:w="15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3"/>
              </w:rPr>
              <w:t>Target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Improving customer satisfaction</w:t>
      </w:r>
    </w:p>
    <w:p>
      <w:pPr>
        <w:spacing w:after="0" w:line="217" w:lineRule="exact"/>
        <w:rPr>
          <w:sz w:val="20"/>
          <w:szCs w:val="20"/>
          <w:color w:val="auto"/>
        </w:rPr>
      </w:pPr>
    </w:p>
    <w:p>
      <w:pPr>
        <w:ind w:right="340"/>
        <w:spacing w:after="0" w:line="239" w:lineRule="auto"/>
        <w:rPr>
          <w:sz w:val="20"/>
          <w:szCs w:val="20"/>
          <w:color w:val="auto"/>
        </w:rPr>
      </w:pPr>
      <w:r>
        <w:rPr>
          <w:rFonts w:ascii="Arial" w:cs="Arial" w:eastAsia="Arial" w:hAnsi="Arial"/>
          <w:sz w:val="14"/>
          <w:szCs w:val="14"/>
          <w:color w:val="auto"/>
        </w:rPr>
        <w:t>Achieving target refinance rate in refinancing business to drive pricing advantage and competitiveness in loan servicing</w:t>
      </w:r>
    </w:p>
    <w:p>
      <w:pPr>
        <w:spacing w:after="0" w:line="44"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auto"/>
        </w:rPr>
        <w:t>Improving asset management, Part I à Incremental target investment in assets offering superior returns</w:t>
      </w:r>
    </w:p>
    <w:p>
      <w:pPr>
        <w:spacing w:after="0" w:line="19" w:lineRule="exact"/>
        <w:rPr>
          <w:sz w:val="20"/>
          <w:szCs w:val="20"/>
          <w:color w:val="auto"/>
        </w:rPr>
      </w:pPr>
    </w:p>
    <w:p>
      <w:pPr>
        <w:spacing w:after="0" w:line="340" w:lineRule="auto"/>
        <w:rPr>
          <w:sz w:val="20"/>
          <w:szCs w:val="20"/>
          <w:color w:val="auto"/>
        </w:rPr>
      </w:pPr>
      <w:r>
        <w:rPr>
          <w:rFonts w:ascii="Arial" w:cs="Arial" w:eastAsia="Arial" w:hAnsi="Arial"/>
          <w:sz w:val="12"/>
          <w:szCs w:val="12"/>
          <w:color w:val="auto"/>
        </w:rPr>
        <w:t>Improving asset management, Part II à Reduce the average equity per UPB consumed by Residential Loan Servicing business by target percentage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Achieving loan processing and securitization target revenue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Achieving target in loan processing and securitization net income</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Achieving channel revenue target in business process outsourcing segment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color w:val="auto"/>
              </w:rPr>
              <w:t>Mediation for</w:t>
            </w:r>
          </w:p>
        </w:tc>
        <w:tc>
          <w:tcPr>
            <w:tcW w:w="1920" w:type="dxa"/>
            <w:vAlign w:val="bottom"/>
          </w:tcPr>
          <w:p>
            <w:pPr>
              <w:jc w:val="center"/>
              <w:spacing w:after="0"/>
              <w:rPr>
                <w:sz w:val="20"/>
                <w:szCs w:val="20"/>
                <w:color w:val="auto"/>
              </w:rPr>
            </w:pPr>
            <w:r>
              <w:rPr>
                <w:rFonts w:ascii="Arial" w:cs="Arial" w:eastAsia="Arial" w:hAnsi="Arial"/>
                <w:sz w:val="14"/>
                <w:szCs w:val="14"/>
                <w:color w:val="auto"/>
                <w:w w:val="90"/>
              </w:rPr>
              <w:t>Final review</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60" w:type="dxa"/>
            <w:vAlign w:val="bottom"/>
          </w:tcPr>
          <w:p>
            <w:pPr>
              <w:jc w:val="center"/>
              <w:ind w:right="512"/>
              <w:spacing w:after="0" w:line="149" w:lineRule="exact"/>
              <w:rPr>
                <w:sz w:val="20"/>
                <w:szCs w:val="20"/>
                <w:color w:val="auto"/>
              </w:rPr>
            </w:pPr>
            <w:r>
              <w:rPr>
                <w:rFonts w:ascii="Arial" w:cs="Arial" w:eastAsia="Arial" w:hAnsi="Arial"/>
                <w:sz w:val="14"/>
                <w:szCs w:val="14"/>
                <w:color w:val="auto"/>
                <w:w w:val="88"/>
              </w:rPr>
              <w:t>severely</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3"/>
              </w:rPr>
              <w:t>process and</w:t>
            </w:r>
          </w:p>
        </w:tc>
        <w:tc>
          <w:tcPr>
            <w:tcW w:w="180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IVR customer</w:t>
            </w:r>
          </w:p>
        </w:tc>
        <w:tc>
          <w:tcPr>
            <w:tcW w:w="1200" w:type="dxa"/>
            <w:vAlign w:val="bottom"/>
            <w:vMerge w:val="restart"/>
          </w:tcPr>
          <w:p>
            <w:pPr>
              <w:jc w:val="center"/>
              <w:ind w:left="472"/>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1160" w:type="dxa"/>
            <w:vAlign w:val="bottom"/>
            <w:vMerge w:val="restart"/>
          </w:tcPr>
          <w:p>
            <w:pPr>
              <w:jc w:val="center"/>
              <w:ind w:right="512"/>
              <w:spacing w:after="0" w:line="149" w:lineRule="exact"/>
              <w:rPr>
                <w:sz w:val="20"/>
                <w:szCs w:val="20"/>
                <w:color w:val="auto"/>
              </w:rPr>
            </w:pPr>
            <w:r>
              <w:rPr>
                <w:rFonts w:ascii="Arial" w:cs="Arial" w:eastAsia="Arial" w:hAnsi="Arial"/>
                <w:sz w:val="14"/>
                <w:szCs w:val="14"/>
                <w:color w:val="auto"/>
                <w:w w:val="89"/>
              </w:rPr>
              <w:t>delinquent</w:t>
            </w: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8"/>
              </w:rPr>
              <w:t>approval prior to</w:t>
            </w:r>
          </w:p>
        </w:tc>
        <w:tc>
          <w:tcPr>
            <w:tcW w:w="620" w:type="dxa"/>
            <w:vAlign w:val="bottom"/>
          </w:tcPr>
          <w:p>
            <w:pPr>
              <w:spacing w:after="0"/>
              <w:rPr>
                <w:sz w:val="7"/>
                <w:szCs w:val="7"/>
                <w:color w:val="auto"/>
              </w:rPr>
            </w:pPr>
          </w:p>
        </w:tc>
        <w:tc>
          <w:tcPr>
            <w:tcW w:w="1180" w:type="dxa"/>
            <w:vAlign w:val="bottom"/>
            <w:vMerge w:val="restart"/>
          </w:tcPr>
          <w:p>
            <w:pPr>
              <w:jc w:val="right"/>
              <w:ind w:right="672"/>
              <w:spacing w:after="0" w:line="149" w:lineRule="exact"/>
              <w:rPr>
                <w:sz w:val="20"/>
                <w:szCs w:val="20"/>
                <w:color w:val="auto"/>
              </w:rPr>
            </w:pPr>
            <w:r>
              <w:rPr>
                <w:rFonts w:ascii="Arial" w:cs="Arial" w:eastAsia="Arial" w:hAnsi="Arial"/>
                <w:sz w:val="14"/>
                <w:szCs w:val="14"/>
                <w:color w:val="auto"/>
              </w:rPr>
              <w:t>survey</w:t>
            </w: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9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160" w:type="dxa"/>
            <w:vAlign w:val="bottom"/>
          </w:tcPr>
          <w:p>
            <w:pPr>
              <w:jc w:val="center"/>
              <w:ind w:right="512"/>
              <w:spacing w:after="0"/>
              <w:rPr>
                <w:sz w:val="20"/>
                <w:szCs w:val="20"/>
                <w:color w:val="auto"/>
              </w:rPr>
            </w:pPr>
            <w:r>
              <w:rPr>
                <w:rFonts w:ascii="Arial" w:cs="Arial" w:eastAsia="Arial" w:hAnsi="Arial"/>
                <w:sz w:val="14"/>
                <w:szCs w:val="14"/>
                <w:color w:val="auto"/>
                <w:w w:val="83"/>
              </w:rPr>
              <w:t>customers</w:t>
            </w:r>
          </w:p>
        </w:tc>
        <w:tc>
          <w:tcPr>
            <w:tcW w:w="1920" w:type="dxa"/>
            <w:vAlign w:val="bottom"/>
          </w:tcPr>
          <w:p>
            <w:pPr>
              <w:jc w:val="center"/>
              <w:spacing w:after="0"/>
              <w:rPr>
                <w:sz w:val="20"/>
                <w:szCs w:val="20"/>
                <w:color w:val="auto"/>
              </w:rPr>
            </w:pPr>
            <w:r>
              <w:rPr>
                <w:rFonts w:ascii="Arial" w:cs="Arial" w:eastAsia="Arial" w:hAnsi="Arial"/>
                <w:sz w:val="14"/>
                <w:szCs w:val="14"/>
                <w:color w:val="auto"/>
                <w:w w:val="86"/>
              </w:rPr>
              <w:t>foreclosure</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60" w:type="dxa"/>
            <w:vAlign w:val="bottom"/>
          </w:tcPr>
          <w:p>
            <w:pPr>
              <w:jc w:val="center"/>
              <w:ind w:right="512"/>
              <w:spacing w:after="0"/>
              <w:rPr>
                <w:sz w:val="20"/>
                <w:szCs w:val="20"/>
                <w:color w:val="auto"/>
              </w:rPr>
            </w:pPr>
            <w:r>
              <w:rPr>
                <w:rFonts w:ascii="Arial" w:cs="Arial" w:eastAsia="Arial" w:hAnsi="Arial"/>
                <w:sz w:val="14"/>
                <w:szCs w:val="14"/>
                <w:color w:val="auto"/>
                <w:w w:val="85"/>
              </w:rPr>
              <w:t>1.40%</w:t>
            </w:r>
          </w:p>
        </w:tc>
        <w:tc>
          <w:tcPr>
            <w:tcW w:w="1920" w:type="dxa"/>
            <w:vAlign w:val="bottom"/>
          </w:tcPr>
          <w:p>
            <w:pPr>
              <w:jc w:val="center"/>
              <w:spacing w:after="0"/>
              <w:rPr>
                <w:sz w:val="20"/>
                <w:szCs w:val="20"/>
                <w:color w:val="auto"/>
              </w:rPr>
            </w:pPr>
            <w:r>
              <w:rPr>
                <w:rFonts w:ascii="Arial" w:cs="Arial" w:eastAsia="Arial" w:hAnsi="Arial"/>
                <w:sz w:val="14"/>
                <w:szCs w:val="14"/>
                <w:color w:val="auto"/>
                <w:w w:val="90"/>
              </w:rPr>
              <w:t>1.65%</w:t>
            </w:r>
          </w:p>
        </w:tc>
        <w:tc>
          <w:tcPr>
            <w:tcW w:w="620" w:type="dxa"/>
            <w:vAlign w:val="bottom"/>
          </w:tcPr>
          <w:p>
            <w:pPr>
              <w:spacing w:after="0"/>
              <w:rPr>
                <w:sz w:val="18"/>
                <w:szCs w:val="18"/>
                <w:color w:val="auto"/>
              </w:rPr>
            </w:pPr>
          </w:p>
        </w:tc>
        <w:tc>
          <w:tcPr>
            <w:tcW w:w="1180" w:type="dxa"/>
            <w:vAlign w:val="bottom"/>
          </w:tcPr>
          <w:p>
            <w:pPr>
              <w:jc w:val="center"/>
              <w:ind w:right="592"/>
              <w:spacing w:after="0"/>
              <w:rPr>
                <w:sz w:val="20"/>
                <w:szCs w:val="20"/>
                <w:color w:val="auto"/>
              </w:rPr>
            </w:pPr>
            <w:r>
              <w:rPr>
                <w:rFonts w:ascii="Arial" w:cs="Arial" w:eastAsia="Arial" w:hAnsi="Arial"/>
                <w:sz w:val="14"/>
                <w:szCs w:val="14"/>
                <w:color w:val="auto"/>
                <w:w w:val="90"/>
              </w:rPr>
              <w:t>1.90%</w:t>
            </w:r>
          </w:p>
        </w:tc>
        <w:tc>
          <w:tcPr>
            <w:tcW w:w="1200" w:type="dxa"/>
            <w:vAlign w:val="bottom"/>
          </w:tcPr>
          <w:p>
            <w:pPr>
              <w:jc w:val="center"/>
              <w:ind w:left="472"/>
              <w:spacing w:after="0"/>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351"/>
        </w:trPr>
        <w:tc>
          <w:tcPr>
            <w:tcW w:w="1240" w:type="dxa"/>
            <w:vAlign w:val="bottom"/>
            <w:gridSpan w:val="2"/>
          </w:tcPr>
          <w:p>
            <w:pPr>
              <w:jc w:val="center"/>
              <w:ind w:right="432"/>
              <w:spacing w:after="0"/>
              <w:rPr>
                <w:sz w:val="20"/>
                <w:szCs w:val="20"/>
                <w:color w:val="auto"/>
              </w:rPr>
            </w:pPr>
            <w:r>
              <w:rPr>
                <w:rFonts w:ascii="Arial" w:cs="Arial" w:eastAsia="Arial" w:hAnsi="Arial"/>
                <w:sz w:val="14"/>
                <w:szCs w:val="14"/>
                <w:color w:val="auto"/>
                <w:w w:val="86"/>
              </w:rPr>
              <w:t>$127,500,000</w:t>
            </w:r>
          </w:p>
        </w:tc>
        <w:tc>
          <w:tcPr>
            <w:tcW w:w="1920" w:type="dxa"/>
            <w:vAlign w:val="bottom"/>
          </w:tcPr>
          <w:p>
            <w:pPr>
              <w:jc w:val="center"/>
              <w:spacing w:after="0"/>
              <w:rPr>
                <w:sz w:val="20"/>
                <w:szCs w:val="20"/>
                <w:color w:val="auto"/>
              </w:rPr>
            </w:pPr>
            <w:r>
              <w:rPr>
                <w:rFonts w:ascii="Arial" w:cs="Arial" w:eastAsia="Arial" w:hAnsi="Arial"/>
                <w:sz w:val="14"/>
                <w:szCs w:val="14"/>
                <w:color w:val="auto"/>
                <w:w w:val="86"/>
              </w:rPr>
              <w:t>$150,000,000</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88"/>
              </w:rPr>
              <w:t>$172,500,000</w:t>
            </w:r>
          </w:p>
        </w:tc>
        <w:tc>
          <w:tcPr>
            <w:tcW w:w="1200" w:type="dxa"/>
            <w:vAlign w:val="bottom"/>
          </w:tcPr>
          <w:p>
            <w:pPr>
              <w:jc w:val="center"/>
              <w:ind w:left="472"/>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1160" w:type="dxa"/>
            <w:vAlign w:val="bottom"/>
          </w:tcPr>
          <w:p>
            <w:pPr>
              <w:jc w:val="center"/>
              <w:ind w:right="512"/>
              <w:spacing w:after="0"/>
              <w:rPr>
                <w:sz w:val="20"/>
                <w:szCs w:val="20"/>
                <w:color w:val="auto"/>
              </w:rPr>
            </w:pPr>
            <w:r>
              <w:rPr>
                <w:rFonts w:ascii="Arial" w:cs="Arial" w:eastAsia="Arial" w:hAnsi="Arial"/>
                <w:sz w:val="14"/>
                <w:szCs w:val="14"/>
                <w:color w:val="auto"/>
                <w:w w:val="92"/>
              </w:rPr>
              <w:t>17%</w:t>
            </w:r>
          </w:p>
        </w:tc>
        <w:tc>
          <w:tcPr>
            <w:tcW w:w="1920" w:type="dxa"/>
            <w:vAlign w:val="bottom"/>
          </w:tcPr>
          <w:p>
            <w:pPr>
              <w:jc w:val="center"/>
              <w:spacing w:after="0"/>
              <w:rPr>
                <w:sz w:val="20"/>
                <w:szCs w:val="20"/>
                <w:color w:val="auto"/>
              </w:rPr>
            </w:pPr>
            <w:r>
              <w:rPr>
                <w:rFonts w:ascii="Arial" w:cs="Arial" w:eastAsia="Arial" w:hAnsi="Arial"/>
                <w:sz w:val="14"/>
                <w:szCs w:val="14"/>
                <w:color w:val="auto"/>
                <w:w w:val="85"/>
              </w:rPr>
              <w:t>20%</w:t>
            </w:r>
          </w:p>
        </w:tc>
        <w:tc>
          <w:tcPr>
            <w:tcW w:w="620" w:type="dxa"/>
            <w:vAlign w:val="bottom"/>
          </w:tcPr>
          <w:p>
            <w:pPr>
              <w:spacing w:after="0"/>
              <w:rPr>
                <w:sz w:val="24"/>
                <w:szCs w:val="24"/>
                <w:color w:val="auto"/>
              </w:rPr>
            </w:pPr>
          </w:p>
        </w:tc>
        <w:tc>
          <w:tcPr>
            <w:tcW w:w="1180" w:type="dxa"/>
            <w:vAlign w:val="bottom"/>
          </w:tcPr>
          <w:p>
            <w:pPr>
              <w:jc w:val="center"/>
              <w:ind w:right="592"/>
              <w:spacing w:after="0"/>
              <w:rPr>
                <w:sz w:val="20"/>
                <w:szCs w:val="20"/>
                <w:color w:val="auto"/>
              </w:rPr>
            </w:pPr>
            <w:r>
              <w:rPr>
                <w:rFonts w:ascii="Arial" w:cs="Arial" w:eastAsia="Arial" w:hAnsi="Arial"/>
                <w:sz w:val="14"/>
                <w:szCs w:val="14"/>
                <w:color w:val="auto"/>
                <w:w w:val="85"/>
              </w:rPr>
              <w:t>23%</w:t>
            </w:r>
          </w:p>
        </w:tc>
        <w:tc>
          <w:tcPr>
            <w:tcW w:w="1200" w:type="dxa"/>
            <w:vAlign w:val="bottom"/>
          </w:tcPr>
          <w:p>
            <w:pPr>
              <w:jc w:val="center"/>
              <w:ind w:left="472"/>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246"/>
        </w:trPr>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ind w:right="432"/>
              <w:spacing w:after="0"/>
              <w:rPr>
                <w:sz w:val="20"/>
                <w:szCs w:val="20"/>
                <w:color w:val="auto"/>
              </w:rPr>
            </w:pPr>
            <w:r>
              <w:rPr>
                <w:rFonts w:ascii="Arial" w:cs="Arial" w:eastAsia="Arial" w:hAnsi="Arial"/>
                <w:sz w:val="14"/>
                <w:szCs w:val="14"/>
                <w:color w:val="auto"/>
                <w:w w:val="91"/>
              </w:rPr>
              <w:t>20,910,000</w:t>
            </w:r>
          </w:p>
        </w:tc>
        <w:tc>
          <w:tcPr>
            <w:tcW w:w="1920" w:type="dxa"/>
            <w:vAlign w:val="bottom"/>
            <w:vMerge w:val="restart"/>
          </w:tcPr>
          <w:p>
            <w:pPr>
              <w:jc w:val="center"/>
              <w:spacing w:after="0"/>
              <w:rPr>
                <w:sz w:val="20"/>
                <w:szCs w:val="20"/>
                <w:color w:val="auto"/>
              </w:rPr>
            </w:pPr>
            <w:r>
              <w:rPr>
                <w:rFonts w:ascii="Arial" w:cs="Arial" w:eastAsia="Arial" w:hAnsi="Arial"/>
                <w:sz w:val="14"/>
                <w:szCs w:val="14"/>
                <w:color w:val="auto"/>
                <w:w w:val="88"/>
              </w:rPr>
              <w:t>$ 24,600,000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color w:val="auto"/>
                <w:w w:val="85"/>
              </w:rPr>
              <w:t>28,290,000</w:t>
            </w:r>
          </w:p>
        </w:tc>
        <w:tc>
          <w:tcPr>
            <w:tcW w:w="1200" w:type="dxa"/>
            <w:vAlign w:val="bottom"/>
          </w:tcPr>
          <w:p>
            <w:pPr>
              <w:jc w:val="center"/>
              <w:ind w:left="452"/>
              <w:spacing w:after="0"/>
              <w:rPr>
                <w:sz w:val="20"/>
                <w:szCs w:val="20"/>
                <w:color w:val="auto"/>
              </w:rPr>
            </w:pPr>
            <w:r>
              <w:rPr>
                <w:rFonts w:ascii="Arial" w:cs="Arial" w:eastAsia="Arial" w:hAnsi="Arial"/>
                <w:sz w:val="14"/>
                <w:szCs w:val="14"/>
                <w:color w:val="auto"/>
                <w:w w:val="94"/>
              </w:rPr>
              <w:t>Below</w:t>
            </w:r>
          </w:p>
        </w:tc>
        <w:tc>
          <w:tcPr>
            <w:tcW w:w="0" w:type="dxa"/>
            <w:vAlign w:val="bottom"/>
          </w:tcPr>
          <w:p>
            <w:pPr>
              <w:spacing w:after="0"/>
              <w:rPr>
                <w:sz w:val="1"/>
                <w:szCs w:val="1"/>
                <w:color w:val="auto"/>
              </w:rPr>
            </w:pPr>
          </w:p>
        </w:tc>
      </w:tr>
      <w:tr>
        <w:trPr>
          <w:trHeight w:val="91"/>
        </w:trPr>
        <w:tc>
          <w:tcPr>
            <w:tcW w:w="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0" w:type="dxa"/>
            <w:vAlign w:val="bottom"/>
            <w:vMerge w:val="restart"/>
          </w:tcPr>
          <w:p>
            <w:pPr>
              <w:jc w:val="center"/>
              <w:ind w:left="452"/>
              <w:spacing w:after="0" w:line="149" w:lineRule="exact"/>
              <w:rPr>
                <w:sz w:val="20"/>
                <w:szCs w:val="20"/>
                <w:color w:val="auto"/>
              </w:rPr>
            </w:pPr>
            <w:r>
              <w:rPr>
                <w:rFonts w:ascii="Arial" w:cs="Arial" w:eastAsia="Arial" w:hAnsi="Arial"/>
                <w:sz w:val="14"/>
                <w:szCs w:val="14"/>
                <w:color w:val="auto"/>
                <w:w w:val="89"/>
              </w:rPr>
              <w:t>Threshold</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452"/>
              <w:spacing w:after="0" w:line="149" w:lineRule="exact"/>
              <w:rPr>
                <w:sz w:val="20"/>
                <w:szCs w:val="20"/>
                <w:color w:val="auto"/>
              </w:rPr>
            </w:pPr>
            <w:r>
              <w:rPr>
                <w:rFonts w:ascii="Arial" w:cs="Arial" w:eastAsia="Arial" w:hAnsi="Arial"/>
                <w:sz w:val="14"/>
                <w:szCs w:val="14"/>
                <w:color w:val="auto"/>
                <w:w w:val="99"/>
              </w:rPr>
              <w:t>4,250,000</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1"/>
              </w:rPr>
              <w:t>$ 5,000,000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2"/>
              <w:spacing w:after="0" w:line="149" w:lineRule="exact"/>
              <w:rPr>
                <w:sz w:val="20"/>
                <w:szCs w:val="20"/>
                <w:color w:val="auto"/>
              </w:rPr>
            </w:pPr>
            <w:r>
              <w:rPr>
                <w:rFonts w:ascii="Arial" w:cs="Arial" w:eastAsia="Arial" w:hAnsi="Arial"/>
                <w:sz w:val="14"/>
                <w:szCs w:val="14"/>
                <w:color w:val="auto"/>
                <w:w w:val="96"/>
              </w:rPr>
              <w:t>5,750,000</w:t>
            </w:r>
          </w:p>
        </w:tc>
        <w:tc>
          <w:tcPr>
            <w:tcW w:w="1200" w:type="dxa"/>
            <w:vAlign w:val="bottom"/>
          </w:tcPr>
          <w:p>
            <w:pPr>
              <w:jc w:val="center"/>
              <w:ind w:left="472"/>
              <w:spacing w:after="0" w:line="14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1160" w:type="dxa"/>
            <w:vAlign w:val="bottom"/>
            <w:vMerge w:val="restart"/>
          </w:tcPr>
          <w:p>
            <w:pPr>
              <w:jc w:val="right"/>
              <w:ind w:right="452"/>
              <w:spacing w:after="0"/>
              <w:rPr>
                <w:sz w:val="20"/>
                <w:szCs w:val="20"/>
                <w:color w:val="auto"/>
              </w:rPr>
            </w:pPr>
            <w:r>
              <w:rPr>
                <w:rFonts w:ascii="Arial" w:cs="Arial" w:eastAsia="Arial" w:hAnsi="Arial"/>
                <w:sz w:val="14"/>
                <w:szCs w:val="14"/>
                <w:color w:val="auto"/>
                <w:w w:val="88"/>
              </w:rPr>
              <w:t>11,985,000</w:t>
            </w:r>
          </w:p>
        </w:tc>
        <w:tc>
          <w:tcPr>
            <w:tcW w:w="1920" w:type="dxa"/>
            <w:vAlign w:val="bottom"/>
            <w:vMerge w:val="restart"/>
          </w:tcPr>
          <w:p>
            <w:pPr>
              <w:jc w:val="center"/>
              <w:spacing w:after="0"/>
              <w:rPr>
                <w:sz w:val="20"/>
                <w:szCs w:val="20"/>
                <w:color w:val="auto"/>
              </w:rPr>
            </w:pPr>
            <w:r>
              <w:rPr>
                <w:rFonts w:ascii="Arial" w:cs="Arial" w:eastAsia="Arial" w:hAnsi="Arial"/>
                <w:sz w:val="14"/>
                <w:szCs w:val="14"/>
                <w:color w:val="auto"/>
                <w:w w:val="88"/>
              </w:rPr>
              <w:t>$ 14,100,000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color w:val="auto"/>
                <w:w w:val="85"/>
              </w:rPr>
              <w:t>16,215,000</w:t>
            </w:r>
          </w:p>
        </w:tc>
        <w:tc>
          <w:tcPr>
            <w:tcW w:w="1200" w:type="dxa"/>
            <w:vAlign w:val="bottom"/>
          </w:tcPr>
          <w:p>
            <w:pPr>
              <w:jc w:val="center"/>
              <w:ind w:left="452"/>
              <w:spacing w:after="0" w:line="149" w:lineRule="exact"/>
              <w:rPr>
                <w:sz w:val="20"/>
                <w:szCs w:val="20"/>
                <w:color w:val="auto"/>
              </w:rPr>
            </w:pPr>
            <w:r>
              <w:rPr>
                <w:rFonts w:ascii="Arial" w:cs="Arial" w:eastAsia="Arial" w:hAnsi="Arial"/>
                <w:sz w:val="14"/>
                <w:szCs w:val="14"/>
                <w:color w:val="auto"/>
                <w:w w:val="94"/>
              </w:rPr>
              <w:t>Below</w:t>
            </w:r>
          </w:p>
        </w:tc>
        <w:tc>
          <w:tcPr>
            <w:tcW w:w="0" w:type="dxa"/>
            <w:vAlign w:val="bottom"/>
          </w:tcPr>
          <w:p>
            <w:pPr>
              <w:spacing w:after="0"/>
              <w:rPr>
                <w:sz w:val="1"/>
                <w:szCs w:val="1"/>
                <w:color w:val="auto"/>
              </w:rPr>
            </w:pPr>
          </w:p>
        </w:tc>
      </w:tr>
      <w:tr>
        <w:trPr>
          <w:trHeight w:val="91"/>
        </w:trPr>
        <w:tc>
          <w:tcPr>
            <w:tcW w:w="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0" w:type="dxa"/>
            <w:vAlign w:val="bottom"/>
            <w:vMerge w:val="restart"/>
          </w:tcPr>
          <w:p>
            <w:pPr>
              <w:jc w:val="center"/>
              <w:ind w:left="452"/>
              <w:spacing w:after="0"/>
              <w:rPr>
                <w:sz w:val="20"/>
                <w:szCs w:val="20"/>
                <w:color w:val="auto"/>
              </w:rPr>
            </w:pPr>
            <w:r>
              <w:rPr>
                <w:rFonts w:ascii="Arial" w:cs="Arial" w:eastAsia="Arial" w:hAnsi="Arial"/>
                <w:sz w:val="14"/>
                <w:szCs w:val="14"/>
                <w:color w:val="auto"/>
                <w:w w:val="89"/>
              </w:rPr>
              <w:t>Threshold</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-1542415</wp:posOffset>
            </wp:positionV>
            <wp:extent cx="7246620" cy="377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-976630</wp:posOffset>
            </wp:positionV>
            <wp:extent cx="7246620" cy="248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4892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-479425</wp:posOffset>
            </wp:positionV>
            <wp:extent cx="72466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-196215</wp:posOffset>
            </wp:positionV>
            <wp:extent cx="72466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160" w:space="680"/>
            <w:col w:w="6600"/>
          </w:cols>
          <w:pgMar w:left="240" w:top="131" w:right="219" w:bottom="1440" w:gutter="0" w:footer="0" w:header="0"/>
          <w:type w:val="continuous"/>
        </w:sectPr>
      </w:pPr>
    </w:p>
    <w:p>
      <w:pPr>
        <w:jc w:val="both"/>
        <w:ind w:right="20"/>
        <w:spacing w:after="0" w:line="259" w:lineRule="auto"/>
        <w:rPr>
          <w:sz w:val="20"/>
          <w:szCs w:val="20"/>
          <w:color w:val="auto"/>
        </w:rPr>
      </w:pPr>
      <w:r>
        <w:rPr>
          <w:rFonts w:ascii="Arial" w:cs="Arial" w:eastAsia="Arial" w:hAnsi="Arial"/>
          <w:sz w:val="18"/>
          <w:szCs w:val="18"/>
          <w:color w:val="auto"/>
        </w:rPr>
        <w:t>With regard to the Chief Executive Officer’s incentive compensation for 2006, the Compensation Committee reviewed the profitability and overall performance of the company in 2006, as well as the additional value creation for which the Chief Executive Officer was directly responsible and determined that the Chief Executive Officer achieved an Outstanding performance level overall.</w:t>
      </w:r>
    </w:p>
    <w:p>
      <w:pPr>
        <w:spacing w:after="0" w:line="1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incentive awards of our other executive officers are structured so that the compensation opportunities are related to (i) the performance levels on the corporate key performance indicators and initiatives, (ii) the performance within the business or support unit, as expressed on each executive officer’s scorecard, and (iii) the performance appraisal of the executive officer. For the 2006 service year, the applicable percentage weight assigned to each component of each executive officer’s incentive compensation is detailed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Corporate Strategic</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Profitability</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Initiatives</w:t>
            </w:r>
          </w:p>
        </w:tc>
        <w:tc>
          <w:tcPr>
            <w:tcW w:w="2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3"/>
              </w:rPr>
              <w:t>Scorecard</w:t>
            </w:r>
          </w:p>
        </w:tc>
        <w:tc>
          <w:tcPr>
            <w:tcW w:w="2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 Appraisal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10%</w:t>
            </w:r>
          </w:p>
        </w:tc>
        <w:tc>
          <w:tcPr>
            <w:tcW w:w="200" w:type="dxa"/>
            <w:vAlign w:val="bottom"/>
            <w:shd w:val="clear" w:color="auto" w:fill="EAF9E8"/>
          </w:tcPr>
          <w:p>
            <w:pPr>
              <w:spacing w:after="0"/>
              <w:rPr>
                <w:sz w:val="18"/>
                <w:szCs w:val="18"/>
                <w:color w:val="auto"/>
              </w:rPr>
            </w:pPr>
          </w:p>
        </w:tc>
        <w:tc>
          <w:tcPr>
            <w:tcW w:w="18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204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8"/>
              </w:rPr>
              <w:t>60%</w:t>
            </w:r>
          </w:p>
        </w:tc>
        <w:tc>
          <w:tcPr>
            <w:tcW w:w="20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David J. Gunter</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w:t>
            </w:r>
          </w:p>
        </w:tc>
        <w:tc>
          <w:tcPr>
            <w:tcW w:w="2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50%</w:t>
            </w:r>
          </w:p>
        </w:tc>
        <w:tc>
          <w:tcPr>
            <w:tcW w:w="20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W. Michael Linn</w:t>
            </w:r>
          </w:p>
        </w:tc>
        <w:tc>
          <w:tcPr>
            <w:tcW w:w="206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10%</w:t>
            </w:r>
          </w:p>
        </w:tc>
        <w:tc>
          <w:tcPr>
            <w:tcW w:w="200" w:type="dxa"/>
            <w:vAlign w:val="bottom"/>
            <w:shd w:val="clear" w:color="auto" w:fill="EAF9E8"/>
          </w:tcPr>
          <w:p>
            <w:pPr>
              <w:spacing w:after="0"/>
              <w:rPr>
                <w:sz w:val="18"/>
                <w:szCs w:val="18"/>
                <w:color w:val="auto"/>
              </w:rPr>
            </w:pPr>
          </w:p>
        </w:tc>
        <w:tc>
          <w:tcPr>
            <w:tcW w:w="18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2040" w:type="dxa"/>
            <w:vAlign w:val="bottom"/>
            <w:gridSpan w:val="2"/>
            <w:shd w:val="clear" w:color="auto" w:fill="EAF9E8"/>
          </w:tcPr>
          <w:p>
            <w:pPr>
              <w:jc w:val="center"/>
              <w:ind w:left="72"/>
              <w:spacing w:after="0"/>
              <w:rPr>
                <w:sz w:val="20"/>
                <w:szCs w:val="20"/>
                <w:color w:val="auto"/>
              </w:rPr>
            </w:pPr>
            <w:r>
              <w:rPr>
                <w:rFonts w:ascii="Arial" w:cs="Arial" w:eastAsia="Arial" w:hAnsi="Arial"/>
                <w:sz w:val="18"/>
                <w:szCs w:val="18"/>
                <w:color w:val="auto"/>
                <w:w w:val="88"/>
              </w:rPr>
              <w:t>60%</w:t>
            </w:r>
          </w:p>
        </w:tc>
        <w:tc>
          <w:tcPr>
            <w:tcW w:w="2020" w:type="dxa"/>
            <w:vAlign w:val="bottom"/>
            <w:gridSpan w:val="2"/>
            <w:shd w:val="clear" w:color="auto" w:fill="EAF9E8"/>
          </w:tcPr>
          <w:p>
            <w:pPr>
              <w:jc w:val="center"/>
              <w:ind w:left="9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William B. Shepro</w:t>
            </w:r>
          </w:p>
        </w:tc>
        <w:tc>
          <w:tcPr>
            <w:tcW w:w="20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60%</w:t>
            </w:r>
          </w:p>
        </w:tc>
        <w:tc>
          <w:tcPr>
            <w:tcW w:w="20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All executive officers have 10% of their incentive compensation determined by objective performance related to the corporate profitability key performance indicator established as part of the corporate scorecard. Support unit executives also have 10% of their incentive compensation determined by our performance related to our completion of strategic initiatives as set forth in the corporate scorecard.</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type w:val="continuous"/>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The performance portion of the incentive compensation awards are also based on objective performance criteria set forth in a scorecard for each of our executive officers. For executive officers responsible for oversight of a business unit, incentive compensation is allocated 60% to business unit performance levels set forth in the executive officer’s scorecard and actually achieved. For executive officers that oversee a support unit, incentive compensation is allocated 50% to actual support unit performance based on the levels of achievement set forth in the executive officer’s scorecard. The individual scorecard component is comprised of key elements of our strategic initiatives for the year related to the executive officer’s respective business or support unit. All executive officers have 30% of their incentive compensation related to their performance appraisal for the service year.</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responsibility for achieving our key performance indicators and initiatives in our corporate scorecard cascades to our executive officers in their personal scorecards and then to all of our incentive-eligible employees in their personal scorecards. Within this program, all other incentive-eligible employees of the organization are tied to a personal or business unit scorecard from which to measure performance against goals that are directly linked to the corporate profitability and strategy.</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achievement of the strategic initiatives. Within each component of the scorecard, there are three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 goal will earn the executive officer 50% of the target incentive compensation tied to such goal; the Target level of a goal will earn the executive officer 100% of the target incentive compensation tied to such goal; and the Outstanding level of achievement will earn the executive officer 150% of the target incentive compensation tied to such goal.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personal scorecards for our other executive officers and their corresponding levels of achievement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6"/>
              </w:rPr>
              <w:t>Achievement Levels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2006 Scorecard</w:t>
            </w: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Level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40" w:type="dxa"/>
            <w:vAlign w:val="bottom"/>
            <w:gridSpan w:val="3"/>
          </w:tcPr>
          <w:p>
            <w:pPr>
              <w:jc w:val="center"/>
              <w:ind w:left="14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Elements</w:t>
            </w:r>
          </w:p>
        </w:tc>
        <w:tc>
          <w:tcPr>
            <w:tcW w:w="1420" w:type="dxa"/>
            <w:vAlign w:val="bottom"/>
            <w:gridSpan w:val="2"/>
          </w:tcPr>
          <w:p>
            <w:pPr>
              <w:ind w:left="320"/>
              <w:spacing w:after="0"/>
              <w:rPr>
                <w:sz w:val="20"/>
                <w:szCs w:val="20"/>
                <w:color w:val="auto"/>
              </w:rPr>
            </w:pPr>
            <w:r>
              <w:rPr>
                <w:rFonts w:ascii="Arial" w:cs="Arial" w:eastAsia="Arial" w:hAnsi="Arial"/>
                <w:sz w:val="18"/>
                <w:szCs w:val="18"/>
                <w:b w:val="1"/>
                <w:bCs w:val="1"/>
                <w:color w:val="auto"/>
              </w:rPr>
              <w:t>Threshold</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Target</w:t>
            </w:r>
          </w:p>
        </w:tc>
        <w:tc>
          <w:tcPr>
            <w:tcW w:w="13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4"/>
              </w:rPr>
              <w:t>Achieved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EAF9E8"/>
          </w:tcPr>
          <w:p>
            <w:pPr>
              <w:spacing w:after="0"/>
              <w:rPr>
                <w:sz w:val="12"/>
                <w:szCs w:val="12"/>
                <w:color w:val="auto"/>
              </w:rPr>
            </w:pPr>
          </w:p>
        </w:tc>
        <w:tc>
          <w:tcPr>
            <w:tcW w:w="840" w:type="dxa"/>
            <w:vAlign w:val="bottom"/>
            <w:gridSpan w:val="3"/>
            <w:shd w:val="clear" w:color="auto" w:fill="EAF9E8"/>
          </w:tcPr>
          <w:p>
            <w:pPr>
              <w:jc w:val="center"/>
              <w:ind w:left="122"/>
              <w:spacing w:after="0" w:line="149" w:lineRule="exact"/>
              <w:rPr>
                <w:sz w:val="20"/>
                <w:szCs w:val="20"/>
                <w:color w:val="auto"/>
              </w:rPr>
            </w:pPr>
            <w:r>
              <w:rPr>
                <w:rFonts w:ascii="Arial" w:cs="Arial" w:eastAsia="Arial" w:hAnsi="Arial"/>
                <w:sz w:val="14"/>
                <w:szCs w:val="14"/>
                <w:color w:val="auto"/>
                <w:w w:val="85"/>
              </w:rPr>
              <w:t>50%</w:t>
            </w:r>
          </w:p>
        </w:tc>
        <w:tc>
          <w:tcPr>
            <w:tcW w:w="200" w:type="dxa"/>
            <w:vAlign w:val="bottom"/>
            <w:shd w:val="clear" w:color="auto" w:fill="EAF9E8"/>
          </w:tcPr>
          <w:p>
            <w:pPr>
              <w:spacing w:after="0"/>
              <w:rPr>
                <w:sz w:val="12"/>
                <w:szCs w:val="12"/>
                <w:color w:val="auto"/>
              </w:rPr>
            </w:pPr>
          </w:p>
        </w:tc>
        <w:tc>
          <w:tcPr>
            <w:tcW w:w="2520" w:type="dxa"/>
            <w:vAlign w:val="bottom"/>
            <w:gridSpan w:val="2"/>
            <w:shd w:val="clear" w:color="auto" w:fill="EAF9E8"/>
          </w:tcPr>
          <w:p>
            <w:pPr>
              <w:jc w:val="center"/>
              <w:ind w:right="220"/>
              <w:spacing w:after="0" w:line="149" w:lineRule="exact"/>
              <w:rPr>
                <w:sz w:val="20"/>
                <w:szCs w:val="20"/>
                <w:color w:val="auto"/>
              </w:rPr>
            </w:pPr>
            <w:r>
              <w:rPr>
                <w:rFonts w:ascii="Arial" w:cs="Arial" w:eastAsia="Arial" w:hAnsi="Arial"/>
                <w:sz w:val="14"/>
                <w:szCs w:val="14"/>
                <w:color w:val="auto"/>
                <w:w w:val="88"/>
              </w:rPr>
              <w:t>Achieve Business-Unit Net Income Target</w:t>
            </w:r>
          </w:p>
        </w:tc>
        <w:tc>
          <w:tcPr>
            <w:tcW w:w="400" w:type="dxa"/>
            <w:vAlign w:val="bottom"/>
            <w:shd w:val="clear" w:color="auto" w:fill="EAF9E8"/>
          </w:tcPr>
          <w:p>
            <w:pPr>
              <w:ind w:left="32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EAF9E8"/>
          </w:tcPr>
          <w:p>
            <w:pPr>
              <w:jc w:val="right"/>
              <w:ind w:right="292"/>
              <w:spacing w:after="0" w:line="149" w:lineRule="exact"/>
              <w:rPr>
                <w:sz w:val="20"/>
                <w:szCs w:val="20"/>
                <w:color w:val="auto"/>
              </w:rPr>
            </w:pPr>
            <w:r>
              <w:rPr>
                <w:rFonts w:ascii="Arial" w:cs="Arial" w:eastAsia="Arial" w:hAnsi="Arial"/>
                <w:sz w:val="14"/>
                <w:szCs w:val="14"/>
                <w:color w:val="auto"/>
                <w:w w:val="91"/>
              </w:rPr>
              <w:t>37,700,000</w:t>
            </w:r>
          </w:p>
        </w:tc>
        <w:tc>
          <w:tcPr>
            <w:tcW w:w="5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AF9E8"/>
          </w:tcPr>
          <w:p>
            <w:pPr>
              <w:jc w:val="right"/>
              <w:ind w:right="266"/>
              <w:spacing w:after="0" w:line="149" w:lineRule="exact"/>
              <w:rPr>
                <w:sz w:val="20"/>
                <w:szCs w:val="20"/>
                <w:color w:val="auto"/>
              </w:rPr>
            </w:pPr>
            <w:r>
              <w:rPr>
                <w:rFonts w:ascii="Arial" w:cs="Arial" w:eastAsia="Arial" w:hAnsi="Arial"/>
                <w:sz w:val="14"/>
                <w:szCs w:val="14"/>
                <w:color w:val="auto"/>
                <w:w w:val="91"/>
              </w:rPr>
              <w:t>44,400,000</w:t>
            </w:r>
          </w:p>
        </w:tc>
        <w:tc>
          <w:tcPr>
            <w:tcW w:w="200" w:type="dxa"/>
            <w:vAlign w:val="bottom"/>
            <w:shd w:val="clear" w:color="auto" w:fill="EAF9E8"/>
          </w:tcPr>
          <w:p>
            <w:pPr>
              <w:spacing w:after="0"/>
              <w:rPr>
                <w:sz w:val="12"/>
                <w:szCs w:val="12"/>
                <w:color w:val="auto"/>
              </w:rPr>
            </w:pPr>
          </w:p>
        </w:tc>
        <w:tc>
          <w:tcPr>
            <w:tcW w:w="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AF9E8"/>
          </w:tcPr>
          <w:p>
            <w:pPr>
              <w:jc w:val="right"/>
              <w:ind w:right="272"/>
              <w:spacing w:after="0" w:line="149" w:lineRule="exact"/>
              <w:rPr>
                <w:sz w:val="20"/>
                <w:szCs w:val="20"/>
                <w:color w:val="auto"/>
              </w:rPr>
            </w:pPr>
            <w:r>
              <w:rPr>
                <w:rFonts w:ascii="Arial" w:cs="Arial" w:eastAsia="Arial" w:hAnsi="Arial"/>
                <w:sz w:val="14"/>
                <w:szCs w:val="14"/>
                <w:color w:val="auto"/>
                <w:w w:val="91"/>
              </w:rPr>
              <w:t>51,100,000</w:t>
            </w:r>
          </w:p>
        </w:tc>
        <w:tc>
          <w:tcPr>
            <w:tcW w:w="200" w:type="dxa"/>
            <w:vAlign w:val="bottom"/>
            <w:shd w:val="clear" w:color="auto" w:fill="EAF9E8"/>
          </w:tcPr>
          <w:p>
            <w:pPr>
              <w:spacing w:after="0"/>
              <w:rPr>
                <w:sz w:val="12"/>
                <w:szCs w:val="12"/>
                <w:color w:val="auto"/>
              </w:rPr>
            </w:pPr>
          </w:p>
        </w:tc>
        <w:tc>
          <w:tcPr>
            <w:tcW w:w="136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720" w:type="dxa"/>
            <w:vAlign w:val="bottom"/>
            <w:shd w:val="clear" w:color="auto" w:fill="EAF9E8"/>
          </w:tcPr>
          <w:p>
            <w:pPr>
              <w:spacing w:after="0"/>
              <w:rPr>
                <w:sz w:val="20"/>
                <w:szCs w:val="20"/>
                <w:color w:val="auto"/>
              </w:rPr>
            </w:pPr>
            <w:r>
              <w:rPr>
                <w:rFonts w:ascii="Arial" w:cs="Arial" w:eastAsia="Arial" w:hAnsi="Arial"/>
                <w:sz w:val="14"/>
                <w:szCs w:val="14"/>
                <w:color w:val="auto"/>
              </w:rPr>
              <w:t>Ronald M. Faris</w:t>
            </w:r>
          </w:p>
        </w:tc>
        <w:tc>
          <w:tcPr>
            <w:tcW w:w="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60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5"/>
              </w:rPr>
              <w:t>25%</w:t>
            </w:r>
          </w:p>
        </w:tc>
        <w:tc>
          <w:tcPr>
            <w:tcW w:w="200" w:type="dxa"/>
            <w:vAlign w:val="bottom"/>
            <w:shd w:val="clear" w:color="auto" w:fill="EAF9E8"/>
          </w:tcPr>
          <w:p>
            <w:pPr>
              <w:spacing w:after="0"/>
              <w:rPr>
                <w:sz w:val="24"/>
                <w:szCs w:val="24"/>
                <w:color w:val="auto"/>
              </w:rPr>
            </w:pPr>
          </w:p>
        </w:tc>
        <w:tc>
          <w:tcPr>
            <w:tcW w:w="2520" w:type="dxa"/>
            <w:vAlign w:val="bottom"/>
            <w:gridSpan w:val="2"/>
            <w:shd w:val="clear" w:color="auto" w:fill="EAF9E8"/>
          </w:tcPr>
          <w:p>
            <w:pPr>
              <w:jc w:val="center"/>
              <w:ind w:right="220"/>
              <w:spacing w:after="0"/>
              <w:rPr>
                <w:sz w:val="20"/>
                <w:szCs w:val="20"/>
                <w:color w:val="auto"/>
              </w:rPr>
            </w:pPr>
            <w:r>
              <w:rPr>
                <w:rFonts w:ascii="Arial" w:cs="Arial" w:eastAsia="Arial" w:hAnsi="Arial"/>
                <w:sz w:val="14"/>
                <w:szCs w:val="14"/>
                <w:color w:val="auto"/>
                <w:w w:val="87"/>
              </w:rPr>
              <w:t>Achieve Business-Unit Revenue Target</w:t>
            </w:r>
          </w:p>
        </w:tc>
        <w:tc>
          <w:tcPr>
            <w:tcW w:w="400" w:type="dxa"/>
            <w:vAlign w:val="bottom"/>
            <w:shd w:val="clear" w:color="auto" w:fill="EAF9E8"/>
          </w:tcPr>
          <w:p>
            <w:pPr>
              <w:ind w:left="32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EAF9E8"/>
          </w:tcPr>
          <w:p>
            <w:pPr>
              <w:jc w:val="right"/>
              <w:ind w:right="292"/>
              <w:spacing w:after="0"/>
              <w:rPr>
                <w:sz w:val="20"/>
                <w:szCs w:val="20"/>
                <w:color w:val="auto"/>
              </w:rPr>
            </w:pPr>
            <w:r>
              <w:rPr>
                <w:rFonts w:ascii="Arial" w:cs="Arial" w:eastAsia="Arial" w:hAnsi="Arial"/>
                <w:sz w:val="14"/>
                <w:szCs w:val="14"/>
                <w:color w:val="auto"/>
                <w:w w:val="82"/>
              </w:rPr>
              <w:t>336,200,000</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F9E8"/>
          </w:tcPr>
          <w:p>
            <w:pPr>
              <w:jc w:val="right"/>
              <w:ind w:right="266"/>
              <w:spacing w:after="0"/>
              <w:rPr>
                <w:sz w:val="20"/>
                <w:szCs w:val="20"/>
                <w:color w:val="auto"/>
              </w:rPr>
            </w:pPr>
            <w:r>
              <w:rPr>
                <w:rFonts w:ascii="Arial" w:cs="Arial" w:eastAsia="Arial" w:hAnsi="Arial"/>
                <w:sz w:val="14"/>
                <w:szCs w:val="14"/>
                <w:color w:val="auto"/>
                <w:w w:val="82"/>
              </w:rPr>
              <w:t>369,800,000</w:t>
            </w:r>
          </w:p>
        </w:tc>
        <w:tc>
          <w:tcPr>
            <w:tcW w:w="200" w:type="dxa"/>
            <w:vAlign w:val="bottom"/>
            <w:shd w:val="clear" w:color="auto" w:fill="EAF9E8"/>
          </w:tcPr>
          <w:p>
            <w:pPr>
              <w:spacing w:after="0"/>
              <w:rPr>
                <w:sz w:val="24"/>
                <w:szCs w:val="24"/>
                <w:color w:val="auto"/>
              </w:rPr>
            </w:pPr>
          </w:p>
        </w:tc>
        <w:tc>
          <w:tcPr>
            <w:tcW w:w="3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F9E8"/>
          </w:tcPr>
          <w:p>
            <w:pPr>
              <w:jc w:val="right"/>
              <w:ind w:right="272"/>
              <w:spacing w:after="0"/>
              <w:rPr>
                <w:sz w:val="20"/>
                <w:szCs w:val="20"/>
                <w:color w:val="auto"/>
              </w:rPr>
            </w:pPr>
            <w:r>
              <w:rPr>
                <w:rFonts w:ascii="Arial" w:cs="Arial" w:eastAsia="Arial" w:hAnsi="Arial"/>
                <w:sz w:val="14"/>
                <w:szCs w:val="14"/>
                <w:color w:val="auto"/>
                <w:w w:val="82"/>
              </w:rPr>
              <w:t>403,400,000</w:t>
            </w:r>
          </w:p>
        </w:tc>
        <w:tc>
          <w:tcPr>
            <w:tcW w:w="200" w:type="dxa"/>
            <w:vAlign w:val="bottom"/>
            <w:shd w:val="clear" w:color="auto" w:fill="EAF9E8"/>
          </w:tcPr>
          <w:p>
            <w:pPr>
              <w:spacing w:after="0"/>
              <w:rPr>
                <w:sz w:val="24"/>
                <w:szCs w:val="24"/>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7"/>
              </w:rPr>
              <w:t>Outstanding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7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60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5"/>
              </w:rPr>
              <w:t>25%</w:t>
            </w:r>
          </w:p>
        </w:tc>
        <w:tc>
          <w:tcPr>
            <w:tcW w:w="200" w:type="dxa"/>
            <w:vAlign w:val="bottom"/>
            <w:shd w:val="clear" w:color="auto" w:fill="EAF9E8"/>
          </w:tcPr>
          <w:p>
            <w:pPr>
              <w:spacing w:after="0"/>
              <w:rPr>
                <w:sz w:val="24"/>
                <w:szCs w:val="24"/>
                <w:color w:val="auto"/>
              </w:rPr>
            </w:pPr>
          </w:p>
        </w:tc>
        <w:tc>
          <w:tcPr>
            <w:tcW w:w="2520" w:type="dxa"/>
            <w:vAlign w:val="bottom"/>
            <w:gridSpan w:val="2"/>
            <w:shd w:val="clear" w:color="auto" w:fill="EAF9E8"/>
          </w:tcPr>
          <w:p>
            <w:pPr>
              <w:jc w:val="center"/>
              <w:ind w:right="220"/>
              <w:spacing w:after="0"/>
              <w:rPr>
                <w:sz w:val="20"/>
                <w:szCs w:val="20"/>
                <w:color w:val="auto"/>
              </w:rPr>
            </w:pPr>
            <w:r>
              <w:rPr>
                <w:rFonts w:ascii="Arial" w:cs="Arial" w:eastAsia="Arial" w:hAnsi="Arial"/>
                <w:sz w:val="14"/>
                <w:szCs w:val="14"/>
                <w:color w:val="auto"/>
                <w:w w:val="89"/>
              </w:rPr>
              <w:t>Successfully complete two of the four</w:t>
            </w:r>
          </w:p>
        </w:tc>
        <w:tc>
          <w:tcPr>
            <w:tcW w:w="1420" w:type="dxa"/>
            <w:vAlign w:val="bottom"/>
            <w:gridSpan w:val="2"/>
            <w:vMerge w:val="restart"/>
            <w:shd w:val="clear" w:color="auto" w:fill="EAF9E8"/>
          </w:tcPr>
          <w:p>
            <w:pPr>
              <w:ind w:left="360"/>
              <w:spacing w:after="0"/>
              <w:rPr>
                <w:sz w:val="20"/>
                <w:szCs w:val="20"/>
                <w:color w:val="auto"/>
              </w:rPr>
            </w:pPr>
            <w:r>
              <w:rPr>
                <w:rFonts w:ascii="Arial" w:cs="Arial" w:eastAsia="Arial" w:hAnsi="Arial"/>
                <w:sz w:val="14"/>
                <w:szCs w:val="14"/>
                <w:color w:val="auto"/>
              </w:rPr>
              <w:t>1 completed</w:t>
            </w:r>
          </w:p>
        </w:tc>
        <w:tc>
          <w:tcPr>
            <w:tcW w:w="200" w:type="dxa"/>
            <w:vAlign w:val="bottom"/>
            <w:shd w:val="clear" w:color="auto" w:fill="EAF9E8"/>
          </w:tcPr>
          <w:p>
            <w:pPr>
              <w:spacing w:after="0"/>
              <w:rPr>
                <w:sz w:val="24"/>
                <w:szCs w:val="24"/>
                <w:color w:val="auto"/>
              </w:rPr>
            </w:pPr>
          </w:p>
        </w:tc>
        <w:tc>
          <w:tcPr>
            <w:tcW w:w="1580" w:type="dxa"/>
            <w:vAlign w:val="bottom"/>
            <w:gridSpan w:val="3"/>
            <w:vMerge w:val="restart"/>
            <w:shd w:val="clear" w:color="auto" w:fill="EAF9E8"/>
          </w:tcPr>
          <w:p>
            <w:pPr>
              <w:jc w:val="center"/>
              <w:ind w:right="240"/>
              <w:spacing w:after="0"/>
              <w:rPr>
                <w:sz w:val="20"/>
                <w:szCs w:val="20"/>
                <w:color w:val="auto"/>
              </w:rPr>
            </w:pPr>
            <w:r>
              <w:rPr>
                <w:rFonts w:ascii="Arial" w:cs="Arial" w:eastAsia="Arial" w:hAnsi="Arial"/>
                <w:sz w:val="14"/>
                <w:szCs w:val="14"/>
                <w:color w:val="auto"/>
                <w:w w:val="86"/>
              </w:rPr>
              <w:t>2 completed</w:t>
            </w:r>
          </w:p>
        </w:tc>
        <w:tc>
          <w:tcPr>
            <w:tcW w:w="1380" w:type="dxa"/>
            <w:vAlign w:val="bottom"/>
            <w:gridSpan w:val="2"/>
            <w:vMerge w:val="restart"/>
            <w:shd w:val="clear" w:color="auto" w:fill="EAF9E8"/>
          </w:tcPr>
          <w:p>
            <w:pPr>
              <w:jc w:val="right"/>
              <w:ind w:right="312"/>
              <w:spacing w:after="0"/>
              <w:rPr>
                <w:sz w:val="20"/>
                <w:szCs w:val="20"/>
                <w:color w:val="auto"/>
              </w:rPr>
            </w:pPr>
            <w:r>
              <w:rPr>
                <w:rFonts w:ascii="Arial" w:cs="Arial" w:eastAsia="Arial" w:hAnsi="Arial"/>
                <w:sz w:val="14"/>
                <w:szCs w:val="14"/>
                <w:color w:val="auto"/>
              </w:rPr>
              <w:t>3 completed</w:t>
            </w:r>
          </w:p>
        </w:tc>
        <w:tc>
          <w:tcPr>
            <w:tcW w:w="200" w:type="dxa"/>
            <w:vAlign w:val="bottom"/>
            <w:shd w:val="clear" w:color="auto" w:fill="EAF9E8"/>
          </w:tcPr>
          <w:p>
            <w:pPr>
              <w:spacing w:after="0"/>
              <w:rPr>
                <w:sz w:val="24"/>
                <w:szCs w:val="24"/>
                <w:color w:val="auto"/>
              </w:rPr>
            </w:pPr>
          </w:p>
        </w:tc>
        <w:tc>
          <w:tcPr>
            <w:tcW w:w="136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7"/>
              </w:rPr>
              <w:t>Outstanding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720" w:type="dxa"/>
            <w:vAlign w:val="bottom"/>
            <w:shd w:val="clear" w:color="auto" w:fill="EAF9E8"/>
          </w:tcPr>
          <w:p>
            <w:pPr>
              <w:spacing w:after="0"/>
              <w:rPr>
                <w:sz w:val="7"/>
                <w:szCs w:val="7"/>
                <w:color w:val="auto"/>
              </w:rPr>
            </w:pPr>
          </w:p>
        </w:tc>
        <w:tc>
          <w:tcPr>
            <w:tcW w:w="40" w:type="dxa"/>
            <w:vAlign w:val="bottom"/>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600" w:type="dxa"/>
            <w:vAlign w:val="bottom"/>
            <w:vMerge w:val="continue"/>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2520" w:type="dxa"/>
            <w:vAlign w:val="bottom"/>
            <w:gridSpan w:val="2"/>
            <w:vMerge w:val="restart"/>
            <w:shd w:val="clear" w:color="auto" w:fill="EAF9E8"/>
          </w:tcPr>
          <w:p>
            <w:pPr>
              <w:jc w:val="center"/>
              <w:ind w:right="220"/>
              <w:spacing w:after="0" w:line="159" w:lineRule="exact"/>
              <w:rPr>
                <w:sz w:val="20"/>
                <w:szCs w:val="20"/>
                <w:color w:val="auto"/>
              </w:rPr>
            </w:pPr>
            <w:r>
              <w:rPr>
                <w:rFonts w:ascii="Arial" w:cs="Arial" w:eastAsia="Arial" w:hAnsi="Arial"/>
                <w:sz w:val="14"/>
                <w:szCs w:val="14"/>
                <w:color w:val="auto"/>
                <w:w w:val="89"/>
              </w:rPr>
              <w:t>strategic initiatives</w:t>
            </w:r>
          </w:p>
        </w:tc>
        <w:tc>
          <w:tcPr>
            <w:tcW w:w="1420" w:type="dxa"/>
            <w:vAlign w:val="bottom"/>
            <w:gridSpan w:val="2"/>
            <w:vMerge w:val="continue"/>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1580" w:type="dxa"/>
            <w:vAlign w:val="bottom"/>
            <w:gridSpan w:val="3"/>
            <w:vMerge w:val="continue"/>
            <w:shd w:val="clear" w:color="auto" w:fill="EAF9E8"/>
          </w:tcPr>
          <w:p>
            <w:pPr>
              <w:spacing w:after="0"/>
              <w:rPr>
                <w:sz w:val="7"/>
                <w:szCs w:val="7"/>
                <w:color w:val="auto"/>
              </w:rPr>
            </w:pPr>
          </w:p>
        </w:tc>
        <w:tc>
          <w:tcPr>
            <w:tcW w:w="1380" w:type="dxa"/>
            <w:vAlign w:val="bottom"/>
            <w:gridSpan w:val="2"/>
            <w:vMerge w:val="continue"/>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1360" w:type="dxa"/>
            <w:vAlign w:val="bottom"/>
            <w:vMerge w:val="continue"/>
            <w:shd w:val="clear" w:color="auto" w:fill="EAF9E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shd w:val="clear" w:color="auto" w:fill="EAF9E8"/>
          </w:tcPr>
          <w:p>
            <w:pPr>
              <w:spacing w:after="0"/>
              <w:rPr>
                <w:sz w:val="5"/>
                <w:szCs w:val="5"/>
                <w:color w:val="auto"/>
              </w:rPr>
            </w:pPr>
          </w:p>
        </w:tc>
        <w:tc>
          <w:tcPr>
            <w:tcW w:w="40" w:type="dxa"/>
            <w:vAlign w:val="bottom"/>
            <w:shd w:val="clear" w:color="auto" w:fill="EAF9E8"/>
          </w:tcPr>
          <w:p>
            <w:pPr>
              <w:spacing w:after="0"/>
              <w:rPr>
                <w:sz w:val="5"/>
                <w:szCs w:val="5"/>
                <w:color w:val="auto"/>
              </w:rPr>
            </w:pPr>
          </w:p>
        </w:tc>
        <w:tc>
          <w:tcPr>
            <w:tcW w:w="200" w:type="dxa"/>
            <w:vAlign w:val="bottom"/>
            <w:shd w:val="clear" w:color="auto" w:fill="EAF9E8"/>
          </w:tcPr>
          <w:p>
            <w:pPr>
              <w:spacing w:after="0"/>
              <w:rPr>
                <w:sz w:val="5"/>
                <w:szCs w:val="5"/>
                <w:color w:val="auto"/>
              </w:rPr>
            </w:pPr>
          </w:p>
        </w:tc>
        <w:tc>
          <w:tcPr>
            <w:tcW w:w="600" w:type="dxa"/>
            <w:vAlign w:val="bottom"/>
            <w:shd w:val="clear" w:color="auto" w:fill="EAF9E8"/>
          </w:tcPr>
          <w:p>
            <w:pPr>
              <w:spacing w:after="0"/>
              <w:rPr>
                <w:sz w:val="5"/>
                <w:szCs w:val="5"/>
                <w:color w:val="auto"/>
              </w:rPr>
            </w:pPr>
          </w:p>
        </w:tc>
        <w:tc>
          <w:tcPr>
            <w:tcW w:w="200" w:type="dxa"/>
            <w:vAlign w:val="bottom"/>
            <w:shd w:val="clear" w:color="auto" w:fill="EAF9E8"/>
          </w:tcPr>
          <w:p>
            <w:pPr>
              <w:spacing w:after="0"/>
              <w:rPr>
                <w:sz w:val="5"/>
                <w:szCs w:val="5"/>
                <w:color w:val="auto"/>
              </w:rPr>
            </w:pPr>
          </w:p>
        </w:tc>
        <w:tc>
          <w:tcPr>
            <w:tcW w:w="2520" w:type="dxa"/>
            <w:vAlign w:val="bottom"/>
            <w:gridSpan w:val="2"/>
            <w:vMerge w:val="continue"/>
            <w:shd w:val="clear" w:color="auto" w:fill="EAF9E8"/>
          </w:tcPr>
          <w:p>
            <w:pPr>
              <w:spacing w:after="0"/>
              <w:rPr>
                <w:sz w:val="5"/>
                <w:szCs w:val="5"/>
                <w:color w:val="auto"/>
              </w:rPr>
            </w:pPr>
          </w:p>
        </w:tc>
        <w:tc>
          <w:tcPr>
            <w:tcW w:w="400" w:type="dxa"/>
            <w:vAlign w:val="bottom"/>
            <w:shd w:val="clear" w:color="auto" w:fill="EAF9E8"/>
          </w:tcPr>
          <w:p>
            <w:pPr>
              <w:spacing w:after="0"/>
              <w:rPr>
                <w:sz w:val="5"/>
                <w:szCs w:val="5"/>
                <w:color w:val="auto"/>
              </w:rPr>
            </w:pPr>
          </w:p>
        </w:tc>
        <w:tc>
          <w:tcPr>
            <w:tcW w:w="1020" w:type="dxa"/>
            <w:vAlign w:val="bottom"/>
            <w:shd w:val="clear" w:color="auto" w:fill="EAF9E8"/>
          </w:tcPr>
          <w:p>
            <w:pPr>
              <w:spacing w:after="0"/>
              <w:rPr>
                <w:sz w:val="5"/>
                <w:szCs w:val="5"/>
                <w:color w:val="auto"/>
              </w:rPr>
            </w:pPr>
          </w:p>
        </w:tc>
        <w:tc>
          <w:tcPr>
            <w:tcW w:w="200" w:type="dxa"/>
            <w:vAlign w:val="bottom"/>
            <w:shd w:val="clear" w:color="auto" w:fill="EAF9E8"/>
          </w:tcPr>
          <w:p>
            <w:pPr>
              <w:spacing w:after="0"/>
              <w:rPr>
                <w:sz w:val="5"/>
                <w:szCs w:val="5"/>
                <w:color w:val="auto"/>
              </w:rPr>
            </w:pPr>
          </w:p>
        </w:tc>
        <w:tc>
          <w:tcPr>
            <w:tcW w:w="380" w:type="dxa"/>
            <w:vAlign w:val="bottom"/>
            <w:shd w:val="clear" w:color="auto" w:fill="EAF9E8"/>
          </w:tcPr>
          <w:p>
            <w:pPr>
              <w:spacing w:after="0"/>
              <w:rPr>
                <w:sz w:val="5"/>
                <w:szCs w:val="5"/>
                <w:color w:val="auto"/>
              </w:rPr>
            </w:pPr>
          </w:p>
        </w:tc>
        <w:tc>
          <w:tcPr>
            <w:tcW w:w="1000" w:type="dxa"/>
            <w:vAlign w:val="bottom"/>
            <w:shd w:val="clear" w:color="auto" w:fill="EAF9E8"/>
          </w:tcPr>
          <w:p>
            <w:pPr>
              <w:spacing w:after="0"/>
              <w:rPr>
                <w:sz w:val="5"/>
                <w:szCs w:val="5"/>
                <w:color w:val="auto"/>
              </w:rPr>
            </w:pPr>
          </w:p>
        </w:tc>
        <w:tc>
          <w:tcPr>
            <w:tcW w:w="200" w:type="dxa"/>
            <w:vAlign w:val="bottom"/>
            <w:shd w:val="clear" w:color="auto" w:fill="EAF9E8"/>
          </w:tcPr>
          <w:p>
            <w:pPr>
              <w:spacing w:after="0"/>
              <w:rPr>
                <w:sz w:val="5"/>
                <w:szCs w:val="5"/>
                <w:color w:val="auto"/>
              </w:rPr>
            </w:pPr>
          </w:p>
        </w:tc>
        <w:tc>
          <w:tcPr>
            <w:tcW w:w="380" w:type="dxa"/>
            <w:vAlign w:val="bottom"/>
            <w:shd w:val="clear" w:color="auto" w:fill="EAF9E8"/>
          </w:tcPr>
          <w:p>
            <w:pPr>
              <w:spacing w:after="0"/>
              <w:rPr>
                <w:sz w:val="5"/>
                <w:szCs w:val="5"/>
                <w:color w:val="auto"/>
              </w:rPr>
            </w:pPr>
          </w:p>
        </w:tc>
        <w:tc>
          <w:tcPr>
            <w:tcW w:w="1000" w:type="dxa"/>
            <w:vAlign w:val="bottom"/>
            <w:shd w:val="clear" w:color="auto" w:fill="EAF9E8"/>
          </w:tcPr>
          <w:p>
            <w:pPr>
              <w:spacing w:after="0"/>
              <w:rPr>
                <w:sz w:val="5"/>
                <w:szCs w:val="5"/>
                <w:color w:val="auto"/>
              </w:rPr>
            </w:pPr>
          </w:p>
        </w:tc>
        <w:tc>
          <w:tcPr>
            <w:tcW w:w="200" w:type="dxa"/>
            <w:vAlign w:val="bottom"/>
            <w:shd w:val="clear" w:color="auto" w:fill="EAF9E8"/>
          </w:tcPr>
          <w:p>
            <w:pPr>
              <w:spacing w:after="0"/>
              <w:rPr>
                <w:sz w:val="5"/>
                <w:szCs w:val="5"/>
                <w:color w:val="auto"/>
              </w:rPr>
            </w:pPr>
          </w:p>
        </w:tc>
        <w:tc>
          <w:tcPr>
            <w:tcW w:w="1360" w:type="dxa"/>
            <w:vAlign w:val="bottom"/>
            <w:shd w:val="clear" w:color="auto" w:fill="EAF9E8"/>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ectPr>
          <w:pgSz w:w="11900" w:h="16838" w:orient="portrait"/>
          <w:cols w:equalWidth="0" w:num="1">
            <w:col w:w="11440"/>
          </w:cols>
          <w:pgMar w:left="240" w:top="131" w:right="21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594"/>
        </w:trPr>
        <w:tc>
          <w:tcPr>
            <w:tcW w:w="1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446"/>
        </w:trPr>
        <w:tc>
          <w:tcPr>
            <w:tcW w:w="1500" w:type="dxa"/>
            <w:vAlign w:val="bottom"/>
          </w:tcPr>
          <w:p>
            <w:pPr>
              <w:spacing w:after="0"/>
              <w:rPr>
                <w:sz w:val="20"/>
                <w:szCs w:val="20"/>
                <w:color w:val="auto"/>
              </w:rPr>
            </w:pPr>
            <w:r>
              <w:rPr>
                <w:rFonts w:ascii="Arial" w:cs="Arial" w:eastAsia="Arial" w:hAnsi="Arial"/>
                <w:sz w:val="14"/>
                <w:szCs w:val="14"/>
                <w:color w:val="auto"/>
              </w:rPr>
              <w:t>David J. Gunter</w:t>
            </w: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446"/>
        </w:trPr>
        <w:tc>
          <w:tcPr>
            <w:tcW w:w="1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446"/>
        </w:trPr>
        <w:tc>
          <w:tcPr>
            <w:tcW w:w="1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Expand advance funding and reduce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overall cost of advances</w:t>
      </w:r>
    </w:p>
    <w:p>
      <w:pPr>
        <w:spacing w:after="0" w:line="273" w:lineRule="exact"/>
        <w:rPr>
          <w:sz w:val="20"/>
          <w:szCs w:val="20"/>
          <w:color w:val="auto"/>
        </w:rPr>
      </w:pPr>
    </w:p>
    <w:p>
      <w:pPr>
        <w:ind w:hanging="4"/>
        <w:spacing w:after="0" w:line="368" w:lineRule="auto"/>
        <w:rPr>
          <w:sz w:val="20"/>
          <w:szCs w:val="20"/>
          <w:color w:val="auto"/>
        </w:rPr>
      </w:pPr>
      <w:r>
        <w:rPr>
          <w:rFonts w:ascii="Arial" w:cs="Arial" w:eastAsia="Arial" w:hAnsi="Arial"/>
          <w:sz w:val="11"/>
          <w:szCs w:val="11"/>
          <w:color w:val="auto"/>
        </w:rPr>
        <w:t>Expand JP Morgan Chase Syndicate and have new agreement in place by 8/31/06</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Rationalize the strategic planning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budget processes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Create a high level revenue and earnings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forecasting process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Hire Chief Accounting Officer, Funds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Controller, Treasury Controller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ind w:right="72"/>
              <w:spacing w:after="0"/>
              <w:rPr>
                <w:sz w:val="20"/>
                <w:szCs w:val="20"/>
                <w:color w:val="auto"/>
              </w:rPr>
            </w:pPr>
            <w:r>
              <w:rPr>
                <w:rFonts w:ascii="Arial" w:cs="Arial" w:eastAsia="Arial" w:hAnsi="Arial"/>
                <w:sz w:val="14"/>
                <w:szCs w:val="14"/>
                <w:color w:val="auto"/>
                <w:w w:val="88"/>
              </w:rPr>
              <w:t>Achieve $200,000,000 in</w:t>
            </w:r>
          </w:p>
        </w:tc>
        <w:tc>
          <w:tcPr>
            <w:tcW w:w="1560" w:type="dxa"/>
            <w:vAlign w:val="bottom"/>
          </w:tcPr>
          <w:p>
            <w:pPr>
              <w:jc w:val="center"/>
              <w:spacing w:after="0"/>
              <w:rPr>
                <w:sz w:val="20"/>
                <w:szCs w:val="20"/>
                <w:color w:val="auto"/>
              </w:rPr>
            </w:pPr>
            <w:r>
              <w:rPr>
                <w:rFonts w:ascii="Arial" w:cs="Arial" w:eastAsia="Arial" w:hAnsi="Arial"/>
                <w:sz w:val="14"/>
                <w:szCs w:val="14"/>
                <w:color w:val="auto"/>
                <w:w w:val="86"/>
              </w:rPr>
              <w:t>Meet Threshold and</w:t>
            </w: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00" w:type="dxa"/>
            <w:vAlign w:val="bottom"/>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drive down margin over</w:t>
            </w:r>
          </w:p>
        </w:tc>
        <w:tc>
          <w:tcPr>
            <w:tcW w:w="1760" w:type="dxa"/>
            <w:vAlign w:val="bottom"/>
            <w:vMerge w:val="restart"/>
          </w:tcPr>
          <w:p>
            <w:pPr>
              <w:jc w:val="center"/>
              <w:ind w:right="92"/>
              <w:spacing w:after="0" w:line="149" w:lineRule="exact"/>
              <w:rPr>
                <w:sz w:val="20"/>
                <w:szCs w:val="20"/>
                <w:color w:val="auto"/>
              </w:rPr>
            </w:pPr>
            <w:r>
              <w:rPr>
                <w:rFonts w:ascii="Arial" w:cs="Arial" w:eastAsia="Arial" w:hAnsi="Arial"/>
                <w:sz w:val="14"/>
                <w:szCs w:val="14"/>
                <w:color w:val="auto"/>
                <w:w w:val="85"/>
              </w:rPr>
              <w:t>Meet Target and arrange</w:t>
            </w: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00" w:type="dxa"/>
            <w:vAlign w:val="bottom"/>
            <w:vMerge w:val="restart"/>
          </w:tcPr>
          <w:p>
            <w:pPr>
              <w:jc w:val="center"/>
              <w:ind w:right="72"/>
              <w:spacing w:after="0" w:line="149" w:lineRule="exact"/>
              <w:rPr>
                <w:sz w:val="20"/>
                <w:szCs w:val="20"/>
                <w:color w:val="auto"/>
              </w:rPr>
            </w:pPr>
            <w:r>
              <w:rPr>
                <w:rFonts w:ascii="Arial" w:cs="Arial" w:eastAsia="Arial" w:hAnsi="Arial"/>
                <w:sz w:val="14"/>
                <w:szCs w:val="14"/>
                <w:color w:val="auto"/>
                <w:w w:val="90"/>
              </w:rPr>
              <w:t>additional financing</w:t>
            </w:r>
          </w:p>
        </w:tc>
        <w:tc>
          <w:tcPr>
            <w:tcW w:w="15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940" w:type="dxa"/>
            <w:vAlign w:val="bottom"/>
            <w:vMerge w:val="restart"/>
          </w:tcPr>
          <w:p>
            <w:pPr>
              <w:jc w:val="center"/>
              <w:ind w:left="212"/>
              <w:spacing w:after="0" w:line="14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68"/>
        </w:trPr>
        <w:tc>
          <w:tcPr>
            <w:tcW w:w="1500" w:type="dxa"/>
            <w:vAlign w:val="bottom"/>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LIBOR by average of 5</w:t>
            </w:r>
          </w:p>
        </w:tc>
        <w:tc>
          <w:tcPr>
            <w:tcW w:w="1760" w:type="dxa"/>
            <w:vAlign w:val="bottom"/>
            <w:vMerge w:val="restart"/>
          </w:tcPr>
          <w:p>
            <w:pPr>
              <w:jc w:val="center"/>
              <w:ind w:right="92"/>
              <w:spacing w:after="0" w:line="149" w:lineRule="exact"/>
              <w:rPr>
                <w:sz w:val="20"/>
                <w:szCs w:val="20"/>
                <w:color w:val="auto"/>
              </w:rPr>
            </w:pPr>
            <w:r>
              <w:rPr>
                <w:rFonts w:ascii="Arial" w:cs="Arial" w:eastAsia="Arial" w:hAnsi="Arial"/>
                <w:sz w:val="14"/>
                <w:szCs w:val="14"/>
                <w:color w:val="auto"/>
                <w:w w:val="85"/>
              </w:rPr>
              <w:t>zero coupon structure</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00" w:type="dxa"/>
            <w:vAlign w:val="bottom"/>
            <w:vMerge w:val="restart"/>
          </w:tcPr>
          <w:p>
            <w:pPr>
              <w:jc w:val="center"/>
              <w:ind w:right="72"/>
              <w:spacing w:after="0"/>
              <w:rPr>
                <w:sz w:val="20"/>
                <w:szCs w:val="20"/>
                <w:color w:val="auto"/>
              </w:rPr>
            </w:pPr>
            <w:r>
              <w:rPr>
                <w:rFonts w:ascii="Arial" w:cs="Arial" w:eastAsia="Arial" w:hAnsi="Arial"/>
                <w:sz w:val="14"/>
                <w:szCs w:val="14"/>
                <w:color w:val="auto"/>
                <w:w w:val="85"/>
              </w:rPr>
              <w:t>capacity</w:t>
            </w:r>
          </w:p>
        </w:tc>
        <w:tc>
          <w:tcPr>
            <w:tcW w:w="15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88"/>
              </w:rPr>
              <w:t>bps</w:t>
            </w:r>
          </w:p>
        </w:tc>
        <w:tc>
          <w:tcPr>
            <w:tcW w:w="1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500" w:type="dxa"/>
            <w:vAlign w:val="bottom"/>
          </w:tcPr>
          <w:p>
            <w:pPr>
              <w:jc w:val="center"/>
              <w:ind w:right="92"/>
              <w:spacing w:after="0"/>
              <w:rPr>
                <w:sz w:val="20"/>
                <w:szCs w:val="20"/>
                <w:color w:val="auto"/>
              </w:rPr>
            </w:pPr>
            <w:r>
              <w:rPr>
                <w:rFonts w:ascii="Arial" w:cs="Arial" w:eastAsia="Arial" w:hAnsi="Arial"/>
                <w:sz w:val="14"/>
                <w:szCs w:val="14"/>
                <w:color w:val="auto"/>
                <w:w w:val="93"/>
              </w:rPr>
              <w:t>Lift from $140M to</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Lift from $140M to</w:t>
            </w:r>
          </w:p>
        </w:tc>
        <w:tc>
          <w:tcPr>
            <w:tcW w:w="1760" w:type="dxa"/>
            <w:vAlign w:val="bottom"/>
          </w:tcPr>
          <w:p>
            <w:pPr>
              <w:jc w:val="center"/>
              <w:ind w:right="112"/>
              <w:spacing w:after="0"/>
              <w:rPr>
                <w:sz w:val="20"/>
                <w:szCs w:val="20"/>
                <w:color w:val="auto"/>
              </w:rPr>
            </w:pPr>
            <w:r>
              <w:rPr>
                <w:rFonts w:ascii="Arial" w:cs="Arial" w:eastAsia="Arial" w:hAnsi="Arial"/>
                <w:sz w:val="14"/>
                <w:szCs w:val="14"/>
                <w:color w:val="auto"/>
                <w:w w:val="93"/>
              </w:rPr>
              <w:t>Lift from $140M to</w:t>
            </w:r>
          </w:p>
        </w:tc>
        <w:tc>
          <w:tcPr>
            <w:tcW w:w="940" w:type="dxa"/>
            <w:vAlign w:val="bottom"/>
            <w:vMerge w:val="restart"/>
          </w:tcPr>
          <w:p>
            <w:pPr>
              <w:jc w:val="center"/>
              <w:ind w:left="212"/>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1500" w:type="dxa"/>
            <w:vAlign w:val="bottom"/>
            <w:vMerge w:val="restart"/>
          </w:tcPr>
          <w:p>
            <w:pPr>
              <w:jc w:val="center"/>
              <w:ind w:right="72"/>
              <w:spacing w:after="0"/>
              <w:rPr>
                <w:sz w:val="20"/>
                <w:szCs w:val="20"/>
                <w:color w:val="auto"/>
              </w:rPr>
            </w:pPr>
            <w:r>
              <w:rPr>
                <w:rFonts w:ascii="Arial" w:cs="Arial" w:eastAsia="Arial" w:hAnsi="Arial"/>
                <w:sz w:val="14"/>
                <w:szCs w:val="14"/>
                <w:color w:val="auto"/>
                <w:w w:val="93"/>
              </w:rPr>
              <w:t>$200M</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$250M</w:t>
            </w:r>
          </w:p>
        </w:tc>
        <w:tc>
          <w:tcPr>
            <w:tcW w:w="1760" w:type="dxa"/>
            <w:vAlign w:val="bottom"/>
            <w:vMerge w:val="restart"/>
          </w:tcPr>
          <w:p>
            <w:pPr>
              <w:jc w:val="center"/>
              <w:ind w:right="92"/>
              <w:spacing w:after="0"/>
              <w:rPr>
                <w:sz w:val="20"/>
                <w:szCs w:val="20"/>
                <w:color w:val="auto"/>
              </w:rPr>
            </w:pPr>
            <w:r>
              <w:rPr>
                <w:rFonts w:ascii="Arial" w:cs="Arial" w:eastAsia="Arial" w:hAnsi="Arial"/>
                <w:sz w:val="14"/>
                <w:szCs w:val="14"/>
                <w:color w:val="auto"/>
                <w:w w:val="90"/>
              </w:rPr>
              <w:t>$300M by 12/31/06</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500" w:type="dxa"/>
            <w:vAlign w:val="bottom"/>
          </w:tcPr>
          <w:p>
            <w:pPr>
              <w:jc w:val="center"/>
              <w:ind w:right="72"/>
              <w:spacing w:after="0"/>
              <w:rPr>
                <w:sz w:val="20"/>
                <w:szCs w:val="20"/>
                <w:color w:val="auto"/>
              </w:rPr>
            </w:pPr>
            <w:r>
              <w:rPr>
                <w:rFonts w:ascii="Arial" w:cs="Arial" w:eastAsia="Arial" w:hAnsi="Arial"/>
                <w:sz w:val="14"/>
                <w:szCs w:val="14"/>
                <w:color w:val="auto"/>
                <w:w w:val="87"/>
              </w:rPr>
              <w:t>Publish 2006 budget</w:t>
            </w:r>
          </w:p>
        </w:tc>
        <w:tc>
          <w:tcPr>
            <w:tcW w:w="1560" w:type="dxa"/>
            <w:vAlign w:val="bottom"/>
          </w:tcPr>
          <w:p>
            <w:pPr>
              <w:jc w:val="center"/>
              <w:spacing w:after="0"/>
              <w:rPr>
                <w:sz w:val="20"/>
                <w:szCs w:val="20"/>
                <w:color w:val="auto"/>
              </w:rPr>
            </w:pPr>
            <w:r>
              <w:rPr>
                <w:rFonts w:ascii="Arial" w:cs="Arial" w:eastAsia="Arial" w:hAnsi="Arial"/>
                <w:sz w:val="14"/>
                <w:szCs w:val="14"/>
                <w:color w:val="auto"/>
                <w:w w:val="85"/>
              </w:rPr>
              <w:t>2007 Strategic Plan and</w:t>
            </w:r>
          </w:p>
        </w:tc>
        <w:tc>
          <w:tcPr>
            <w:tcW w:w="1760" w:type="dxa"/>
            <w:vAlign w:val="bottom"/>
          </w:tcPr>
          <w:p>
            <w:pPr>
              <w:jc w:val="center"/>
              <w:ind w:right="92"/>
              <w:spacing w:after="0"/>
              <w:rPr>
                <w:sz w:val="20"/>
                <w:szCs w:val="20"/>
                <w:color w:val="auto"/>
              </w:rPr>
            </w:pPr>
            <w:r>
              <w:rPr>
                <w:rFonts w:ascii="Arial" w:cs="Arial" w:eastAsia="Arial" w:hAnsi="Arial"/>
                <w:sz w:val="14"/>
                <w:szCs w:val="14"/>
                <w:color w:val="auto"/>
                <w:w w:val="85"/>
              </w:rPr>
              <w:t>2007 Strategic Plan and</w:t>
            </w:r>
          </w:p>
        </w:tc>
        <w:tc>
          <w:tcPr>
            <w:tcW w:w="940" w:type="dxa"/>
            <w:vAlign w:val="bottom"/>
            <w:vMerge w:val="restart"/>
          </w:tcPr>
          <w:p>
            <w:pPr>
              <w:jc w:val="center"/>
              <w:ind w:left="232"/>
              <w:spacing w:after="0"/>
              <w:rPr>
                <w:sz w:val="20"/>
                <w:szCs w:val="20"/>
                <w:color w:val="auto"/>
              </w:rPr>
            </w:pPr>
            <w:r>
              <w:rPr>
                <w:rFonts w:ascii="Arial" w:cs="Arial" w:eastAsia="Arial" w:hAnsi="Arial"/>
                <w:sz w:val="14"/>
                <w:szCs w:val="14"/>
                <w:color w:val="auto"/>
                <w:w w:val="89"/>
              </w:rPr>
              <w:t>Threshold</w:t>
            </w:r>
          </w:p>
        </w:tc>
        <w:tc>
          <w:tcPr>
            <w:tcW w:w="0" w:type="dxa"/>
            <w:vAlign w:val="bottom"/>
          </w:tcPr>
          <w:p>
            <w:pPr>
              <w:spacing w:after="0"/>
              <w:rPr>
                <w:sz w:val="1"/>
                <w:szCs w:val="1"/>
                <w:color w:val="auto"/>
              </w:rPr>
            </w:pPr>
          </w:p>
        </w:tc>
      </w:tr>
      <w:tr>
        <w:trPr>
          <w:trHeight w:val="91"/>
        </w:trPr>
        <w:tc>
          <w:tcPr>
            <w:tcW w:w="1500" w:type="dxa"/>
            <w:vAlign w:val="bottom"/>
            <w:vMerge w:val="restart"/>
          </w:tcPr>
          <w:p>
            <w:pPr>
              <w:jc w:val="center"/>
              <w:ind w:right="92"/>
              <w:spacing w:after="0"/>
              <w:rPr>
                <w:sz w:val="20"/>
                <w:szCs w:val="20"/>
                <w:color w:val="auto"/>
              </w:rPr>
            </w:pPr>
            <w:r>
              <w:rPr>
                <w:rFonts w:ascii="Arial" w:cs="Arial" w:eastAsia="Arial" w:hAnsi="Arial"/>
                <w:sz w:val="14"/>
                <w:szCs w:val="14"/>
                <w:color w:val="auto"/>
                <w:w w:val="87"/>
              </w:rPr>
              <w:t>binder</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88"/>
              </w:rPr>
              <w:t>Budget by 12/31</w:t>
            </w:r>
          </w:p>
        </w:tc>
        <w:tc>
          <w:tcPr>
            <w:tcW w:w="1760" w:type="dxa"/>
            <w:vAlign w:val="bottom"/>
            <w:vMerge w:val="restart"/>
          </w:tcPr>
          <w:p>
            <w:pPr>
              <w:jc w:val="center"/>
              <w:ind w:right="112"/>
              <w:spacing w:after="0"/>
              <w:rPr>
                <w:sz w:val="20"/>
                <w:szCs w:val="20"/>
                <w:color w:val="auto"/>
              </w:rPr>
            </w:pPr>
            <w:r>
              <w:rPr>
                <w:rFonts w:ascii="Arial" w:cs="Arial" w:eastAsia="Arial" w:hAnsi="Arial"/>
                <w:sz w:val="14"/>
                <w:szCs w:val="14"/>
                <w:color w:val="auto"/>
                <w:w w:val="88"/>
              </w:rPr>
              <w:t>Budget by 12/15</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500" w:type="dxa"/>
            <w:vAlign w:val="bottom"/>
          </w:tcPr>
          <w:p>
            <w:pPr>
              <w:jc w:val="right"/>
              <w:ind w:right="512"/>
              <w:spacing w:after="0"/>
              <w:rPr>
                <w:sz w:val="20"/>
                <w:szCs w:val="20"/>
                <w:color w:val="auto"/>
              </w:rPr>
            </w:pPr>
            <w:r>
              <w:rPr>
                <w:rFonts w:ascii="Arial" w:cs="Arial" w:eastAsia="Arial" w:hAnsi="Arial"/>
                <w:sz w:val="14"/>
                <w:szCs w:val="14"/>
                <w:color w:val="auto"/>
              </w:rPr>
              <w:t>12/31/06</w:t>
            </w:r>
          </w:p>
        </w:tc>
        <w:tc>
          <w:tcPr>
            <w:tcW w:w="1560" w:type="dxa"/>
            <w:vAlign w:val="bottom"/>
          </w:tcPr>
          <w:p>
            <w:pPr>
              <w:jc w:val="right"/>
              <w:ind w:right="472"/>
              <w:spacing w:after="0"/>
              <w:rPr>
                <w:sz w:val="20"/>
                <w:szCs w:val="20"/>
                <w:color w:val="auto"/>
              </w:rPr>
            </w:pPr>
            <w:r>
              <w:rPr>
                <w:rFonts w:ascii="Arial" w:cs="Arial" w:eastAsia="Arial" w:hAnsi="Arial"/>
                <w:sz w:val="14"/>
                <w:szCs w:val="14"/>
                <w:color w:val="auto"/>
              </w:rPr>
              <w:t>12/15/06</w:t>
            </w:r>
          </w:p>
        </w:tc>
        <w:tc>
          <w:tcPr>
            <w:tcW w:w="1760" w:type="dxa"/>
            <w:vAlign w:val="bottom"/>
          </w:tcPr>
          <w:p>
            <w:pPr>
              <w:jc w:val="right"/>
              <w:ind w:right="692"/>
              <w:spacing w:after="0"/>
              <w:rPr>
                <w:sz w:val="20"/>
                <w:szCs w:val="20"/>
                <w:color w:val="auto"/>
              </w:rPr>
            </w:pPr>
            <w:r>
              <w:rPr>
                <w:rFonts w:ascii="Arial" w:cs="Arial" w:eastAsia="Arial" w:hAnsi="Arial"/>
                <w:sz w:val="14"/>
                <w:szCs w:val="14"/>
                <w:color w:val="auto"/>
              </w:rPr>
              <w:t>12/1/06</w:t>
            </w:r>
          </w:p>
        </w:tc>
        <w:tc>
          <w:tcPr>
            <w:tcW w:w="940" w:type="dxa"/>
            <w:vAlign w:val="bottom"/>
          </w:tcPr>
          <w:p>
            <w:pPr>
              <w:jc w:val="center"/>
              <w:ind w:left="212"/>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354"/>
        </w:trPr>
        <w:tc>
          <w:tcPr>
            <w:tcW w:w="1500" w:type="dxa"/>
            <w:vAlign w:val="bottom"/>
          </w:tcPr>
          <w:p>
            <w:pPr>
              <w:jc w:val="center"/>
              <w:ind w:right="72"/>
              <w:spacing w:after="0"/>
              <w:rPr>
                <w:sz w:val="20"/>
                <w:szCs w:val="20"/>
                <w:color w:val="auto"/>
              </w:rPr>
            </w:pPr>
            <w:r>
              <w:rPr>
                <w:rFonts w:ascii="Arial" w:cs="Arial" w:eastAsia="Arial" w:hAnsi="Arial"/>
                <w:sz w:val="14"/>
                <w:szCs w:val="14"/>
                <w:color w:val="auto"/>
                <w:w w:val="91"/>
              </w:rPr>
              <w:t>Hire Chief Accounting</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Fill one Controller</w:t>
            </w:r>
          </w:p>
        </w:tc>
        <w:tc>
          <w:tcPr>
            <w:tcW w:w="1760" w:type="dxa"/>
            <w:vAlign w:val="bottom"/>
          </w:tcPr>
          <w:p>
            <w:pPr>
              <w:jc w:val="center"/>
              <w:ind w:right="92"/>
              <w:spacing w:after="0"/>
              <w:rPr>
                <w:sz w:val="20"/>
                <w:szCs w:val="20"/>
                <w:color w:val="auto"/>
              </w:rPr>
            </w:pPr>
            <w:r>
              <w:rPr>
                <w:rFonts w:ascii="Arial" w:cs="Arial" w:eastAsia="Arial" w:hAnsi="Arial"/>
                <w:sz w:val="14"/>
                <w:szCs w:val="14"/>
                <w:color w:val="auto"/>
                <w:w w:val="91"/>
              </w:rPr>
              <w:t>Fill all positions by</w:t>
            </w:r>
          </w:p>
        </w:tc>
        <w:tc>
          <w:tcPr>
            <w:tcW w:w="940" w:type="dxa"/>
            <w:vAlign w:val="bottom"/>
            <w:vMerge w:val="restart"/>
          </w:tcPr>
          <w:p>
            <w:pPr>
              <w:jc w:val="center"/>
              <w:ind w:left="212"/>
              <w:spacing w:after="0"/>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91"/>
        </w:trPr>
        <w:tc>
          <w:tcPr>
            <w:tcW w:w="1500" w:type="dxa"/>
            <w:vAlign w:val="bottom"/>
            <w:vMerge w:val="restart"/>
          </w:tcPr>
          <w:p>
            <w:pPr>
              <w:jc w:val="center"/>
              <w:ind w:right="72"/>
              <w:spacing w:after="0"/>
              <w:rPr>
                <w:sz w:val="20"/>
                <w:szCs w:val="20"/>
                <w:color w:val="auto"/>
              </w:rPr>
            </w:pPr>
            <w:r>
              <w:rPr>
                <w:rFonts w:ascii="Arial" w:cs="Arial" w:eastAsia="Arial" w:hAnsi="Arial"/>
                <w:sz w:val="14"/>
                <w:szCs w:val="14"/>
                <w:color w:val="auto"/>
                <w:w w:val="96"/>
              </w:rPr>
              <w:t>Officer</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89"/>
              </w:rPr>
              <w:t>position by 12/31/06</w:t>
            </w:r>
          </w:p>
        </w:tc>
        <w:tc>
          <w:tcPr>
            <w:tcW w:w="1760" w:type="dxa"/>
            <w:vAlign w:val="bottom"/>
            <w:vMerge w:val="restart"/>
          </w:tcPr>
          <w:p>
            <w:pPr>
              <w:jc w:val="right"/>
              <w:ind w:right="652"/>
              <w:spacing w:after="0"/>
              <w:rPr>
                <w:sz w:val="20"/>
                <w:szCs w:val="20"/>
                <w:color w:val="auto"/>
              </w:rPr>
            </w:pPr>
            <w:r>
              <w:rPr>
                <w:rFonts w:ascii="Arial" w:cs="Arial" w:eastAsia="Arial" w:hAnsi="Arial"/>
                <w:sz w:val="14"/>
                <w:szCs w:val="14"/>
                <w:color w:val="auto"/>
              </w:rPr>
              <w:t>12/31/06</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ectPr>
          <w:pgSz w:w="11900" w:h="16838" w:orient="portrait"/>
          <w:cols w:equalWidth="0" w:num="3">
            <w:col w:w="2360" w:space="460"/>
            <w:col w:w="2180" w:space="300"/>
            <w:col w:w="6140"/>
          </w:cols>
          <w:pgMar w:left="240" w:top="131" w:right="2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20" w:type="dxa"/>
            <w:vAlign w:val="bottom"/>
            <w:shd w:val="clear" w:color="auto" w:fill="EAF9E8"/>
          </w:tcPr>
          <w:p>
            <w:pPr>
              <w:spacing w:after="0"/>
              <w:rPr>
                <w:sz w:val="14"/>
                <w:szCs w:val="14"/>
                <w:color w:val="auto"/>
              </w:rPr>
            </w:pPr>
          </w:p>
        </w:tc>
        <w:tc>
          <w:tcPr>
            <w:tcW w:w="820" w:type="dxa"/>
            <w:vAlign w:val="bottom"/>
            <w:gridSpan w:val="2"/>
            <w:vMerge w:val="restart"/>
            <w:shd w:val="clear" w:color="auto" w:fill="EAF9E8"/>
          </w:tcPr>
          <w:p>
            <w:pPr>
              <w:jc w:val="right"/>
              <w:ind w:right="112"/>
              <w:spacing w:after="0"/>
              <w:rPr>
                <w:sz w:val="20"/>
                <w:szCs w:val="20"/>
                <w:color w:val="auto"/>
              </w:rPr>
            </w:pPr>
            <w:r>
              <w:rPr>
                <w:rFonts w:ascii="Arial" w:cs="Arial" w:eastAsia="Arial" w:hAnsi="Arial"/>
                <w:sz w:val="14"/>
                <w:szCs w:val="14"/>
                <w:color w:val="auto"/>
              </w:rPr>
              <w:t>70%</w:t>
            </w:r>
          </w:p>
        </w:tc>
        <w:tc>
          <w:tcPr>
            <w:tcW w:w="220" w:type="dxa"/>
            <w:vAlign w:val="bottom"/>
            <w:shd w:val="clear" w:color="auto" w:fill="EAF9E8"/>
          </w:tcPr>
          <w:p>
            <w:pPr>
              <w:spacing w:after="0"/>
              <w:rPr>
                <w:sz w:val="14"/>
                <w:szCs w:val="14"/>
                <w:color w:val="auto"/>
              </w:rPr>
            </w:pPr>
          </w:p>
        </w:tc>
        <w:tc>
          <w:tcPr>
            <w:tcW w:w="2440" w:type="dxa"/>
            <w:vAlign w:val="bottom"/>
            <w:shd w:val="clear" w:color="auto" w:fill="EAF9E8"/>
          </w:tcPr>
          <w:p>
            <w:pPr>
              <w:jc w:val="center"/>
              <w:ind w:right="72"/>
              <w:spacing w:after="0"/>
              <w:rPr>
                <w:sz w:val="20"/>
                <w:szCs w:val="20"/>
                <w:color w:val="auto"/>
              </w:rPr>
            </w:pPr>
            <w:r>
              <w:rPr>
                <w:rFonts w:ascii="Arial" w:cs="Arial" w:eastAsia="Arial" w:hAnsi="Arial"/>
                <w:sz w:val="14"/>
                <w:szCs w:val="14"/>
                <w:color w:val="auto"/>
                <w:w w:val="89"/>
              </w:rPr>
              <w:t>Sell contracts or MOU commitments for</w:t>
            </w:r>
          </w:p>
        </w:tc>
        <w:tc>
          <w:tcPr>
            <w:tcW w:w="1640" w:type="dxa"/>
            <w:vAlign w:val="bottom"/>
            <w:shd w:val="clear" w:color="auto" w:fill="EAF9E8"/>
          </w:tcPr>
          <w:p>
            <w:pPr>
              <w:jc w:val="center"/>
              <w:ind w:right="32"/>
              <w:spacing w:after="0"/>
              <w:rPr>
                <w:sz w:val="20"/>
                <w:szCs w:val="20"/>
                <w:color w:val="auto"/>
              </w:rPr>
            </w:pPr>
            <w:r>
              <w:rPr>
                <w:rFonts w:ascii="Arial" w:cs="Arial" w:eastAsia="Arial" w:hAnsi="Arial"/>
                <w:sz w:val="14"/>
                <w:szCs w:val="14"/>
                <w:color w:val="auto"/>
                <w:w w:val="86"/>
              </w:rPr>
              <w:t>$2,000,000 avg. annual</w:t>
            </w:r>
          </w:p>
        </w:tc>
        <w:tc>
          <w:tcPr>
            <w:tcW w:w="15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6"/>
              </w:rPr>
              <w:t>$3,000,000 annual</w:t>
            </w:r>
          </w:p>
        </w:tc>
        <w:tc>
          <w:tcPr>
            <w:tcW w:w="160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6"/>
              </w:rPr>
              <w:t>$4,000,000 annual</w:t>
            </w:r>
          </w:p>
        </w:tc>
        <w:tc>
          <w:tcPr>
            <w:tcW w:w="1460" w:type="dxa"/>
            <w:vAlign w:val="bottom"/>
            <w:vMerge w:val="restart"/>
            <w:shd w:val="clear" w:color="auto" w:fill="EAF9E8"/>
          </w:tcPr>
          <w:p>
            <w:pPr>
              <w:jc w:val="center"/>
              <w:ind w:left="12"/>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1720" w:type="dxa"/>
            <w:vAlign w:val="bottom"/>
            <w:shd w:val="clear" w:color="auto" w:fill="EAF9E8"/>
          </w:tcPr>
          <w:p>
            <w:pPr>
              <w:spacing w:after="0"/>
              <w:rPr>
                <w:sz w:val="7"/>
                <w:szCs w:val="7"/>
                <w:color w:val="auto"/>
              </w:rPr>
            </w:pPr>
          </w:p>
        </w:tc>
        <w:tc>
          <w:tcPr>
            <w:tcW w:w="820" w:type="dxa"/>
            <w:vAlign w:val="bottom"/>
            <w:gridSpan w:val="2"/>
            <w:vMerge w:val="continue"/>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440" w:type="dxa"/>
            <w:vAlign w:val="bottom"/>
            <w:vMerge w:val="restart"/>
            <w:shd w:val="clear" w:color="auto" w:fill="EAF9E8"/>
          </w:tcPr>
          <w:p>
            <w:pPr>
              <w:jc w:val="center"/>
              <w:ind w:right="72"/>
              <w:spacing w:after="0" w:line="159" w:lineRule="exact"/>
              <w:rPr>
                <w:sz w:val="20"/>
                <w:szCs w:val="20"/>
                <w:color w:val="auto"/>
              </w:rPr>
            </w:pPr>
            <w:r>
              <w:rPr>
                <w:rFonts w:ascii="Arial" w:cs="Arial" w:eastAsia="Arial" w:hAnsi="Arial"/>
                <w:sz w:val="14"/>
                <w:szCs w:val="14"/>
                <w:color w:val="auto"/>
                <w:w w:val="86"/>
              </w:rPr>
              <w:t>BPO Business</w:t>
            </w:r>
          </w:p>
        </w:tc>
        <w:tc>
          <w:tcPr>
            <w:tcW w:w="1640" w:type="dxa"/>
            <w:vAlign w:val="bottom"/>
            <w:vMerge w:val="restart"/>
            <w:shd w:val="clear" w:color="auto" w:fill="EAF9E8"/>
          </w:tcPr>
          <w:p>
            <w:pPr>
              <w:jc w:val="center"/>
              <w:ind w:right="12"/>
              <w:spacing w:after="0" w:line="159" w:lineRule="exact"/>
              <w:rPr>
                <w:sz w:val="20"/>
                <w:szCs w:val="20"/>
                <w:color w:val="auto"/>
              </w:rPr>
            </w:pPr>
            <w:r>
              <w:rPr>
                <w:rFonts w:ascii="Arial" w:cs="Arial" w:eastAsia="Arial" w:hAnsi="Arial"/>
                <w:sz w:val="14"/>
                <w:szCs w:val="14"/>
                <w:color w:val="auto"/>
              </w:rPr>
              <w:t>billing</w:t>
            </w:r>
          </w:p>
        </w:tc>
        <w:tc>
          <w:tcPr>
            <w:tcW w:w="1520" w:type="dxa"/>
            <w:vAlign w:val="bottom"/>
            <w:vMerge w:val="restart"/>
            <w:shd w:val="clear" w:color="auto" w:fill="EAF9E8"/>
          </w:tcPr>
          <w:p>
            <w:pPr>
              <w:jc w:val="center"/>
              <w:spacing w:after="0" w:line="159" w:lineRule="exact"/>
              <w:rPr>
                <w:sz w:val="20"/>
                <w:szCs w:val="20"/>
                <w:color w:val="auto"/>
              </w:rPr>
            </w:pPr>
            <w:r>
              <w:rPr>
                <w:rFonts w:ascii="Arial" w:cs="Arial" w:eastAsia="Arial" w:hAnsi="Arial"/>
                <w:sz w:val="14"/>
                <w:szCs w:val="14"/>
                <w:color w:val="auto"/>
              </w:rPr>
              <w:t>billing</w:t>
            </w:r>
          </w:p>
        </w:tc>
        <w:tc>
          <w:tcPr>
            <w:tcW w:w="1600" w:type="dxa"/>
            <w:vAlign w:val="bottom"/>
            <w:vMerge w:val="restart"/>
            <w:shd w:val="clear" w:color="auto" w:fill="EAF9E8"/>
          </w:tcPr>
          <w:p>
            <w:pPr>
              <w:jc w:val="center"/>
              <w:spacing w:after="0" w:line="159" w:lineRule="exact"/>
              <w:rPr>
                <w:sz w:val="20"/>
                <w:szCs w:val="20"/>
                <w:color w:val="auto"/>
              </w:rPr>
            </w:pPr>
            <w:r>
              <w:rPr>
                <w:rFonts w:ascii="Arial" w:cs="Arial" w:eastAsia="Arial" w:hAnsi="Arial"/>
                <w:sz w:val="14"/>
                <w:szCs w:val="14"/>
                <w:color w:val="auto"/>
              </w:rPr>
              <w:t>billing</w:t>
            </w:r>
          </w:p>
        </w:tc>
        <w:tc>
          <w:tcPr>
            <w:tcW w:w="1460" w:type="dxa"/>
            <w:vAlign w:val="bottom"/>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shd w:val="clear" w:color="auto" w:fill="EAF9E8"/>
          </w:tcPr>
          <w:p>
            <w:pPr>
              <w:spacing w:after="0"/>
              <w:rPr>
                <w:sz w:val="5"/>
                <w:szCs w:val="5"/>
                <w:color w:val="auto"/>
              </w:rPr>
            </w:pPr>
          </w:p>
        </w:tc>
        <w:tc>
          <w:tcPr>
            <w:tcW w:w="240" w:type="dxa"/>
            <w:vAlign w:val="bottom"/>
            <w:shd w:val="clear" w:color="auto" w:fill="EAF9E8"/>
          </w:tcPr>
          <w:p>
            <w:pPr>
              <w:spacing w:after="0"/>
              <w:rPr>
                <w:sz w:val="5"/>
                <w:szCs w:val="5"/>
                <w:color w:val="auto"/>
              </w:rPr>
            </w:pPr>
          </w:p>
        </w:tc>
        <w:tc>
          <w:tcPr>
            <w:tcW w:w="580" w:type="dxa"/>
            <w:vAlign w:val="bottom"/>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2440" w:type="dxa"/>
            <w:vAlign w:val="bottom"/>
            <w:vMerge w:val="continue"/>
            <w:shd w:val="clear" w:color="auto" w:fill="EAF9E8"/>
          </w:tcPr>
          <w:p>
            <w:pPr>
              <w:spacing w:after="0"/>
              <w:rPr>
                <w:sz w:val="5"/>
                <w:szCs w:val="5"/>
                <w:color w:val="auto"/>
              </w:rPr>
            </w:pPr>
          </w:p>
        </w:tc>
        <w:tc>
          <w:tcPr>
            <w:tcW w:w="1640" w:type="dxa"/>
            <w:vAlign w:val="bottom"/>
            <w:vMerge w:val="continue"/>
            <w:shd w:val="clear" w:color="auto" w:fill="EAF9E8"/>
          </w:tcPr>
          <w:p>
            <w:pPr>
              <w:spacing w:after="0"/>
              <w:rPr>
                <w:sz w:val="5"/>
                <w:szCs w:val="5"/>
                <w:color w:val="auto"/>
              </w:rPr>
            </w:pPr>
          </w:p>
        </w:tc>
        <w:tc>
          <w:tcPr>
            <w:tcW w:w="1520" w:type="dxa"/>
            <w:vAlign w:val="bottom"/>
            <w:vMerge w:val="continue"/>
            <w:shd w:val="clear" w:color="auto" w:fill="EAF9E8"/>
          </w:tcPr>
          <w:p>
            <w:pPr>
              <w:spacing w:after="0"/>
              <w:rPr>
                <w:sz w:val="5"/>
                <w:szCs w:val="5"/>
                <w:color w:val="auto"/>
              </w:rPr>
            </w:pPr>
          </w:p>
        </w:tc>
        <w:tc>
          <w:tcPr>
            <w:tcW w:w="1600" w:type="dxa"/>
            <w:vAlign w:val="bottom"/>
            <w:vMerge w:val="continue"/>
            <w:shd w:val="clear" w:color="auto" w:fill="EAF9E8"/>
          </w:tcPr>
          <w:p>
            <w:pPr>
              <w:spacing w:after="0"/>
              <w:rPr>
                <w:sz w:val="5"/>
                <w:szCs w:val="5"/>
                <w:color w:val="auto"/>
              </w:rPr>
            </w:pPr>
          </w:p>
        </w:tc>
        <w:tc>
          <w:tcPr>
            <w:tcW w:w="1460" w:type="dxa"/>
            <w:vAlign w:val="bottom"/>
            <w:shd w:val="clear" w:color="auto" w:fill="EAF9E8"/>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17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5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2440" w:type="dxa"/>
            <w:vAlign w:val="bottom"/>
            <w:shd w:val="clear" w:color="auto" w:fill="EAF9E8"/>
          </w:tcPr>
          <w:p>
            <w:pPr>
              <w:jc w:val="center"/>
              <w:ind w:right="72"/>
              <w:spacing w:after="0"/>
              <w:rPr>
                <w:sz w:val="20"/>
                <w:szCs w:val="20"/>
                <w:color w:val="auto"/>
              </w:rPr>
            </w:pPr>
            <w:r>
              <w:rPr>
                <w:rFonts w:ascii="Arial" w:cs="Arial" w:eastAsia="Arial" w:hAnsi="Arial"/>
                <w:sz w:val="14"/>
                <w:szCs w:val="14"/>
                <w:color w:val="auto"/>
                <w:w w:val="89"/>
              </w:rPr>
              <w:t>Identify a material market opportunity;</w:t>
            </w:r>
          </w:p>
        </w:tc>
        <w:tc>
          <w:tcPr>
            <w:tcW w:w="1640" w:type="dxa"/>
            <w:vAlign w:val="bottom"/>
            <w:shd w:val="clear" w:color="auto" w:fill="EAF9E8"/>
          </w:tcPr>
          <w:p>
            <w:pPr>
              <w:spacing w:after="0"/>
              <w:rPr>
                <w:sz w:val="24"/>
                <w:szCs w:val="24"/>
                <w:color w:val="auto"/>
              </w:rPr>
            </w:pPr>
          </w:p>
        </w:tc>
        <w:tc>
          <w:tcPr>
            <w:tcW w:w="1520" w:type="dxa"/>
            <w:vAlign w:val="bottom"/>
            <w:shd w:val="clear" w:color="auto" w:fill="EAF9E8"/>
          </w:tcPr>
          <w:p>
            <w:pPr>
              <w:spacing w:after="0"/>
              <w:rPr>
                <w:sz w:val="24"/>
                <w:szCs w:val="24"/>
                <w:color w:val="auto"/>
              </w:rPr>
            </w:pPr>
          </w:p>
        </w:tc>
        <w:tc>
          <w:tcPr>
            <w:tcW w:w="160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40" w:type="dxa"/>
            <w:vAlign w:val="bottom"/>
            <w:shd w:val="clear" w:color="auto" w:fill="EAF9E8"/>
          </w:tcPr>
          <w:p>
            <w:pPr>
              <w:jc w:val="center"/>
              <w:ind w:right="72"/>
              <w:spacing w:after="0" w:line="149" w:lineRule="exact"/>
              <w:rPr>
                <w:sz w:val="20"/>
                <w:szCs w:val="20"/>
                <w:color w:val="auto"/>
              </w:rPr>
            </w:pPr>
            <w:r>
              <w:rPr>
                <w:rFonts w:ascii="Arial" w:cs="Arial" w:eastAsia="Arial" w:hAnsi="Arial"/>
                <w:sz w:val="14"/>
                <w:szCs w:val="14"/>
                <w:color w:val="auto"/>
                <w:w w:val="90"/>
              </w:rPr>
              <w:t>obtain Channel of Distribution</w:t>
            </w:r>
          </w:p>
        </w:tc>
        <w:tc>
          <w:tcPr>
            <w:tcW w:w="1640" w:type="dxa"/>
            <w:vAlign w:val="bottom"/>
            <w:shd w:val="clear" w:color="auto" w:fill="EAF9E8"/>
          </w:tcPr>
          <w:p>
            <w:pPr>
              <w:spacing w:after="0"/>
              <w:rPr>
                <w:sz w:val="12"/>
                <w:szCs w:val="12"/>
                <w:color w:val="auto"/>
              </w:rPr>
            </w:pPr>
          </w:p>
        </w:tc>
        <w:tc>
          <w:tcPr>
            <w:tcW w:w="1520" w:type="dxa"/>
            <w:vAlign w:val="bottom"/>
            <w:shd w:val="clear" w:color="auto" w:fill="EAF9E8"/>
          </w:tcPr>
          <w:p>
            <w:pPr>
              <w:spacing w:after="0"/>
              <w:rPr>
                <w:sz w:val="12"/>
                <w:szCs w:val="12"/>
                <w:color w:val="auto"/>
              </w:rPr>
            </w:pPr>
          </w:p>
        </w:tc>
        <w:tc>
          <w:tcPr>
            <w:tcW w:w="1600" w:type="dxa"/>
            <w:vAlign w:val="bottom"/>
            <w:shd w:val="clear" w:color="auto" w:fill="EAF9E8"/>
          </w:tcPr>
          <w:p>
            <w:pPr>
              <w:spacing w:after="0"/>
              <w:rPr>
                <w:sz w:val="12"/>
                <w:szCs w:val="12"/>
                <w:color w:val="auto"/>
              </w:rPr>
            </w:pPr>
          </w:p>
        </w:tc>
        <w:tc>
          <w:tcPr>
            <w:tcW w:w="14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shd w:val="clear" w:color="auto" w:fill="EAF9E8"/>
          </w:tcPr>
          <w:p>
            <w:pPr>
              <w:spacing w:after="0"/>
              <w:rPr>
                <w:sz w:val="20"/>
                <w:szCs w:val="20"/>
                <w:color w:val="auto"/>
              </w:rPr>
            </w:pPr>
            <w:r>
              <w:rPr>
                <w:rFonts w:ascii="Arial" w:cs="Arial" w:eastAsia="Arial" w:hAnsi="Arial"/>
                <w:sz w:val="14"/>
                <w:szCs w:val="14"/>
                <w:color w:val="auto"/>
              </w:rPr>
              <w:t>W. Michael Linn</w:t>
            </w:r>
          </w:p>
        </w:tc>
        <w:tc>
          <w:tcPr>
            <w:tcW w:w="240" w:type="dxa"/>
            <w:vAlign w:val="bottom"/>
            <w:shd w:val="clear" w:color="auto" w:fill="EAF9E8"/>
          </w:tcPr>
          <w:p>
            <w:pPr>
              <w:spacing w:after="0"/>
              <w:rPr>
                <w:sz w:val="12"/>
                <w:szCs w:val="12"/>
                <w:color w:val="auto"/>
              </w:rPr>
            </w:pPr>
          </w:p>
        </w:tc>
        <w:tc>
          <w:tcPr>
            <w:tcW w:w="580" w:type="dxa"/>
            <w:vAlign w:val="bottom"/>
            <w:vMerge w:val="restart"/>
            <w:shd w:val="clear" w:color="auto" w:fill="EAF9E8"/>
          </w:tcPr>
          <w:p>
            <w:pPr>
              <w:jc w:val="right"/>
              <w:ind w:right="112"/>
              <w:spacing w:after="0"/>
              <w:rPr>
                <w:sz w:val="20"/>
                <w:szCs w:val="20"/>
                <w:color w:val="auto"/>
              </w:rPr>
            </w:pPr>
            <w:r>
              <w:rPr>
                <w:rFonts w:ascii="Arial" w:cs="Arial" w:eastAsia="Arial" w:hAnsi="Arial"/>
                <w:sz w:val="14"/>
                <w:szCs w:val="14"/>
                <w:color w:val="auto"/>
              </w:rPr>
              <w:t>20%</w:t>
            </w:r>
          </w:p>
        </w:tc>
        <w:tc>
          <w:tcPr>
            <w:tcW w:w="220" w:type="dxa"/>
            <w:vAlign w:val="bottom"/>
            <w:shd w:val="clear" w:color="auto" w:fill="EAF9E8"/>
          </w:tcPr>
          <w:p>
            <w:pPr>
              <w:spacing w:after="0"/>
              <w:rPr>
                <w:sz w:val="12"/>
                <w:szCs w:val="12"/>
                <w:color w:val="auto"/>
              </w:rPr>
            </w:pPr>
          </w:p>
        </w:tc>
        <w:tc>
          <w:tcPr>
            <w:tcW w:w="2440" w:type="dxa"/>
            <w:vAlign w:val="bottom"/>
            <w:shd w:val="clear" w:color="auto" w:fill="EAF9E8"/>
          </w:tcPr>
          <w:p>
            <w:pPr>
              <w:jc w:val="center"/>
              <w:ind w:right="72"/>
              <w:spacing w:after="0" w:line="149" w:lineRule="exact"/>
              <w:rPr>
                <w:sz w:val="20"/>
                <w:szCs w:val="20"/>
                <w:color w:val="auto"/>
              </w:rPr>
            </w:pPr>
            <w:r>
              <w:rPr>
                <w:rFonts w:ascii="Arial" w:cs="Arial" w:eastAsia="Arial" w:hAnsi="Arial"/>
                <w:sz w:val="14"/>
                <w:szCs w:val="14"/>
                <w:color w:val="auto"/>
                <w:w w:val="86"/>
              </w:rPr>
              <w:t>commitment and Channel Partner</w:t>
            </w:r>
          </w:p>
        </w:tc>
        <w:tc>
          <w:tcPr>
            <w:tcW w:w="1640" w:type="dxa"/>
            <w:vAlign w:val="bottom"/>
            <w:vMerge w:val="restart"/>
            <w:shd w:val="clear" w:color="auto" w:fill="EAF9E8"/>
          </w:tcPr>
          <w:p>
            <w:pPr>
              <w:jc w:val="center"/>
              <w:ind w:right="12"/>
              <w:spacing w:after="0"/>
              <w:rPr>
                <w:sz w:val="20"/>
                <w:szCs w:val="20"/>
                <w:color w:val="auto"/>
              </w:rPr>
            </w:pPr>
            <w:r>
              <w:rPr>
                <w:rFonts w:ascii="Arial" w:cs="Arial" w:eastAsia="Arial" w:hAnsi="Arial"/>
                <w:sz w:val="14"/>
                <w:szCs w:val="14"/>
                <w:color w:val="auto"/>
                <w:w w:val="85"/>
              </w:rPr>
              <w:t>Q4</w:t>
            </w:r>
          </w:p>
        </w:tc>
        <w:tc>
          <w:tcPr>
            <w:tcW w:w="152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0"/>
              </w:rPr>
              <w:t>Q2 or Q3</w:t>
            </w:r>
          </w:p>
        </w:tc>
        <w:tc>
          <w:tcPr>
            <w:tcW w:w="160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5"/>
              </w:rPr>
              <w:t>Q1</w:t>
            </w:r>
          </w:p>
        </w:tc>
        <w:tc>
          <w:tcPr>
            <w:tcW w:w="1460" w:type="dxa"/>
            <w:vAlign w:val="bottom"/>
            <w:vMerge w:val="restart"/>
            <w:shd w:val="clear" w:color="auto" w:fill="EAF9E8"/>
          </w:tcPr>
          <w:p>
            <w:pPr>
              <w:jc w:val="center"/>
              <w:ind w:left="32"/>
              <w:spacing w:after="0"/>
              <w:rPr>
                <w:sz w:val="20"/>
                <w:szCs w:val="20"/>
                <w:color w:val="auto"/>
              </w:rPr>
            </w:pPr>
            <w:r>
              <w:rPr>
                <w:rFonts w:ascii="Arial" w:cs="Arial" w:eastAsia="Arial" w:hAnsi="Arial"/>
                <w:sz w:val="14"/>
                <w:szCs w:val="14"/>
                <w:color w:val="auto"/>
                <w:w w:val="89"/>
              </w:rPr>
              <w:t>Threshold</w:t>
            </w:r>
          </w:p>
        </w:tc>
        <w:tc>
          <w:tcPr>
            <w:tcW w:w="0" w:type="dxa"/>
            <w:vAlign w:val="bottom"/>
          </w:tcPr>
          <w:p>
            <w:pPr>
              <w:spacing w:after="0"/>
              <w:rPr>
                <w:sz w:val="1"/>
                <w:szCs w:val="1"/>
                <w:color w:val="auto"/>
              </w:rPr>
            </w:pPr>
          </w:p>
        </w:tc>
      </w:tr>
      <w:tr>
        <w:trPr>
          <w:trHeight w:val="91"/>
        </w:trPr>
        <w:tc>
          <w:tcPr>
            <w:tcW w:w="1720" w:type="dxa"/>
            <w:vAlign w:val="bottom"/>
            <w:vMerge w:val="continue"/>
            <w:shd w:val="clear" w:color="auto" w:fill="EAF9E8"/>
          </w:tcPr>
          <w:p>
            <w:pPr>
              <w:spacing w:after="0"/>
              <w:rPr>
                <w:sz w:val="7"/>
                <w:szCs w:val="7"/>
                <w:color w:val="auto"/>
              </w:rPr>
            </w:pPr>
          </w:p>
        </w:tc>
        <w:tc>
          <w:tcPr>
            <w:tcW w:w="240" w:type="dxa"/>
            <w:vAlign w:val="bottom"/>
            <w:shd w:val="clear" w:color="auto" w:fill="EAF9E8"/>
          </w:tcPr>
          <w:p>
            <w:pPr>
              <w:spacing w:after="0"/>
              <w:rPr>
                <w:sz w:val="7"/>
                <w:szCs w:val="7"/>
                <w:color w:val="auto"/>
              </w:rPr>
            </w:pPr>
          </w:p>
        </w:tc>
        <w:tc>
          <w:tcPr>
            <w:tcW w:w="580" w:type="dxa"/>
            <w:vAlign w:val="bottom"/>
            <w:vMerge w:val="continue"/>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440" w:type="dxa"/>
            <w:vAlign w:val="bottom"/>
            <w:vMerge w:val="restart"/>
            <w:shd w:val="clear" w:color="auto" w:fill="EAF9E8"/>
          </w:tcPr>
          <w:p>
            <w:pPr>
              <w:jc w:val="center"/>
              <w:ind w:right="72"/>
              <w:spacing w:after="0" w:line="149" w:lineRule="exact"/>
              <w:rPr>
                <w:sz w:val="20"/>
                <w:szCs w:val="20"/>
                <w:color w:val="auto"/>
              </w:rPr>
            </w:pPr>
            <w:r>
              <w:rPr>
                <w:rFonts w:ascii="Arial" w:cs="Arial" w:eastAsia="Arial" w:hAnsi="Arial"/>
                <w:sz w:val="14"/>
                <w:szCs w:val="14"/>
                <w:color w:val="auto"/>
                <w:w w:val="87"/>
              </w:rPr>
              <w:t>agreement on co-marketing plan with</w:t>
            </w:r>
          </w:p>
        </w:tc>
        <w:tc>
          <w:tcPr>
            <w:tcW w:w="1640" w:type="dxa"/>
            <w:vAlign w:val="bottom"/>
            <w:vMerge w:val="continue"/>
            <w:shd w:val="clear" w:color="auto" w:fill="EAF9E8"/>
          </w:tcPr>
          <w:p>
            <w:pPr>
              <w:spacing w:after="0"/>
              <w:rPr>
                <w:sz w:val="7"/>
                <w:szCs w:val="7"/>
                <w:color w:val="auto"/>
              </w:rPr>
            </w:pPr>
          </w:p>
        </w:tc>
        <w:tc>
          <w:tcPr>
            <w:tcW w:w="1520" w:type="dxa"/>
            <w:vAlign w:val="bottom"/>
            <w:vMerge w:val="continue"/>
            <w:shd w:val="clear" w:color="auto" w:fill="EAF9E8"/>
          </w:tcPr>
          <w:p>
            <w:pPr>
              <w:spacing w:after="0"/>
              <w:rPr>
                <w:sz w:val="7"/>
                <w:szCs w:val="7"/>
                <w:color w:val="auto"/>
              </w:rPr>
            </w:pPr>
          </w:p>
        </w:tc>
        <w:tc>
          <w:tcPr>
            <w:tcW w:w="1600" w:type="dxa"/>
            <w:vAlign w:val="bottom"/>
            <w:vMerge w:val="continue"/>
            <w:shd w:val="clear" w:color="auto" w:fill="EAF9E8"/>
          </w:tcPr>
          <w:p>
            <w:pPr>
              <w:spacing w:after="0"/>
              <w:rPr>
                <w:sz w:val="7"/>
                <w:szCs w:val="7"/>
                <w:color w:val="auto"/>
              </w:rPr>
            </w:pPr>
          </w:p>
        </w:tc>
        <w:tc>
          <w:tcPr>
            <w:tcW w:w="1460" w:type="dxa"/>
            <w:vAlign w:val="bottom"/>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720" w:type="dxa"/>
            <w:vAlign w:val="bottom"/>
            <w:shd w:val="clear" w:color="auto" w:fill="EAF9E8"/>
          </w:tcPr>
          <w:p>
            <w:pPr>
              <w:spacing w:after="0"/>
              <w:rPr>
                <w:sz w:val="4"/>
                <w:szCs w:val="4"/>
                <w:color w:val="auto"/>
              </w:rPr>
            </w:pPr>
          </w:p>
        </w:tc>
        <w:tc>
          <w:tcPr>
            <w:tcW w:w="240" w:type="dxa"/>
            <w:vAlign w:val="bottom"/>
            <w:shd w:val="clear" w:color="auto" w:fill="EAF9E8"/>
          </w:tcPr>
          <w:p>
            <w:pPr>
              <w:spacing w:after="0"/>
              <w:rPr>
                <w:sz w:val="4"/>
                <w:szCs w:val="4"/>
                <w:color w:val="auto"/>
              </w:rPr>
            </w:pPr>
          </w:p>
        </w:tc>
        <w:tc>
          <w:tcPr>
            <w:tcW w:w="580" w:type="dxa"/>
            <w:vAlign w:val="bottom"/>
            <w:shd w:val="clear" w:color="auto" w:fill="EAF9E8"/>
          </w:tcPr>
          <w:p>
            <w:pPr>
              <w:spacing w:after="0"/>
              <w:rPr>
                <w:sz w:val="4"/>
                <w:szCs w:val="4"/>
                <w:color w:val="auto"/>
              </w:rPr>
            </w:pPr>
          </w:p>
        </w:tc>
        <w:tc>
          <w:tcPr>
            <w:tcW w:w="220" w:type="dxa"/>
            <w:vAlign w:val="bottom"/>
            <w:shd w:val="clear" w:color="auto" w:fill="EAF9E8"/>
          </w:tcPr>
          <w:p>
            <w:pPr>
              <w:spacing w:after="0"/>
              <w:rPr>
                <w:sz w:val="4"/>
                <w:szCs w:val="4"/>
                <w:color w:val="auto"/>
              </w:rPr>
            </w:pPr>
          </w:p>
        </w:tc>
        <w:tc>
          <w:tcPr>
            <w:tcW w:w="2440" w:type="dxa"/>
            <w:vAlign w:val="bottom"/>
            <w:vMerge w:val="continue"/>
            <w:shd w:val="clear" w:color="auto" w:fill="EAF9E8"/>
          </w:tcPr>
          <w:p>
            <w:pPr>
              <w:spacing w:after="0"/>
              <w:rPr>
                <w:sz w:val="4"/>
                <w:szCs w:val="4"/>
                <w:color w:val="auto"/>
              </w:rPr>
            </w:pPr>
          </w:p>
        </w:tc>
        <w:tc>
          <w:tcPr>
            <w:tcW w:w="1640" w:type="dxa"/>
            <w:vAlign w:val="bottom"/>
            <w:shd w:val="clear" w:color="auto" w:fill="EAF9E8"/>
          </w:tcPr>
          <w:p>
            <w:pPr>
              <w:spacing w:after="0"/>
              <w:rPr>
                <w:sz w:val="4"/>
                <w:szCs w:val="4"/>
                <w:color w:val="auto"/>
              </w:rPr>
            </w:pPr>
          </w:p>
        </w:tc>
        <w:tc>
          <w:tcPr>
            <w:tcW w:w="1520" w:type="dxa"/>
            <w:vAlign w:val="bottom"/>
            <w:shd w:val="clear" w:color="auto" w:fill="EAF9E8"/>
          </w:tcPr>
          <w:p>
            <w:pPr>
              <w:spacing w:after="0"/>
              <w:rPr>
                <w:sz w:val="4"/>
                <w:szCs w:val="4"/>
                <w:color w:val="auto"/>
              </w:rPr>
            </w:pPr>
          </w:p>
        </w:tc>
        <w:tc>
          <w:tcPr>
            <w:tcW w:w="1600" w:type="dxa"/>
            <w:vAlign w:val="bottom"/>
            <w:shd w:val="clear" w:color="auto" w:fill="EAF9E8"/>
          </w:tcPr>
          <w:p>
            <w:pPr>
              <w:spacing w:after="0"/>
              <w:rPr>
                <w:sz w:val="4"/>
                <w:szCs w:val="4"/>
                <w:color w:val="auto"/>
              </w:rPr>
            </w:pPr>
          </w:p>
        </w:tc>
        <w:tc>
          <w:tcPr>
            <w:tcW w:w="1460" w:type="dxa"/>
            <w:vAlign w:val="bottom"/>
            <w:shd w:val="clear" w:color="auto" w:fill="EAF9E8"/>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40" w:type="dxa"/>
            <w:vAlign w:val="bottom"/>
            <w:shd w:val="clear" w:color="auto" w:fill="EAF9E8"/>
          </w:tcPr>
          <w:p>
            <w:pPr>
              <w:jc w:val="center"/>
              <w:ind w:right="52"/>
              <w:spacing w:after="0" w:line="149" w:lineRule="exact"/>
              <w:rPr>
                <w:sz w:val="20"/>
                <w:szCs w:val="20"/>
                <w:color w:val="auto"/>
              </w:rPr>
            </w:pPr>
            <w:r>
              <w:rPr>
                <w:rFonts w:ascii="Arial" w:cs="Arial" w:eastAsia="Arial" w:hAnsi="Arial"/>
                <w:sz w:val="14"/>
                <w:szCs w:val="14"/>
                <w:color w:val="auto"/>
                <w:w w:val="87"/>
              </w:rPr>
              <w:t>approval of product design and</w:t>
            </w:r>
          </w:p>
        </w:tc>
        <w:tc>
          <w:tcPr>
            <w:tcW w:w="1640" w:type="dxa"/>
            <w:vAlign w:val="bottom"/>
            <w:shd w:val="clear" w:color="auto" w:fill="EAF9E8"/>
          </w:tcPr>
          <w:p>
            <w:pPr>
              <w:spacing w:after="0"/>
              <w:rPr>
                <w:sz w:val="12"/>
                <w:szCs w:val="12"/>
                <w:color w:val="auto"/>
              </w:rPr>
            </w:pPr>
          </w:p>
        </w:tc>
        <w:tc>
          <w:tcPr>
            <w:tcW w:w="1520" w:type="dxa"/>
            <w:vAlign w:val="bottom"/>
            <w:shd w:val="clear" w:color="auto" w:fill="EAF9E8"/>
          </w:tcPr>
          <w:p>
            <w:pPr>
              <w:spacing w:after="0"/>
              <w:rPr>
                <w:sz w:val="12"/>
                <w:szCs w:val="12"/>
                <w:color w:val="auto"/>
              </w:rPr>
            </w:pPr>
          </w:p>
        </w:tc>
        <w:tc>
          <w:tcPr>
            <w:tcW w:w="1600" w:type="dxa"/>
            <w:vAlign w:val="bottom"/>
            <w:shd w:val="clear" w:color="auto" w:fill="EAF9E8"/>
          </w:tcPr>
          <w:p>
            <w:pPr>
              <w:spacing w:after="0"/>
              <w:rPr>
                <w:sz w:val="12"/>
                <w:szCs w:val="12"/>
                <w:color w:val="auto"/>
              </w:rPr>
            </w:pPr>
          </w:p>
        </w:tc>
        <w:tc>
          <w:tcPr>
            <w:tcW w:w="14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58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2440" w:type="dxa"/>
            <w:vAlign w:val="bottom"/>
            <w:shd w:val="clear" w:color="auto" w:fill="EAF9E8"/>
          </w:tcPr>
          <w:p>
            <w:pPr>
              <w:jc w:val="center"/>
              <w:ind w:right="72"/>
              <w:spacing w:after="0" w:line="159" w:lineRule="exact"/>
              <w:rPr>
                <w:sz w:val="20"/>
                <w:szCs w:val="20"/>
                <w:color w:val="auto"/>
              </w:rPr>
            </w:pPr>
            <w:r>
              <w:rPr>
                <w:rFonts w:ascii="Arial" w:cs="Arial" w:eastAsia="Arial" w:hAnsi="Arial"/>
                <w:sz w:val="14"/>
                <w:szCs w:val="14"/>
                <w:color w:val="auto"/>
                <w:w w:val="87"/>
              </w:rPr>
              <w:t>economics.</w:t>
            </w:r>
          </w:p>
        </w:tc>
        <w:tc>
          <w:tcPr>
            <w:tcW w:w="1640" w:type="dxa"/>
            <w:vAlign w:val="bottom"/>
            <w:shd w:val="clear" w:color="auto" w:fill="EAF9E8"/>
          </w:tcPr>
          <w:p>
            <w:pPr>
              <w:spacing w:after="0"/>
              <w:rPr>
                <w:sz w:val="13"/>
                <w:szCs w:val="13"/>
                <w:color w:val="auto"/>
              </w:rPr>
            </w:pPr>
          </w:p>
        </w:tc>
        <w:tc>
          <w:tcPr>
            <w:tcW w:w="1520" w:type="dxa"/>
            <w:vAlign w:val="bottom"/>
            <w:shd w:val="clear" w:color="auto" w:fill="EAF9E8"/>
          </w:tcPr>
          <w:p>
            <w:pPr>
              <w:spacing w:after="0"/>
              <w:rPr>
                <w:sz w:val="13"/>
                <w:szCs w:val="13"/>
                <w:color w:val="auto"/>
              </w:rPr>
            </w:pPr>
          </w:p>
        </w:tc>
        <w:tc>
          <w:tcPr>
            <w:tcW w:w="16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7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5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2440" w:type="dxa"/>
            <w:vAlign w:val="bottom"/>
            <w:shd w:val="clear" w:color="auto" w:fill="EAF9E8"/>
          </w:tcPr>
          <w:p>
            <w:pPr>
              <w:jc w:val="center"/>
              <w:ind w:right="72"/>
              <w:spacing w:after="0"/>
              <w:rPr>
                <w:sz w:val="20"/>
                <w:szCs w:val="20"/>
                <w:color w:val="auto"/>
              </w:rPr>
            </w:pPr>
            <w:r>
              <w:rPr>
                <w:rFonts w:ascii="Arial" w:cs="Arial" w:eastAsia="Arial" w:hAnsi="Arial"/>
                <w:sz w:val="14"/>
                <w:szCs w:val="14"/>
                <w:color w:val="auto"/>
                <w:w w:val="88"/>
              </w:rPr>
              <w:t>Identify and meet with opinion leaders in</w:t>
            </w:r>
          </w:p>
        </w:tc>
        <w:tc>
          <w:tcPr>
            <w:tcW w:w="1640" w:type="dxa"/>
            <w:vAlign w:val="bottom"/>
            <w:shd w:val="clear" w:color="auto" w:fill="EAF9E8"/>
          </w:tcPr>
          <w:p>
            <w:pPr>
              <w:spacing w:after="0"/>
              <w:rPr>
                <w:sz w:val="24"/>
                <w:szCs w:val="24"/>
                <w:color w:val="auto"/>
              </w:rPr>
            </w:pPr>
          </w:p>
        </w:tc>
        <w:tc>
          <w:tcPr>
            <w:tcW w:w="1520" w:type="dxa"/>
            <w:vAlign w:val="bottom"/>
            <w:shd w:val="clear" w:color="auto" w:fill="EAF9E8"/>
          </w:tcPr>
          <w:p>
            <w:pPr>
              <w:spacing w:after="0"/>
              <w:rPr>
                <w:sz w:val="24"/>
                <w:szCs w:val="24"/>
                <w:color w:val="auto"/>
              </w:rPr>
            </w:pPr>
          </w:p>
        </w:tc>
        <w:tc>
          <w:tcPr>
            <w:tcW w:w="160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580" w:type="dxa"/>
            <w:vAlign w:val="bottom"/>
            <w:vMerge w:val="restart"/>
            <w:shd w:val="clear" w:color="auto" w:fill="EAF9E8"/>
          </w:tcPr>
          <w:p>
            <w:pPr>
              <w:jc w:val="right"/>
              <w:ind w:right="112"/>
              <w:spacing w:after="0"/>
              <w:rPr>
                <w:sz w:val="20"/>
                <w:szCs w:val="20"/>
                <w:color w:val="auto"/>
              </w:rPr>
            </w:pPr>
            <w:r>
              <w:rPr>
                <w:rFonts w:ascii="Arial" w:cs="Arial" w:eastAsia="Arial" w:hAnsi="Arial"/>
                <w:sz w:val="14"/>
                <w:szCs w:val="14"/>
                <w:color w:val="auto"/>
              </w:rPr>
              <w:t>10%</w:t>
            </w:r>
          </w:p>
        </w:tc>
        <w:tc>
          <w:tcPr>
            <w:tcW w:w="220" w:type="dxa"/>
            <w:vAlign w:val="bottom"/>
            <w:shd w:val="clear" w:color="auto" w:fill="EAF9E8"/>
          </w:tcPr>
          <w:p>
            <w:pPr>
              <w:spacing w:after="0"/>
              <w:rPr>
                <w:sz w:val="12"/>
                <w:szCs w:val="12"/>
                <w:color w:val="auto"/>
              </w:rPr>
            </w:pPr>
          </w:p>
        </w:tc>
        <w:tc>
          <w:tcPr>
            <w:tcW w:w="2440" w:type="dxa"/>
            <w:vAlign w:val="bottom"/>
            <w:shd w:val="clear" w:color="auto" w:fill="EAF9E8"/>
          </w:tcPr>
          <w:p>
            <w:pPr>
              <w:jc w:val="center"/>
              <w:ind w:right="72"/>
              <w:spacing w:after="0" w:line="149" w:lineRule="exact"/>
              <w:rPr>
                <w:sz w:val="20"/>
                <w:szCs w:val="20"/>
                <w:color w:val="auto"/>
              </w:rPr>
            </w:pPr>
            <w:r>
              <w:rPr>
                <w:rFonts w:ascii="Arial" w:cs="Arial" w:eastAsia="Arial" w:hAnsi="Arial"/>
                <w:sz w:val="14"/>
                <w:szCs w:val="14"/>
                <w:color w:val="auto"/>
                <w:w w:val="86"/>
              </w:rPr>
              <w:t>the mortgage industry to deliver message</w:t>
            </w:r>
          </w:p>
        </w:tc>
        <w:tc>
          <w:tcPr>
            <w:tcW w:w="1640" w:type="dxa"/>
            <w:vAlign w:val="bottom"/>
            <w:vMerge w:val="restart"/>
            <w:shd w:val="clear" w:color="auto" w:fill="EAF9E8"/>
          </w:tcPr>
          <w:p>
            <w:pPr>
              <w:jc w:val="center"/>
              <w:ind w:right="12"/>
              <w:spacing w:after="0"/>
              <w:rPr>
                <w:sz w:val="20"/>
                <w:szCs w:val="20"/>
                <w:color w:val="auto"/>
              </w:rPr>
            </w:pPr>
            <w:r>
              <w:rPr>
                <w:rFonts w:ascii="Arial" w:cs="Arial" w:eastAsia="Arial" w:hAnsi="Arial"/>
                <w:sz w:val="14"/>
                <w:szCs w:val="14"/>
                <w:color w:val="auto"/>
                <w:w w:val="85"/>
              </w:rPr>
              <w:t>Q4</w:t>
            </w:r>
          </w:p>
        </w:tc>
        <w:tc>
          <w:tcPr>
            <w:tcW w:w="152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0"/>
              </w:rPr>
              <w:t>Q2 or Q3</w:t>
            </w:r>
          </w:p>
        </w:tc>
        <w:tc>
          <w:tcPr>
            <w:tcW w:w="160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5"/>
              </w:rPr>
              <w:t>Q1</w:t>
            </w:r>
          </w:p>
        </w:tc>
        <w:tc>
          <w:tcPr>
            <w:tcW w:w="1460" w:type="dxa"/>
            <w:vAlign w:val="bottom"/>
            <w:vMerge w:val="restart"/>
            <w:shd w:val="clear" w:color="auto" w:fill="EAF9E8"/>
          </w:tcPr>
          <w:p>
            <w:pPr>
              <w:jc w:val="center"/>
              <w:ind w:left="12"/>
              <w:spacing w:after="0"/>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91"/>
        </w:trPr>
        <w:tc>
          <w:tcPr>
            <w:tcW w:w="1720" w:type="dxa"/>
            <w:vAlign w:val="bottom"/>
            <w:shd w:val="clear" w:color="auto" w:fill="EAF9E8"/>
          </w:tcPr>
          <w:p>
            <w:pPr>
              <w:spacing w:after="0"/>
              <w:rPr>
                <w:sz w:val="7"/>
                <w:szCs w:val="7"/>
                <w:color w:val="auto"/>
              </w:rPr>
            </w:pPr>
          </w:p>
        </w:tc>
        <w:tc>
          <w:tcPr>
            <w:tcW w:w="240" w:type="dxa"/>
            <w:vAlign w:val="bottom"/>
            <w:shd w:val="clear" w:color="auto" w:fill="EAF9E8"/>
          </w:tcPr>
          <w:p>
            <w:pPr>
              <w:spacing w:after="0"/>
              <w:rPr>
                <w:sz w:val="7"/>
                <w:szCs w:val="7"/>
                <w:color w:val="auto"/>
              </w:rPr>
            </w:pPr>
          </w:p>
        </w:tc>
        <w:tc>
          <w:tcPr>
            <w:tcW w:w="580" w:type="dxa"/>
            <w:vAlign w:val="bottom"/>
            <w:vMerge w:val="continue"/>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440" w:type="dxa"/>
            <w:vAlign w:val="bottom"/>
            <w:vMerge w:val="restart"/>
            <w:shd w:val="clear" w:color="auto" w:fill="EAF9E8"/>
          </w:tcPr>
          <w:p>
            <w:pPr>
              <w:jc w:val="center"/>
              <w:ind w:right="72"/>
              <w:spacing w:after="0" w:line="149" w:lineRule="exact"/>
              <w:rPr>
                <w:sz w:val="20"/>
                <w:szCs w:val="20"/>
                <w:color w:val="auto"/>
              </w:rPr>
            </w:pPr>
            <w:r>
              <w:rPr>
                <w:rFonts w:ascii="Arial" w:cs="Arial" w:eastAsia="Arial" w:hAnsi="Arial"/>
                <w:sz w:val="14"/>
                <w:szCs w:val="14"/>
                <w:color w:val="auto"/>
                <w:w w:val="87"/>
              </w:rPr>
              <w:t>of Ocwen as leader in global mortgage</w:t>
            </w:r>
          </w:p>
        </w:tc>
        <w:tc>
          <w:tcPr>
            <w:tcW w:w="1640" w:type="dxa"/>
            <w:vAlign w:val="bottom"/>
            <w:vMerge w:val="continue"/>
            <w:shd w:val="clear" w:color="auto" w:fill="EAF9E8"/>
          </w:tcPr>
          <w:p>
            <w:pPr>
              <w:spacing w:after="0"/>
              <w:rPr>
                <w:sz w:val="7"/>
                <w:szCs w:val="7"/>
                <w:color w:val="auto"/>
              </w:rPr>
            </w:pPr>
          </w:p>
        </w:tc>
        <w:tc>
          <w:tcPr>
            <w:tcW w:w="1520" w:type="dxa"/>
            <w:vAlign w:val="bottom"/>
            <w:vMerge w:val="continue"/>
            <w:shd w:val="clear" w:color="auto" w:fill="EAF9E8"/>
          </w:tcPr>
          <w:p>
            <w:pPr>
              <w:spacing w:after="0"/>
              <w:rPr>
                <w:sz w:val="7"/>
                <w:szCs w:val="7"/>
                <w:color w:val="auto"/>
              </w:rPr>
            </w:pPr>
          </w:p>
        </w:tc>
        <w:tc>
          <w:tcPr>
            <w:tcW w:w="1600" w:type="dxa"/>
            <w:vAlign w:val="bottom"/>
            <w:vMerge w:val="continue"/>
            <w:shd w:val="clear" w:color="auto" w:fill="EAF9E8"/>
          </w:tcPr>
          <w:p>
            <w:pPr>
              <w:spacing w:after="0"/>
              <w:rPr>
                <w:sz w:val="7"/>
                <w:szCs w:val="7"/>
                <w:color w:val="auto"/>
              </w:rPr>
            </w:pPr>
          </w:p>
        </w:tc>
        <w:tc>
          <w:tcPr>
            <w:tcW w:w="1460" w:type="dxa"/>
            <w:vAlign w:val="bottom"/>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720" w:type="dxa"/>
            <w:vAlign w:val="bottom"/>
            <w:shd w:val="clear" w:color="auto" w:fill="EAF9E8"/>
          </w:tcPr>
          <w:p>
            <w:pPr>
              <w:spacing w:after="0"/>
              <w:rPr>
                <w:sz w:val="4"/>
                <w:szCs w:val="4"/>
                <w:color w:val="auto"/>
              </w:rPr>
            </w:pPr>
          </w:p>
        </w:tc>
        <w:tc>
          <w:tcPr>
            <w:tcW w:w="240" w:type="dxa"/>
            <w:vAlign w:val="bottom"/>
            <w:shd w:val="clear" w:color="auto" w:fill="EAF9E8"/>
          </w:tcPr>
          <w:p>
            <w:pPr>
              <w:spacing w:after="0"/>
              <w:rPr>
                <w:sz w:val="4"/>
                <w:szCs w:val="4"/>
                <w:color w:val="auto"/>
              </w:rPr>
            </w:pPr>
          </w:p>
        </w:tc>
        <w:tc>
          <w:tcPr>
            <w:tcW w:w="580" w:type="dxa"/>
            <w:vAlign w:val="bottom"/>
            <w:shd w:val="clear" w:color="auto" w:fill="EAF9E8"/>
          </w:tcPr>
          <w:p>
            <w:pPr>
              <w:spacing w:after="0"/>
              <w:rPr>
                <w:sz w:val="4"/>
                <w:szCs w:val="4"/>
                <w:color w:val="auto"/>
              </w:rPr>
            </w:pPr>
          </w:p>
        </w:tc>
        <w:tc>
          <w:tcPr>
            <w:tcW w:w="220" w:type="dxa"/>
            <w:vAlign w:val="bottom"/>
            <w:shd w:val="clear" w:color="auto" w:fill="EAF9E8"/>
          </w:tcPr>
          <w:p>
            <w:pPr>
              <w:spacing w:after="0"/>
              <w:rPr>
                <w:sz w:val="4"/>
                <w:szCs w:val="4"/>
                <w:color w:val="auto"/>
              </w:rPr>
            </w:pPr>
          </w:p>
        </w:tc>
        <w:tc>
          <w:tcPr>
            <w:tcW w:w="2440" w:type="dxa"/>
            <w:vAlign w:val="bottom"/>
            <w:vMerge w:val="continue"/>
            <w:shd w:val="clear" w:color="auto" w:fill="EAF9E8"/>
          </w:tcPr>
          <w:p>
            <w:pPr>
              <w:spacing w:after="0"/>
              <w:rPr>
                <w:sz w:val="4"/>
                <w:szCs w:val="4"/>
                <w:color w:val="auto"/>
              </w:rPr>
            </w:pPr>
          </w:p>
        </w:tc>
        <w:tc>
          <w:tcPr>
            <w:tcW w:w="1640" w:type="dxa"/>
            <w:vAlign w:val="bottom"/>
            <w:shd w:val="clear" w:color="auto" w:fill="EAF9E8"/>
          </w:tcPr>
          <w:p>
            <w:pPr>
              <w:spacing w:after="0"/>
              <w:rPr>
                <w:sz w:val="4"/>
                <w:szCs w:val="4"/>
                <w:color w:val="auto"/>
              </w:rPr>
            </w:pPr>
          </w:p>
        </w:tc>
        <w:tc>
          <w:tcPr>
            <w:tcW w:w="1520" w:type="dxa"/>
            <w:vAlign w:val="bottom"/>
            <w:shd w:val="clear" w:color="auto" w:fill="EAF9E8"/>
          </w:tcPr>
          <w:p>
            <w:pPr>
              <w:spacing w:after="0"/>
              <w:rPr>
                <w:sz w:val="4"/>
                <w:szCs w:val="4"/>
                <w:color w:val="auto"/>
              </w:rPr>
            </w:pPr>
          </w:p>
        </w:tc>
        <w:tc>
          <w:tcPr>
            <w:tcW w:w="1600" w:type="dxa"/>
            <w:vAlign w:val="bottom"/>
            <w:shd w:val="clear" w:color="auto" w:fill="EAF9E8"/>
          </w:tcPr>
          <w:p>
            <w:pPr>
              <w:spacing w:after="0"/>
              <w:rPr>
                <w:sz w:val="4"/>
                <w:szCs w:val="4"/>
                <w:color w:val="auto"/>
              </w:rPr>
            </w:pPr>
          </w:p>
        </w:tc>
        <w:tc>
          <w:tcPr>
            <w:tcW w:w="1460" w:type="dxa"/>
            <w:vAlign w:val="bottom"/>
            <w:shd w:val="clear" w:color="auto" w:fill="EAF9E8"/>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58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2440" w:type="dxa"/>
            <w:vAlign w:val="bottom"/>
            <w:shd w:val="clear" w:color="auto" w:fill="EAF9E8"/>
          </w:tcPr>
          <w:p>
            <w:pPr>
              <w:jc w:val="center"/>
              <w:ind w:right="72"/>
              <w:spacing w:after="0" w:line="159" w:lineRule="exact"/>
              <w:rPr>
                <w:sz w:val="20"/>
                <w:szCs w:val="20"/>
                <w:color w:val="auto"/>
              </w:rPr>
            </w:pPr>
            <w:r>
              <w:rPr>
                <w:rFonts w:ascii="Arial" w:cs="Arial" w:eastAsia="Arial" w:hAnsi="Arial"/>
                <w:sz w:val="14"/>
                <w:szCs w:val="14"/>
                <w:color w:val="auto"/>
                <w:w w:val="87"/>
              </w:rPr>
              <w:t>processing outsourcing.</w:t>
            </w:r>
          </w:p>
        </w:tc>
        <w:tc>
          <w:tcPr>
            <w:tcW w:w="1640" w:type="dxa"/>
            <w:vAlign w:val="bottom"/>
            <w:shd w:val="clear" w:color="auto" w:fill="EAF9E8"/>
          </w:tcPr>
          <w:p>
            <w:pPr>
              <w:spacing w:after="0"/>
              <w:rPr>
                <w:sz w:val="13"/>
                <w:szCs w:val="13"/>
                <w:color w:val="auto"/>
              </w:rPr>
            </w:pPr>
          </w:p>
        </w:tc>
        <w:tc>
          <w:tcPr>
            <w:tcW w:w="1520" w:type="dxa"/>
            <w:vAlign w:val="bottom"/>
            <w:shd w:val="clear" w:color="auto" w:fill="EAF9E8"/>
          </w:tcPr>
          <w:p>
            <w:pPr>
              <w:spacing w:after="0"/>
              <w:rPr>
                <w:sz w:val="13"/>
                <w:szCs w:val="13"/>
                <w:color w:val="auto"/>
              </w:rPr>
            </w:pPr>
          </w:p>
        </w:tc>
        <w:tc>
          <w:tcPr>
            <w:tcW w:w="16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4"/>
                <w:szCs w:val="24"/>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24"/>
                <w:szCs w:val="24"/>
                <w:color w:val="auto"/>
              </w:rPr>
            </w:pPr>
          </w:p>
        </w:tc>
        <w:tc>
          <w:tcPr>
            <w:tcW w:w="2440" w:type="dxa"/>
            <w:vAlign w:val="bottom"/>
          </w:tcPr>
          <w:p>
            <w:pPr>
              <w:jc w:val="center"/>
              <w:ind w:right="72"/>
              <w:spacing w:after="0"/>
              <w:rPr>
                <w:sz w:val="20"/>
                <w:szCs w:val="20"/>
                <w:color w:val="auto"/>
              </w:rPr>
            </w:pPr>
            <w:r>
              <w:rPr>
                <w:rFonts w:ascii="Arial" w:cs="Arial" w:eastAsia="Arial" w:hAnsi="Arial"/>
                <w:sz w:val="14"/>
                <w:szCs w:val="14"/>
                <w:color w:val="auto"/>
                <w:w w:val="88"/>
              </w:rPr>
              <w:t>Achieve Business-Unit Net Income Target</w:t>
            </w:r>
          </w:p>
        </w:tc>
        <w:tc>
          <w:tcPr>
            <w:tcW w:w="1640" w:type="dxa"/>
            <w:vAlign w:val="bottom"/>
          </w:tcPr>
          <w:p>
            <w:pPr>
              <w:jc w:val="center"/>
              <w:ind w:right="12"/>
              <w:spacing w:after="0"/>
              <w:rPr>
                <w:sz w:val="20"/>
                <w:szCs w:val="20"/>
                <w:color w:val="auto"/>
              </w:rPr>
            </w:pPr>
            <w:r>
              <w:rPr>
                <w:rFonts w:ascii="Arial" w:cs="Arial" w:eastAsia="Arial" w:hAnsi="Arial"/>
                <w:sz w:val="14"/>
                <w:szCs w:val="14"/>
                <w:color w:val="auto"/>
                <w:w w:val="96"/>
              </w:rPr>
              <w:t>$   710,000</w:t>
            </w:r>
          </w:p>
        </w:tc>
        <w:tc>
          <w:tcPr>
            <w:tcW w:w="1520" w:type="dxa"/>
            <w:vAlign w:val="bottom"/>
          </w:tcPr>
          <w:p>
            <w:pPr>
              <w:jc w:val="center"/>
              <w:spacing w:after="0"/>
              <w:rPr>
                <w:sz w:val="20"/>
                <w:szCs w:val="20"/>
                <w:color w:val="auto"/>
              </w:rPr>
            </w:pPr>
            <w:r>
              <w:rPr>
                <w:rFonts w:ascii="Arial" w:cs="Arial" w:eastAsia="Arial" w:hAnsi="Arial"/>
                <w:sz w:val="14"/>
                <w:szCs w:val="14"/>
                <w:color w:val="auto"/>
                <w:w w:val="96"/>
              </w:rPr>
              <w:t>$   840,000</w:t>
            </w:r>
          </w:p>
        </w:tc>
        <w:tc>
          <w:tcPr>
            <w:tcW w:w="1600" w:type="dxa"/>
            <w:vAlign w:val="bottom"/>
          </w:tcPr>
          <w:p>
            <w:pPr>
              <w:jc w:val="center"/>
              <w:spacing w:after="0"/>
              <w:rPr>
                <w:sz w:val="20"/>
                <w:szCs w:val="20"/>
                <w:color w:val="auto"/>
              </w:rPr>
            </w:pPr>
            <w:r>
              <w:rPr>
                <w:rFonts w:ascii="Arial" w:cs="Arial" w:eastAsia="Arial" w:hAnsi="Arial"/>
                <w:sz w:val="14"/>
                <w:szCs w:val="14"/>
                <w:color w:val="auto"/>
                <w:w w:val="96"/>
              </w:rPr>
              <w:t>$   960,000</w:t>
            </w:r>
          </w:p>
        </w:tc>
        <w:tc>
          <w:tcPr>
            <w:tcW w:w="1460" w:type="dxa"/>
            <w:vAlign w:val="bottom"/>
          </w:tcPr>
          <w:p>
            <w:pPr>
              <w:jc w:val="center"/>
              <w:ind w:left="12"/>
              <w:spacing w:after="0"/>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0"/>
                <w:szCs w:val="20"/>
                <w:color w:val="auto"/>
              </w:rPr>
            </w:pPr>
            <w:r>
              <w:rPr>
                <w:rFonts w:ascii="Arial" w:cs="Arial" w:eastAsia="Arial" w:hAnsi="Arial"/>
                <w:sz w:val="14"/>
                <w:szCs w:val="14"/>
                <w:color w:val="auto"/>
              </w:rPr>
              <w:t>William B. Shepro</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4"/>
                <w:szCs w:val="24"/>
                <w:color w:val="auto"/>
              </w:rPr>
            </w:pPr>
          </w:p>
        </w:tc>
        <w:tc>
          <w:tcPr>
            <w:tcW w:w="2440" w:type="dxa"/>
            <w:vAlign w:val="bottom"/>
          </w:tcPr>
          <w:p>
            <w:pPr>
              <w:jc w:val="center"/>
              <w:ind w:right="72"/>
              <w:spacing w:after="0"/>
              <w:rPr>
                <w:sz w:val="20"/>
                <w:szCs w:val="20"/>
                <w:color w:val="auto"/>
              </w:rPr>
            </w:pPr>
            <w:r>
              <w:rPr>
                <w:rFonts w:ascii="Arial" w:cs="Arial" w:eastAsia="Arial" w:hAnsi="Arial"/>
                <w:sz w:val="14"/>
                <w:szCs w:val="14"/>
                <w:color w:val="auto"/>
                <w:w w:val="87"/>
              </w:rPr>
              <w:t>Achieve Business-Unit Revenue Target</w:t>
            </w:r>
          </w:p>
        </w:tc>
        <w:tc>
          <w:tcPr>
            <w:tcW w:w="1640" w:type="dxa"/>
            <w:vAlign w:val="bottom"/>
          </w:tcPr>
          <w:p>
            <w:pPr>
              <w:jc w:val="center"/>
              <w:ind w:right="12"/>
              <w:spacing w:after="0"/>
              <w:rPr>
                <w:sz w:val="20"/>
                <w:szCs w:val="20"/>
                <w:color w:val="auto"/>
              </w:rPr>
            </w:pPr>
            <w:r>
              <w:rPr>
                <w:rFonts w:ascii="Arial" w:cs="Arial" w:eastAsia="Arial" w:hAnsi="Arial"/>
                <w:sz w:val="14"/>
                <w:szCs w:val="14"/>
                <w:color w:val="auto"/>
                <w:w w:val="87"/>
              </w:rPr>
              <w:t>$24,300,000</w:t>
            </w: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$28,600,000</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$32,900,000</w:t>
            </w:r>
          </w:p>
        </w:tc>
        <w:tc>
          <w:tcPr>
            <w:tcW w:w="1460" w:type="dxa"/>
            <w:vAlign w:val="bottom"/>
          </w:tcPr>
          <w:p>
            <w:pPr>
              <w:jc w:val="center"/>
              <w:ind w:left="32"/>
              <w:spacing w:after="0"/>
              <w:rPr>
                <w:sz w:val="20"/>
                <w:szCs w:val="20"/>
                <w:color w:val="auto"/>
              </w:rPr>
            </w:pPr>
            <w:r>
              <w:rPr>
                <w:rFonts w:ascii="Arial" w:cs="Arial" w:eastAsia="Arial" w:hAnsi="Arial"/>
                <w:sz w:val="14"/>
                <w:szCs w:val="14"/>
                <w:color w:val="auto"/>
                <w:w w:val="88"/>
              </w:rPr>
              <w:t>Below Threshold</w:t>
            </w:r>
          </w:p>
        </w:tc>
        <w:tc>
          <w:tcPr>
            <w:tcW w:w="0" w:type="dxa"/>
            <w:vAlign w:val="bottom"/>
          </w:tcPr>
          <w:p>
            <w:pPr>
              <w:spacing w:after="0"/>
              <w:rPr>
                <w:sz w:val="1"/>
                <w:szCs w:val="1"/>
                <w:color w:val="auto"/>
              </w:rPr>
            </w:pPr>
          </w:p>
        </w:tc>
      </w:tr>
      <w:tr>
        <w:trPr>
          <w:trHeight w:val="273"/>
        </w:trPr>
        <w:tc>
          <w:tcPr>
            <w:tcW w:w="1720" w:type="dxa"/>
            <w:vAlign w:val="bottom"/>
          </w:tcPr>
          <w:p>
            <w:pPr>
              <w:spacing w:after="0"/>
              <w:rPr>
                <w:sz w:val="23"/>
                <w:szCs w:val="23"/>
                <w:color w:val="auto"/>
              </w:rPr>
            </w:pPr>
          </w:p>
        </w:tc>
        <w:tc>
          <w:tcPr>
            <w:tcW w:w="8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3"/>
                <w:szCs w:val="23"/>
                <w:color w:val="auto"/>
              </w:rPr>
            </w:pPr>
          </w:p>
        </w:tc>
        <w:tc>
          <w:tcPr>
            <w:tcW w:w="2440" w:type="dxa"/>
            <w:vAlign w:val="bottom"/>
          </w:tcPr>
          <w:p>
            <w:pPr>
              <w:jc w:val="center"/>
              <w:ind w:right="72"/>
              <w:spacing w:after="0"/>
              <w:rPr>
                <w:sz w:val="20"/>
                <w:szCs w:val="20"/>
                <w:color w:val="auto"/>
              </w:rPr>
            </w:pPr>
            <w:r>
              <w:rPr>
                <w:rFonts w:ascii="Arial" w:cs="Arial" w:eastAsia="Arial" w:hAnsi="Arial"/>
                <w:sz w:val="14"/>
                <w:szCs w:val="14"/>
                <w:color w:val="auto"/>
                <w:w w:val="87"/>
              </w:rPr>
              <w:t>Achieve Ocwen Recovery Group</w:t>
            </w:r>
          </w:p>
        </w:tc>
        <w:tc>
          <w:tcPr>
            <w:tcW w:w="1640" w:type="dxa"/>
            <w:vAlign w:val="bottom"/>
            <w:vMerge w:val="restart"/>
          </w:tcPr>
          <w:p>
            <w:pPr>
              <w:jc w:val="center"/>
              <w:ind w:right="12"/>
              <w:spacing w:after="0"/>
              <w:rPr>
                <w:sz w:val="20"/>
                <w:szCs w:val="20"/>
                <w:color w:val="auto"/>
              </w:rPr>
            </w:pPr>
            <w:r>
              <w:rPr>
                <w:rFonts w:ascii="Arial" w:cs="Arial" w:eastAsia="Arial" w:hAnsi="Arial"/>
                <w:sz w:val="14"/>
                <w:szCs w:val="14"/>
                <w:color w:val="auto"/>
                <w:w w:val="87"/>
              </w:rPr>
              <w:t>$12,720,000</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87"/>
              </w:rPr>
              <w:t>$14,130,000</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7"/>
              </w:rPr>
              <w:t>$15,540,000</w:t>
            </w:r>
          </w:p>
        </w:tc>
        <w:tc>
          <w:tcPr>
            <w:tcW w:w="1460" w:type="dxa"/>
            <w:vAlign w:val="bottom"/>
            <w:vMerge w:val="restart"/>
          </w:tcPr>
          <w:p>
            <w:pPr>
              <w:jc w:val="center"/>
              <w:ind w:left="32"/>
              <w:spacing w:after="0"/>
              <w:rPr>
                <w:sz w:val="20"/>
                <w:szCs w:val="20"/>
                <w:color w:val="auto"/>
              </w:rPr>
            </w:pPr>
            <w:r>
              <w:rPr>
                <w:rFonts w:ascii="Arial" w:cs="Arial" w:eastAsia="Arial" w:hAnsi="Arial"/>
                <w:sz w:val="14"/>
                <w:szCs w:val="14"/>
                <w:color w:val="auto"/>
                <w:w w:val="88"/>
              </w:rPr>
              <w:t>Below Threshold</w:t>
            </w:r>
          </w:p>
        </w:tc>
        <w:tc>
          <w:tcPr>
            <w:tcW w:w="0" w:type="dxa"/>
            <w:vAlign w:val="bottom"/>
          </w:tcPr>
          <w:p>
            <w:pPr>
              <w:spacing w:after="0"/>
              <w:rPr>
                <w:sz w:val="1"/>
                <w:szCs w:val="1"/>
                <w:color w:val="auto"/>
              </w:rPr>
            </w:pPr>
          </w:p>
        </w:tc>
      </w:tr>
      <w:tr>
        <w:trPr>
          <w:trHeight w:val="91"/>
        </w:trPr>
        <w:tc>
          <w:tcPr>
            <w:tcW w:w="17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vMerge w:val="restart"/>
          </w:tcPr>
          <w:p>
            <w:pPr>
              <w:jc w:val="center"/>
              <w:ind w:right="72"/>
              <w:spacing w:after="0"/>
              <w:rPr>
                <w:sz w:val="20"/>
                <w:szCs w:val="20"/>
                <w:color w:val="auto"/>
              </w:rPr>
            </w:pPr>
            <w:r>
              <w:rPr>
                <w:rFonts w:ascii="Arial" w:cs="Arial" w:eastAsia="Arial" w:hAnsi="Arial"/>
                <w:sz w:val="14"/>
                <w:szCs w:val="14"/>
                <w:color w:val="auto"/>
                <w:w w:val="85"/>
              </w:rPr>
              <w:t>Revenue Target</w:t>
            </w:r>
          </w:p>
        </w:tc>
        <w:tc>
          <w:tcPr>
            <w:tcW w:w="16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 Annual incentive compensation is paid to our executives and other incentive-eligible employees after Compensation Committee approval following the service year associated with the incentive.</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type w:val="continuous"/>
        </w:sectPr>
      </w:pPr>
    </w:p>
    <w:bookmarkStart w:id="23" w:name="page24"/>
    <w:bookmarkEnd w:id="23"/>
    <w:p>
      <w:pPr>
        <w:jc w:val="both"/>
        <w:spacing w:after="0" w:line="298" w:lineRule="auto"/>
        <w:rPr>
          <w:sz w:val="20"/>
          <w:szCs w:val="20"/>
          <w:color w:val="auto"/>
        </w:rPr>
      </w:pPr>
      <w:r>
        <w:rPr>
          <w:rFonts w:ascii="Arial" w:cs="Arial" w:eastAsia="Arial" w:hAnsi="Arial"/>
          <w:sz w:val="16"/>
          <w:szCs w:val="16"/>
          <w:color w:val="auto"/>
        </w:rPr>
        <w:t>A significant percentage of total compensation is allocated to incentives as a result of the philosophy mentioned above. While there is no pre-established policy or target for the allocation between cash and non-cash incentive compensation, we have historically awarded 50% of the incentive award in cash and the remaining 50% of the incentive award in non-cash compensation to our executive officers. All non-cash compensation is awarded based on the fair market value of the stock or option as of the date the award is approved by the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Reviews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of our executive officers performs a self-assessment as to his performance against his goals for the previous year. Our Chief Executive Officer utilizes these assessments, as well as his own observations and consultations with the Senior Vice President of Human Resources, to prepare a written performance appraisal for each of the other executive officers. He conducts performance evaluations of each of the executive officers, presents the appraisal scores to the Compensation Committee and makes recommendations as to the incentive compensation for each executive officer. The Committee conducts an annual performance evaluation of our Chief Executive Officer and evaluates his recommendations as to other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w:t>
      </w:r>
    </w:p>
    <w:p>
      <w:pPr>
        <w:spacing w:after="0" w:line="231" w:lineRule="exact"/>
        <w:rPr>
          <w:sz w:val="20"/>
          <w:szCs w:val="20"/>
          <w:color w:val="auto"/>
        </w:rPr>
      </w:pPr>
    </w:p>
    <w:p>
      <w:pPr>
        <w:jc w:val="both"/>
        <w:ind w:firstLine="62"/>
        <w:spacing w:after="0" w:line="291" w:lineRule="auto"/>
        <w:rPr>
          <w:sz w:val="20"/>
          <w:szCs w:val="20"/>
          <w:color w:val="auto"/>
        </w:rPr>
      </w:pPr>
      <w:r>
        <w:rPr>
          <w:rFonts w:ascii="Arial" w:cs="Arial" w:eastAsia="Arial" w:hAnsi="Arial"/>
          <w:sz w:val="16"/>
          <w:szCs w:val="16"/>
          <w:color w:val="auto"/>
        </w:rPr>
        <w:t>Based on the performance evaluations and a review of our goals and strategic initiatives, the Committee approves and submits to the Board of Directors for approval base salary and annual incentive compensation targets and amounts for the Chief Executive Officer. In addition, the Compensation Committee reviews management’s recommendations with regard to incentive compensation for the prior year. The Committee’s approval generally occurs during the first quarter of the year and the Committee makes its presentation to the Board of Directors at the next regularly scheduled meeting, which occurred on March 8 and March 14, 2007 respectively for 2006 incentive compensation. All equity awards are granted on the date the Compensation Committee approves the awards using the fair market value of the Company’s stock at the close of that business day.</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at the first Board of Directors meeting of the year, the Compensation Committee approves the annual incentive components including the corporate scorecard for the upcoming year. For 2007, the key performance indicators for the company include achieving a pre-tax net income target, achievement of a revenue target and successful completion of ten strategic initiatives established to enhance long-term corporate and shareholder value. These 2007 corporate strategic initiatives include:</w:t>
      </w:r>
    </w:p>
    <w:p>
      <w:pPr>
        <w:spacing w:after="0" w:line="197" w:lineRule="exact"/>
        <w:rPr>
          <w:sz w:val="20"/>
          <w:szCs w:val="20"/>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an asset management company</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financial structure and clarity with rating agencies to increase debt ratings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operating expense to revenue target ratio</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sigma level of customer survey</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the resolution rates for both first and second liens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Educating the market on a brand story that communicates our competitive strength and potential</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Contributing to revenue lift through acquisitions and/or organic growth</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target revenue in Refinance and Statement Marketing programs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top tier talent to enhance modeling and analytics capabilities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certain investment income and funding targets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We obtained shareholder approval of the 1998 Annual Incentive Plan and all amendments thereto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our overall best interest.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both"/>
        <w:spacing w:after="0" w:line="298" w:lineRule="auto"/>
        <w:rPr>
          <w:sz w:val="20"/>
          <w:szCs w:val="20"/>
          <w:color w:val="auto"/>
        </w:rPr>
      </w:pPr>
      <w:r>
        <w:rPr>
          <w:rFonts w:ascii="Arial" w:cs="Arial" w:eastAsia="Arial" w:hAnsi="Arial"/>
          <w:sz w:val="16"/>
          <w:szCs w:val="16"/>
          <w:color w:val="auto"/>
        </w:rPr>
        <w:t>In order to satisfy the deductibility requirements under Section 162(m) of the Internal Revenue Code of 1986,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Internal Revenue Code and to be deductible for the prior tax year, our annual incentive awards with respect to the prior year must be paid out by March 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developed stock ownership or retention policies, guidelines or requirements as of yet. The Compensation Committee may consider adopting such a policy in the future for all or a select portion of our executive officers. We maintain a management directive detailing our window period policy for directors and employees and our insider trading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2007 Equity Incentive Plan was developed by management, and the Board of Directors recommends approval by our shareholders at the Annual Meeting. If approved by the shareholders, the plan will be administered by the Compensation Committee and authorize the grant of restricted stock, options, stock appreciation rights, stock purchase rights, or other equity-based awards to our employees. Options granted under the plan may be either “incentive stock options” as defined in section 422 of the Internal Revenue Code, or nonqualified stock options, as determined by the Compensation Committee.</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award granted under the plan will be evidenced by a written award agreement between the participant and us, which will describe the award and state the terms and conditions to which the award is subject. If any shares subject to award are forfeited or if any award terminates, expires or lapses without being exercised, shares of common stock subject to such award will again be available for future grant. In addition, any shares under the plan that are used to satisfy award obligations under the plan of another entity that is acquired by us will not count against the remaining number of shares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Employment Termination</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we have no employment agreements with our executive officers other than the restrictive covenants noted above, we handle each termination as appropriate in light of the circumstances. Without any special agreement related to termination, an executive officer would be entitled to receive his or her base salary and applicable employee benefit plans and programs through the date of termination. In addition, the executive officer would be entitled to retain any vested portion of prior equity awards granted through the 1998 Annual Incentive Plan, the 1991 Non-Qualified Stock Option Plan, and, if approved, the 2007 Equity Incentive Plan. For termination not due to death, disability or retirement, the executive officer has six months in which to exercise stock options pursuant to our stock option agreements. Otherwise, the executive officer shall be afforded the time permitted in the original grant. Any portion of an equity award not vested, will be forfeited in either circumstance unless alternate arrangements are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 formal severance plan or policy. When an executive officer separates from the company as a result of a reduction in work force, we typically provide the executive with two months salary for each year of service to the company up to a maximum of six months salary in exchange for a separation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other most highly compensated executive officers for fiscal year 2006.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Non-Equity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Incentive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Plan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All 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Option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Compen-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Compen-</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 xml:space="preserve">Salary </w:t>
            </w:r>
            <w:r>
              <w:rPr>
                <w:rFonts w:ascii="Arial" w:cs="Arial" w:eastAsia="Arial" w:hAnsi="Arial"/>
                <w:sz w:val="29"/>
                <w:szCs w:val="29"/>
                <w:b w:val="1"/>
                <w:bCs w:val="1"/>
                <w:color w:val="auto"/>
                <w:w w:val="84"/>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w w:val="83"/>
              </w:rPr>
              <w:t xml:space="preserve">Awards </w:t>
            </w:r>
            <w:r>
              <w:rPr>
                <w:rFonts w:ascii="Arial" w:cs="Arial" w:eastAsia="Arial" w:hAnsi="Arial"/>
                <w:sz w:val="29"/>
                <w:szCs w:val="29"/>
                <w:b w:val="1"/>
                <w:bCs w:val="1"/>
                <w:color w:val="auto"/>
                <w:w w:val="83"/>
                <w:vertAlign w:val="superscript"/>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29"/>
                <w:szCs w:val="29"/>
                <w:b w:val="1"/>
                <w:bCs w:val="1"/>
                <w:color w:val="auto"/>
                <w:w w:val="87"/>
                <w:vertAlign w:val="superscript"/>
              </w:rPr>
              <w:t>(3)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72"/>
              <w:spacing w:after="0"/>
              <w:rPr>
                <w:sz w:val="20"/>
                <w:szCs w:val="20"/>
                <w:color w:val="auto"/>
              </w:rPr>
            </w:pPr>
            <w:r>
              <w:rPr>
                <w:rFonts w:ascii="Arial" w:cs="Arial" w:eastAsia="Arial" w:hAnsi="Arial"/>
                <w:sz w:val="18"/>
                <w:szCs w:val="18"/>
                <w:b w:val="1"/>
                <w:bCs w:val="1"/>
                <w:color w:val="auto"/>
                <w:w w:val="80"/>
              </w:rPr>
              <w:t>sation</w:t>
            </w:r>
            <w:r>
              <w:rPr>
                <w:rFonts w:ascii="Arial" w:cs="Arial" w:eastAsia="Arial" w:hAnsi="Arial"/>
                <w:sz w:val="29"/>
                <w:szCs w:val="29"/>
                <w:b w:val="1"/>
                <w:bCs w:val="1"/>
                <w:color w:val="auto"/>
                <w:w w:val="80"/>
                <w:vertAlign w:val="superscript"/>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0"/>
              </w:rPr>
              <w:t xml:space="preserve">sation </w:t>
            </w:r>
            <w:r>
              <w:rPr>
                <w:rFonts w:ascii="Arial" w:cs="Arial" w:eastAsia="Arial" w:hAnsi="Arial"/>
                <w:sz w:val="29"/>
                <w:szCs w:val="29"/>
                <w:b w:val="1"/>
                <w:bCs w:val="1"/>
                <w:color w:val="auto"/>
                <w:w w:val="80"/>
                <w:vertAlign w:val="superscript"/>
              </w:rPr>
              <w:t>(5)</w:t>
            </w:r>
          </w:p>
        </w:tc>
        <w:tc>
          <w:tcPr>
            <w:tcW w:w="16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William C. Erbey</w:t>
            </w:r>
          </w:p>
        </w:tc>
        <w:tc>
          <w:tcPr>
            <w:tcW w:w="920" w:type="dxa"/>
            <w:vAlign w:val="bottom"/>
            <w:gridSpan w:val="3"/>
            <w:shd w:val="clear" w:color="auto" w:fill="EAF9E8"/>
          </w:tcPr>
          <w:p>
            <w:pPr>
              <w:jc w:val="right"/>
              <w:ind w:right="52"/>
              <w:spacing w:after="0"/>
              <w:rPr>
                <w:sz w:val="20"/>
                <w:szCs w:val="20"/>
                <w:color w:val="auto"/>
              </w:rPr>
            </w:pPr>
            <w:r>
              <w:rPr>
                <w:rFonts w:ascii="Arial" w:cs="Arial" w:eastAsia="Arial" w:hAnsi="Arial"/>
                <w:sz w:val="18"/>
                <w:szCs w:val="18"/>
                <w:color w:val="auto"/>
              </w:rPr>
              <w:t>2006</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105,723</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206,629</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501,429</w:t>
            </w: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60"/>
              <w:spacing w:after="0" w:line="216" w:lineRule="exact"/>
              <w:rPr>
                <w:sz w:val="20"/>
                <w:szCs w:val="20"/>
                <w:color w:val="auto"/>
              </w:rPr>
            </w:pPr>
            <w:r>
              <w:rPr>
                <w:rFonts w:ascii="Arial" w:cs="Arial" w:eastAsia="Arial" w:hAnsi="Arial"/>
                <w:sz w:val="16"/>
                <w:szCs w:val="16"/>
                <w:color w:val="auto"/>
              </w:rPr>
              <w:t>41,911</w:t>
            </w:r>
            <w:r>
              <w:rPr>
                <w:rFonts w:ascii="Arial" w:cs="Arial" w:eastAsia="Arial" w:hAnsi="Arial"/>
                <w:sz w:val="25"/>
                <w:szCs w:val="25"/>
                <w:color w:val="auto"/>
                <w:vertAlign w:val="superscript"/>
              </w:rPr>
              <w:t>(6)</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1,215,692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Chairman of the Board &amp;</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Ronald M. Faris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2006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367,882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87,697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188,610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413,842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1,062,431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David J. Gunter</w:t>
            </w:r>
          </w:p>
        </w:tc>
        <w:tc>
          <w:tcPr>
            <w:tcW w:w="920" w:type="dxa"/>
            <w:vAlign w:val="bottom"/>
            <w:gridSpan w:val="3"/>
            <w:shd w:val="clear" w:color="auto" w:fill="EAF9E8"/>
          </w:tcPr>
          <w:p>
            <w:pPr>
              <w:jc w:val="right"/>
              <w:ind w:right="52"/>
              <w:spacing w:after="0"/>
              <w:rPr>
                <w:sz w:val="20"/>
                <w:szCs w:val="20"/>
                <w:color w:val="auto"/>
              </w:rPr>
            </w:pPr>
            <w:r>
              <w:rPr>
                <w:rFonts w:ascii="Arial" w:cs="Arial" w:eastAsia="Arial" w:hAnsi="Arial"/>
                <w:sz w:val="18"/>
                <w:szCs w:val="18"/>
                <w:color w:val="auto"/>
              </w:rPr>
              <w:t>2006</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201,923</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82,226</w:t>
            </w: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284,149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Chief Financial Officer &amp;</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Senior Vice President</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W. Michael Linn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2006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48,566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53,225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157,500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543,691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100" w:type="dxa"/>
            <w:vAlign w:val="bottom"/>
            <w:shd w:val="clear" w:color="auto" w:fill="EAF9E8"/>
          </w:tcPr>
          <w:p>
            <w:pPr>
              <w:spacing w:after="0" w:line="259" w:lineRule="exact"/>
              <w:rPr>
                <w:sz w:val="20"/>
                <w:szCs w:val="20"/>
                <w:color w:val="auto"/>
              </w:rPr>
            </w:pPr>
            <w:r>
              <w:rPr>
                <w:rFonts w:ascii="Arial" w:cs="Arial" w:eastAsia="Arial" w:hAnsi="Arial"/>
                <w:sz w:val="18"/>
                <w:szCs w:val="18"/>
                <w:b w:val="1"/>
                <w:bCs w:val="1"/>
                <w:color w:val="auto"/>
              </w:rPr>
              <w:t xml:space="preserve">Robert J. Leist, Jr. </w:t>
            </w:r>
            <w:r>
              <w:rPr>
                <w:rFonts w:ascii="Arial" w:cs="Arial" w:eastAsia="Arial" w:hAnsi="Arial"/>
                <w:sz w:val="29"/>
                <w:szCs w:val="29"/>
                <w:color w:val="auto"/>
                <w:vertAlign w:val="superscript"/>
              </w:rPr>
              <w:t>(7)</w:t>
            </w:r>
          </w:p>
        </w:tc>
        <w:tc>
          <w:tcPr>
            <w:tcW w:w="920" w:type="dxa"/>
            <w:vAlign w:val="bottom"/>
            <w:gridSpan w:val="3"/>
            <w:shd w:val="clear" w:color="auto" w:fill="EAF9E8"/>
          </w:tcPr>
          <w:p>
            <w:pPr>
              <w:jc w:val="right"/>
              <w:ind w:right="52"/>
              <w:spacing w:after="0"/>
              <w:rPr>
                <w:sz w:val="20"/>
                <w:szCs w:val="20"/>
                <w:color w:val="auto"/>
              </w:rPr>
            </w:pPr>
            <w:r>
              <w:rPr>
                <w:rFonts w:ascii="Arial" w:cs="Arial" w:eastAsia="Arial" w:hAnsi="Arial"/>
                <w:sz w:val="18"/>
                <w:szCs w:val="18"/>
                <w:color w:val="auto"/>
              </w:rPr>
              <w:t>2006</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234,390</w:t>
            </w: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19,256</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35,746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4,400</w:t>
            </w:r>
          </w:p>
        </w:tc>
        <w:tc>
          <w:tcPr>
            <w:tcW w:w="30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293,792</w:t>
            </w:r>
          </w:p>
        </w:tc>
        <w:tc>
          <w:tcPr>
            <w:tcW w:w="10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Senior Vice President</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William B. Shepro</w:t>
            </w:r>
          </w:p>
        </w:tc>
        <w:tc>
          <w:tcPr>
            <w:tcW w:w="920" w:type="dxa"/>
            <w:vAlign w:val="bottom"/>
            <w:gridSpan w:val="3"/>
          </w:tcPr>
          <w:p>
            <w:pPr>
              <w:jc w:val="right"/>
              <w:ind w:right="52"/>
              <w:spacing w:after="0"/>
              <w:rPr>
                <w:sz w:val="20"/>
                <w:szCs w:val="20"/>
                <w:color w:val="auto"/>
              </w:rPr>
            </w:pPr>
            <w:r>
              <w:rPr>
                <w:rFonts w:ascii="Arial" w:cs="Arial" w:eastAsia="Arial" w:hAnsi="Arial"/>
                <w:sz w:val="18"/>
                <w:szCs w:val="18"/>
                <w:color w:val="auto"/>
              </w:rPr>
              <w:t>2006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215,408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68,508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115,837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138,381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7" w:lineRule="exact"/>
              <w:rPr>
                <w:sz w:val="20"/>
                <w:szCs w:val="20"/>
                <w:color w:val="auto"/>
              </w:rPr>
            </w:pPr>
            <w:r>
              <w:rPr>
                <w:rFonts w:ascii="Arial" w:cs="Arial" w:eastAsia="Arial" w:hAnsi="Arial"/>
                <w:sz w:val="15"/>
                <w:szCs w:val="15"/>
                <w:color w:val="auto"/>
              </w:rPr>
              <w:t>34,025</w:t>
            </w:r>
            <w:r>
              <w:rPr>
                <w:rFonts w:ascii="Arial" w:cs="Arial" w:eastAsia="Arial" w:hAnsi="Arial"/>
                <w:sz w:val="24"/>
                <w:szCs w:val="24"/>
                <w:color w:val="auto"/>
                <w:vertAlign w:val="superscript"/>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President of Global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Servicing Solutions, LLC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Represents amounts paid in corresponding year.</w:t>
      </w:r>
    </w:p>
    <w:p>
      <w:pPr>
        <w:spacing w:after="0" w:line="156" w:lineRule="exact"/>
        <w:rPr>
          <w:rFonts w:ascii="Arial" w:cs="Arial" w:eastAsia="Arial" w:hAnsi="Arial"/>
          <w:sz w:val="29"/>
          <w:szCs w:val="29"/>
          <w:color w:val="auto"/>
          <w:vertAlign w:val="superscript"/>
        </w:rPr>
      </w:pPr>
    </w:p>
    <w:p>
      <w:pPr>
        <w:jc w:val="both"/>
        <w:ind w:left="580" w:hanging="572"/>
        <w:spacing w:after="0" w:line="238" w:lineRule="auto"/>
        <w:tabs>
          <w:tab w:leader="none" w:pos="58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Consists of compensation cost recognized in the financial statements with respect to awards granted in previous fiscal years in accordance with Statement of Financial Accounting Standards No. 123(R) (“FAS 123(R)”) except that the estimate of forfeitures related to service-based vesting conditions has been disregarded. Under FAS 123(R), our compensation cost relating to a restricted stock or stock option award is generally computed over the period of time in which the named executive officer is required to provide service to us in exchange for the award. A total of 54,436 shares of restricted stock for 2006 were granted by the Compensation Committee to the executive officers in the first quarter of 2007, and are not reflected in this table as we have not recognized any compensation cost for these awards under FAS 123(R).</w:t>
      </w:r>
    </w:p>
    <w:p>
      <w:pPr>
        <w:spacing w:after="0" w:line="142" w:lineRule="exact"/>
        <w:rPr>
          <w:rFonts w:ascii="Arial" w:cs="Arial" w:eastAsia="Arial" w:hAnsi="Arial"/>
          <w:sz w:val="28"/>
          <w:szCs w:val="28"/>
          <w:color w:val="auto"/>
          <w:vertAlign w:val="superscript"/>
        </w:rPr>
      </w:pPr>
    </w:p>
    <w:p>
      <w:pPr>
        <w:jc w:val="both"/>
        <w:ind w:left="580" w:hanging="572"/>
        <w:spacing w:after="0" w:line="259" w:lineRule="auto"/>
        <w:tabs>
          <w:tab w:leader="none" w:pos="58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Consists of compensation cost recognized in the financial statements with respect to awards granted in previous fiscal years in accordance with FAS 123(R) except that the estimate of forfeitures related to service-based vesting conditions has been disregarded. For more information about the assumptions used to determine the cost of these awards, see Note 1. “Summary of Significant Accounting Policies—Stock-Based Compensation” to our consolidated financial statements as set forth in our Form 10-K for the fiscal year ended December 31, 2006. A total of 265,215 option awards to the executive officers were approved by the Compensation Committee for 2006 in the first quarter of 2007, subject to shareholder approval of the 2007 Equity Incentive Plan, and are not included in this table as we have not recognized any compensation cost for these awards under FAS 123(R).</w:t>
      </w:r>
    </w:p>
    <w:p>
      <w:pPr>
        <w:spacing w:after="0" w:line="129" w:lineRule="exact"/>
        <w:rPr>
          <w:rFonts w:ascii="Arial" w:cs="Arial" w:eastAsia="Arial" w:hAnsi="Arial"/>
          <w:sz w:val="26"/>
          <w:szCs w:val="26"/>
          <w:color w:val="auto"/>
          <w:vertAlign w:val="superscript"/>
        </w:rPr>
      </w:pPr>
    </w:p>
    <w:p>
      <w:pPr>
        <w:ind w:left="580" w:hanging="572"/>
        <w:spacing w:after="0" w:line="194" w:lineRule="auto"/>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Consists of cash portion of incentive compensation bonus awarded pursuant to our 1998 Annual Incentive Plan in the first quarter of the year following the year in which services are rendered.</w:t>
      </w:r>
    </w:p>
    <w:p>
      <w:pPr>
        <w:spacing w:after="0" w:line="143" w:lineRule="exact"/>
        <w:rPr>
          <w:rFonts w:ascii="Arial" w:cs="Arial" w:eastAsia="Arial" w:hAnsi="Arial"/>
          <w:sz w:val="29"/>
          <w:szCs w:val="29"/>
          <w:color w:val="auto"/>
          <w:vertAlign w:val="superscript"/>
        </w:rPr>
      </w:pPr>
    </w:p>
    <w:p>
      <w:pPr>
        <w:ind w:left="580" w:right="20" w:hanging="572"/>
        <w:spacing w:after="0" w:line="194" w:lineRule="auto"/>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Consists of contributions by Ocwen pursuant to Ocwen’s 401(k) Savings Plan for each executive officer, salary adjustments and relocation expenses as detailed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left="580" w:hanging="572"/>
        <w:spacing w:after="0"/>
        <w:tabs>
          <w:tab w:leader="none" w:pos="5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Includes $37,511 in expenses related to Mr. Erbey’s relocation to our Atlanta, Georgia office.</w:t>
      </w:r>
    </w:p>
    <w:p>
      <w:pPr>
        <w:spacing w:after="0" w:line="156"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Mr. Leist served as the Principal Financial Officer of Ocwen until May 11, 2006.</w:t>
      </w:r>
    </w:p>
    <w:p>
      <w:pPr>
        <w:spacing w:after="0" w:line="156" w:lineRule="exact"/>
        <w:rPr>
          <w:rFonts w:ascii="Arial" w:cs="Arial" w:eastAsia="Arial" w:hAnsi="Arial"/>
          <w:sz w:val="24"/>
          <w:szCs w:val="24"/>
          <w:color w:val="auto"/>
          <w:vertAlign w:val="superscript"/>
        </w:rPr>
      </w:pPr>
    </w:p>
    <w:p>
      <w:pPr>
        <w:ind w:left="580" w:right="20" w:hanging="572"/>
        <w:spacing w:after="0" w:line="188" w:lineRule="auto"/>
        <w:tabs>
          <w:tab w:leader="none" w:pos="5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Includes $29,625 in expenses related to Mr. Shepro’s relocation to our Atlanta, Georgia office and family travel expenses related to Mr. Shepro’s work obligations in Mainz, Germany during 2006.</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no employment agreements with our named executive officers. For more information about the elements of the compensation paid to our named executive officers, see Compensation Discussion and Analysis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Grants of Plan Based Awards for 2006</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1998 Annual Incentive Plan for services rendered in fiscal year 2006 by the individuals named in the Summary Compensation Table.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8"/>
          </w:tcPr>
          <w:p>
            <w:pPr>
              <w:jc w:val="center"/>
              <w:ind w:right="55"/>
              <w:spacing w:after="0"/>
              <w:rPr>
                <w:sz w:val="20"/>
                <w:szCs w:val="20"/>
                <w:color w:val="auto"/>
              </w:rPr>
            </w:pPr>
            <w:r>
              <w:rPr>
                <w:rFonts w:ascii="Arial" w:cs="Arial" w:eastAsia="Arial" w:hAnsi="Arial"/>
                <w:sz w:val="14"/>
                <w:szCs w:val="14"/>
                <w:b w:val="1"/>
                <w:bCs w:val="1"/>
                <w:color w:val="auto"/>
                <w:w w:val="87"/>
              </w:rPr>
              <w:t>Estimated Future Payouts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0"/>
              </w:rPr>
              <w:t>Under Non-Equity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7"/>
              </w:rPr>
              <w:t>Estimated Future Payouts Under</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8"/>
          </w:tcPr>
          <w:p>
            <w:pPr>
              <w:jc w:val="center"/>
              <w:ind w:right="55"/>
              <w:spacing w:after="0" w:line="176" w:lineRule="exact"/>
              <w:rPr>
                <w:sz w:val="20"/>
                <w:szCs w:val="20"/>
                <w:color w:val="auto"/>
              </w:rPr>
            </w:pPr>
            <w:r>
              <w:rPr>
                <w:rFonts w:ascii="Arial" w:cs="Arial" w:eastAsia="Arial" w:hAnsi="Arial"/>
                <w:sz w:val="13"/>
                <w:szCs w:val="13"/>
                <w:b w:val="1"/>
                <w:bCs w:val="1"/>
                <w:color w:val="auto"/>
                <w:w w:val="93"/>
              </w:rPr>
              <w:t xml:space="preserve">Incentive Plan Awards </w:t>
            </w:r>
            <w:r>
              <w:rPr>
                <w:rFonts w:ascii="Arial" w:cs="Arial" w:eastAsia="Arial" w:hAnsi="Arial"/>
                <w:sz w:val="20"/>
                <w:szCs w:val="20"/>
                <w:b w:val="1"/>
                <w:bCs w:val="1"/>
                <w:color w:val="auto"/>
                <w:w w:val="93"/>
                <w:vertAlign w:val="superscript"/>
              </w:rPr>
              <w:t>(1)</w:t>
            </w:r>
          </w:p>
        </w:tc>
        <w:tc>
          <w:tcPr>
            <w:tcW w:w="80" w:type="dxa"/>
            <w:vAlign w:val="bottom"/>
          </w:tcPr>
          <w:p>
            <w:pPr>
              <w:spacing w:after="0"/>
              <w:rPr>
                <w:sz w:val="15"/>
                <w:szCs w:val="15"/>
                <w:color w:val="auto"/>
              </w:rPr>
            </w:pPr>
          </w:p>
        </w:tc>
        <w:tc>
          <w:tcPr>
            <w:tcW w:w="3000" w:type="dxa"/>
            <w:vAlign w:val="bottom"/>
            <w:gridSpan w:val="5"/>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Equity Incentive Plan Awards </w:t>
            </w:r>
            <w:r>
              <w:rPr>
                <w:rFonts w:ascii="Arial" w:cs="Arial" w:eastAsia="Arial" w:hAnsi="Arial"/>
                <w:sz w:val="20"/>
                <w:szCs w:val="20"/>
                <w:b w:val="1"/>
                <w:bCs w:val="1"/>
                <w:color w:val="auto"/>
                <w:w w:val="94"/>
                <w:vertAlign w:val="superscript"/>
              </w:rPr>
              <w:t>(2)</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or</w:t>
            </w:r>
          </w:p>
        </w:tc>
        <w:tc>
          <w:tcPr>
            <w:tcW w:w="8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Base Price</w:t>
            </w:r>
          </w:p>
        </w:tc>
        <w:tc>
          <w:tcPr>
            <w:tcW w:w="80" w:type="dxa"/>
            <w:vAlign w:val="bottom"/>
          </w:tcPr>
          <w:p>
            <w:pPr>
              <w:spacing w:after="0"/>
              <w:rPr>
                <w:sz w:val="8"/>
                <w:szCs w:val="8"/>
                <w:color w:val="auto"/>
              </w:rPr>
            </w:pPr>
          </w:p>
        </w:tc>
        <w:tc>
          <w:tcPr>
            <w:tcW w:w="1060" w:type="dxa"/>
            <w:vAlign w:val="bottom"/>
            <w:gridSpan w:val="2"/>
          </w:tcPr>
          <w:p>
            <w:pPr>
              <w:jc w:val="center"/>
              <w:ind w:right="120"/>
              <w:spacing w:after="0" w:line="95" w:lineRule="exact"/>
              <w:rPr>
                <w:sz w:val="20"/>
                <w:szCs w:val="20"/>
                <w:color w:val="auto"/>
              </w:rPr>
            </w:pPr>
            <w:r>
              <w:rPr>
                <w:rFonts w:ascii="Arial" w:cs="Arial" w:eastAsia="Arial" w:hAnsi="Arial"/>
                <w:sz w:val="11"/>
                <w:szCs w:val="11"/>
                <w:b w:val="1"/>
                <w:bCs w:val="1"/>
                <w:color w:val="auto"/>
              </w:rPr>
              <w:t>of Stock</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80" w:type="dxa"/>
            <w:vAlign w:val="bottom"/>
            <w:vMerge w:val="restart"/>
          </w:tcPr>
          <w:p>
            <w:pPr>
              <w:spacing w:after="0"/>
              <w:rPr>
                <w:sz w:val="3"/>
                <w:szCs w:val="3"/>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5"/>
                <w:szCs w:val="15"/>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w w:val="88"/>
              </w:rPr>
              <w:t>Threshold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Target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Maximum</w:t>
            </w:r>
          </w:p>
        </w:tc>
        <w:tc>
          <w:tcPr>
            <w:tcW w:w="8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8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167,143</w:t>
            </w:r>
          </w:p>
        </w:tc>
        <w:tc>
          <w:tcPr>
            <w:tcW w:w="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334,286</w:t>
            </w:r>
          </w:p>
        </w:tc>
        <w:tc>
          <w:tcPr>
            <w:tcW w:w="6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501,429</w:t>
            </w: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Ronald M. Faris</w:t>
            </w:r>
          </w:p>
        </w:tc>
        <w:tc>
          <w:tcPr>
            <w:tcW w:w="18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137,947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275,895</w:t>
            </w:r>
          </w:p>
        </w:tc>
        <w:tc>
          <w:tcPr>
            <w:tcW w:w="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413,842</w:t>
            </w:r>
          </w:p>
        </w:tc>
        <w:tc>
          <w:tcPr>
            <w:tcW w:w="8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18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33,562</w:t>
            </w:r>
          </w:p>
        </w:tc>
        <w:tc>
          <w:tcPr>
            <w:tcW w:w="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67,123</w:t>
            </w:r>
          </w:p>
        </w:tc>
        <w:tc>
          <w:tcPr>
            <w:tcW w:w="6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100,685</w:t>
            </w: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W. Michael Linn</w:t>
            </w:r>
          </w:p>
        </w:tc>
        <w:tc>
          <w:tcPr>
            <w:tcW w:w="18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140,000</w:t>
            </w:r>
          </w:p>
        </w:tc>
        <w:tc>
          <w:tcPr>
            <w:tcW w:w="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210,000</w:t>
            </w:r>
          </w:p>
        </w:tc>
        <w:tc>
          <w:tcPr>
            <w:tcW w:w="8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EAF9E8"/>
          </w:tcPr>
          <w:p>
            <w:pPr>
              <w:spacing w:after="0"/>
              <w:rPr>
                <w:sz w:val="20"/>
                <w:szCs w:val="20"/>
                <w:color w:val="auto"/>
              </w:rPr>
            </w:pPr>
            <w:r>
              <w:rPr>
                <w:rFonts w:ascii="Arial" w:cs="Arial" w:eastAsia="Arial" w:hAnsi="Arial"/>
                <w:sz w:val="18"/>
                <w:szCs w:val="18"/>
                <w:color w:val="auto"/>
              </w:rPr>
              <w:t>Robert J. Leist, Jr.</w:t>
            </w:r>
          </w:p>
        </w:tc>
        <w:tc>
          <w:tcPr>
            <w:tcW w:w="18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39,065</w:t>
            </w:r>
          </w:p>
        </w:tc>
        <w:tc>
          <w:tcPr>
            <w:tcW w:w="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78,130</w:t>
            </w:r>
          </w:p>
        </w:tc>
        <w:tc>
          <w:tcPr>
            <w:tcW w:w="60" w:type="dxa"/>
            <w:vAlign w:val="bottom"/>
            <w:shd w:val="clear" w:color="auto" w:fill="EAF9E8"/>
          </w:tcPr>
          <w:p>
            <w:pPr>
              <w:spacing w:after="0"/>
              <w:rPr>
                <w:sz w:val="18"/>
                <w:szCs w:val="18"/>
                <w:color w:val="auto"/>
              </w:rPr>
            </w:pPr>
          </w:p>
        </w:tc>
        <w:tc>
          <w:tcPr>
            <w:tcW w:w="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117,195</w:t>
            </w: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40" w:type="dxa"/>
            <w:vAlign w:val="bottom"/>
            <w:shd w:val="clear" w:color="auto" w:fill="EAF9E8"/>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960" w:type="dxa"/>
            <w:vAlign w:val="bottom"/>
            <w:shd w:val="clear" w:color="auto" w:fill="EAF9E8"/>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William B. Shepro</w:t>
            </w:r>
          </w:p>
        </w:tc>
        <w:tc>
          <w:tcPr>
            <w:tcW w:w="1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83,867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167,734</w:t>
            </w:r>
          </w:p>
        </w:tc>
        <w:tc>
          <w:tcPr>
            <w:tcW w:w="6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251,601</w:t>
            </w:r>
          </w:p>
        </w:tc>
        <w:tc>
          <w:tcPr>
            <w:tcW w:w="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580" w:hanging="572"/>
        <w:spacing w:after="0" w:line="236" w:lineRule="auto"/>
        <w:tabs>
          <w:tab w:leader="none" w:pos="580"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These figures represent the potential non-equity compensation that may have been earned by each respective executive officer in 2006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2006 is set forth in the “Non-Equity Incentive Plan Compensation” column of the Summary Compensation Table above.</w:t>
      </w:r>
    </w:p>
    <w:p>
      <w:pPr>
        <w:spacing w:after="0" w:line="143" w:lineRule="exact"/>
        <w:rPr>
          <w:rFonts w:ascii="Arial" w:cs="Arial" w:eastAsia="Arial" w:hAnsi="Arial"/>
          <w:sz w:val="28"/>
          <w:szCs w:val="28"/>
          <w:color w:val="auto"/>
          <w:vertAlign w:val="superscript"/>
        </w:rPr>
      </w:pPr>
    </w:p>
    <w:p>
      <w:pPr>
        <w:jc w:val="both"/>
        <w:ind w:left="580" w:hanging="572"/>
        <w:spacing w:after="0" w:line="259" w:lineRule="auto"/>
        <w:tabs>
          <w:tab w:leader="none" w:pos="58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Although the Compensation Committee approved grants of equity compensation to our executive officers for service in 2006, these awards remain subject to shareholder approval. Pursuant to Securities and Exchange Commission guidance, these awards are not reflected in this table as no compensation cost was recognized in the financial statements for 2006 pursuant to FAS 123(R). A total of 54,436 shares of restricted stock and 265,215 option awards (subject to shareholder approval of the 2007 Equity Incentive Plan) were granted to the executive officers in the first quarter of 2007 by the Compensation Committee for service in 2006 and are not reflected on this table. If the 2007 Equity Incentive Plan is approved by our stockholders at the Annual Meeting, these awards will be reported in this table in our proxy statement for our 2008 Annual Meeting of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regarding outstanding equity awards at December 31, 2006 for the individuals named in the Summary Compensation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Option Awards</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gridSpan w:val="2"/>
          </w:tcPr>
          <w:p>
            <w:pPr>
              <w:ind w:left="620"/>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tcPr>
          <w:p>
            <w:pPr>
              <w:spacing w:after="0"/>
              <w:rPr>
                <w:sz w:val="15"/>
                <w:szCs w:val="15"/>
                <w:color w:val="auto"/>
              </w:rPr>
            </w:pPr>
          </w:p>
        </w:tc>
      </w:tr>
      <w:tr>
        <w:trPr>
          <w:trHeight w:val="95"/>
        </w:trPr>
        <w:tc>
          <w:tcPr>
            <w:tcW w:w="21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37"/>
        </w:trPr>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r>
      <w:tr>
        <w:trPr>
          <w:trHeight w:val="149"/>
        </w:trPr>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r>
      <w:tr>
        <w:trPr>
          <w:trHeight w:val="149"/>
        </w:trPr>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r>
      <w:tr>
        <w:trPr>
          <w:trHeight w:val="149"/>
        </w:trPr>
        <w:tc>
          <w:tcPr>
            <w:tcW w:w="2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2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 Value of</w:t>
            </w:r>
          </w:p>
        </w:tc>
      </w:tr>
      <w:tr>
        <w:trPr>
          <w:trHeight w:val="149"/>
        </w:trPr>
        <w:tc>
          <w:tcPr>
            <w:tcW w:w="2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2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w:t>
            </w:r>
          </w:p>
        </w:tc>
      </w:tr>
      <w:tr>
        <w:trPr>
          <w:trHeight w:val="149"/>
        </w:trPr>
        <w:tc>
          <w:tcPr>
            <w:tcW w:w="2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80" w:type="dxa"/>
            <w:vAlign w:val="bottom"/>
          </w:tcPr>
          <w:p>
            <w:pPr>
              <w:spacing w:after="0"/>
              <w:rPr>
                <w:sz w:val="12"/>
                <w:szCs w:val="12"/>
                <w:color w:val="auto"/>
              </w:rPr>
            </w:pP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Have Not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74"/>
        </w:trPr>
        <w:tc>
          <w:tcPr>
            <w:tcW w:w="2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80" w:type="dxa"/>
            <w:vAlign w:val="bottom"/>
          </w:tcPr>
          <w:p>
            <w:pPr>
              <w:spacing w:after="0"/>
              <w:rPr>
                <w:sz w:val="15"/>
                <w:szCs w:val="15"/>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82"/>
              </w:rPr>
              <w:t>Vested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78"/>
              </w:rPr>
              <w:t>Vested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862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shd w:val="clear" w:color="auto" w:fill="EAF9E8"/>
          </w:tcPr>
          <w:p>
            <w:pPr>
              <w:spacing w:after="0"/>
              <w:rPr>
                <w:sz w:val="20"/>
                <w:szCs w:val="20"/>
                <w:color w:val="auto"/>
              </w:rPr>
            </w:pPr>
            <w:r>
              <w:rPr>
                <w:rFonts w:ascii="Arial" w:cs="Arial" w:eastAsia="Arial" w:hAnsi="Arial"/>
                <w:sz w:val="14"/>
                <w:szCs w:val="14"/>
                <w:color w:val="auto"/>
              </w:rPr>
              <w:t>William C. Erbey</w:t>
            </w: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235,756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14,143</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34,549</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197,537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141,475</w:t>
            </w:r>
          </w:p>
        </w:tc>
        <w:tc>
          <w:tcPr>
            <w:tcW w:w="100" w:type="dxa"/>
            <w:vAlign w:val="bottom"/>
            <w:shd w:val="clear" w:color="auto" w:fill="EAF9E8"/>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67,750</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16,938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16,938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38,207</w:t>
            </w:r>
          </w:p>
        </w:tc>
        <w:tc>
          <w:tcPr>
            <w:tcW w:w="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25,472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25,472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19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0" w:type="dxa"/>
            <w:vAlign w:val="bottom"/>
            <w:shd w:val="clear" w:color="auto" w:fill="EAF9E8"/>
          </w:tcPr>
          <w:p>
            <w:pPr>
              <w:jc w:val="right"/>
              <w:spacing w:after="0" w:line="138" w:lineRule="exact"/>
              <w:rPr>
                <w:sz w:val="20"/>
                <w:szCs w:val="20"/>
                <w:color w:val="auto"/>
              </w:rPr>
            </w:pPr>
            <w:r>
              <w:rPr>
                <w:rFonts w:ascii="Arial" w:cs="Arial" w:eastAsia="Arial" w:hAnsi="Arial"/>
                <w:sz w:val="14"/>
                <w:szCs w:val="14"/>
                <w:color w:val="auto"/>
              </w:rPr>
              <w:t>19,149</w:t>
            </w:r>
          </w:p>
        </w:tc>
        <w:tc>
          <w:tcPr>
            <w:tcW w:w="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0" w:type="dxa"/>
            <w:vAlign w:val="bottom"/>
            <w:shd w:val="clear" w:color="auto" w:fill="EAF9E8"/>
          </w:tcPr>
          <w:p>
            <w:pPr>
              <w:jc w:val="right"/>
              <w:spacing w:after="0" w:line="138" w:lineRule="exact"/>
              <w:rPr>
                <w:sz w:val="20"/>
                <w:szCs w:val="20"/>
                <w:color w:val="auto"/>
              </w:rPr>
            </w:pPr>
            <w:r>
              <w:rPr>
                <w:rFonts w:ascii="Arial" w:cs="Arial" w:eastAsia="Arial" w:hAnsi="Arial"/>
                <w:sz w:val="14"/>
                <w:szCs w:val="14"/>
                <w:color w:val="auto"/>
              </w:rPr>
              <w:t>28,723</w:t>
            </w:r>
          </w:p>
        </w:tc>
        <w:tc>
          <w:tcPr>
            <w:tcW w:w="120" w:type="dxa"/>
            <w:vAlign w:val="bottom"/>
            <w:shd w:val="clear" w:color="auto" w:fill="EAF9E8"/>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Arial" w:cs="Arial" w:eastAsia="Arial" w:hAnsi="Arial"/>
                <w:sz w:val="14"/>
                <w:szCs w:val="14"/>
                <w:color w:val="auto"/>
              </w:rPr>
              <w:t>28,723</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59"/>
        </w:trPr>
        <w:tc>
          <w:tcPr>
            <w:tcW w:w="1960" w:type="dxa"/>
            <w:vAlign w:val="bottom"/>
            <w:shd w:val="clear" w:color="auto" w:fill="EAF9E8"/>
          </w:tcPr>
          <w:p>
            <w:pPr>
              <w:spacing w:after="0"/>
              <w:rPr>
                <w:sz w:val="13"/>
                <w:szCs w:val="13"/>
                <w:color w:val="auto"/>
              </w:rPr>
            </w:pPr>
          </w:p>
        </w:tc>
        <w:tc>
          <w:tcPr>
            <w:tcW w:w="2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8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13,961</w:t>
            </w: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8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55,844</w:t>
            </w:r>
          </w:p>
        </w:tc>
        <w:tc>
          <w:tcPr>
            <w:tcW w:w="120" w:type="dxa"/>
            <w:vAlign w:val="bottom"/>
            <w:shd w:val="clear" w:color="auto" w:fill="EAF9E8"/>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55,844</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1960" w:type="dxa"/>
            <w:vAlign w:val="bottom"/>
          </w:tcPr>
          <w:p>
            <w:pPr>
              <w:spacing w:after="0" w:line="138" w:lineRule="exact"/>
              <w:rPr>
                <w:sz w:val="20"/>
                <w:szCs w:val="20"/>
                <w:color w:val="auto"/>
              </w:rPr>
            </w:pPr>
            <w:r>
              <w:rPr>
                <w:rFonts w:ascii="Arial" w:cs="Arial" w:eastAsia="Arial" w:hAnsi="Arial"/>
                <w:sz w:val="14"/>
                <w:szCs w:val="14"/>
                <w:color w:val="auto"/>
              </w:rPr>
              <w:t>Ronald M. Faris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39,293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11,524</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30,184</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152,409</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119,981</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63,562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40,170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26,780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26,780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14,920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22,381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22,381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960" w:type="dxa"/>
            <w:vAlign w:val="bottom"/>
          </w:tcPr>
          <w:p>
            <w:pPr>
              <w:spacing w:after="0"/>
              <w:rPr>
                <w:sz w:val="13"/>
                <w:szCs w:val="13"/>
                <w:color w:val="auto"/>
              </w:rPr>
            </w:pPr>
          </w:p>
        </w:tc>
        <w:tc>
          <w:tcPr>
            <w:tcW w:w="122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rPr>
              <w:t>12,101</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48,403</w:t>
            </w: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48,403</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 Michael Linn</w:t>
            </w: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19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16,324</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24,486</w:t>
            </w:r>
          </w:p>
        </w:tc>
        <w:tc>
          <w:tcPr>
            <w:tcW w:w="10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24,486</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59"/>
        </w:trPr>
        <w:tc>
          <w:tcPr>
            <w:tcW w:w="1960" w:type="dxa"/>
            <w:vAlign w:val="bottom"/>
            <w:shd w:val="clear" w:color="auto" w:fill="EAF9E8"/>
          </w:tcPr>
          <w:p>
            <w:pPr>
              <w:spacing w:after="0"/>
              <w:rPr>
                <w:sz w:val="13"/>
                <w:szCs w:val="13"/>
                <w:color w:val="auto"/>
              </w:rPr>
            </w:pPr>
          </w:p>
        </w:tc>
        <w:tc>
          <w:tcPr>
            <w:tcW w:w="200" w:type="dxa"/>
            <w:vAlign w:val="bottom"/>
            <w:shd w:val="clear" w:color="auto" w:fill="EAF9E8"/>
          </w:tcPr>
          <w:p>
            <w:pPr>
              <w:spacing w:after="0"/>
              <w:rPr>
                <w:sz w:val="13"/>
                <w:szCs w:val="13"/>
                <w:color w:val="auto"/>
              </w:rPr>
            </w:pPr>
          </w:p>
        </w:tc>
        <w:tc>
          <w:tcPr>
            <w:tcW w:w="10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2,347</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9,389</w:t>
            </w: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9,389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David J. Gunter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19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Robert J. Leist, Jr.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19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0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5,435</w:t>
            </w:r>
          </w:p>
        </w:tc>
        <w:tc>
          <w:tcPr>
            <w:tcW w:w="10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5,435</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59"/>
        </w:trPr>
        <w:tc>
          <w:tcPr>
            <w:tcW w:w="1960" w:type="dxa"/>
            <w:vAlign w:val="bottom"/>
            <w:shd w:val="clear" w:color="auto" w:fill="EAF9E8"/>
          </w:tcPr>
          <w:p>
            <w:pPr>
              <w:spacing w:after="0"/>
              <w:rPr>
                <w:sz w:val="13"/>
                <w:szCs w:val="13"/>
                <w:color w:val="auto"/>
              </w:rPr>
            </w:pPr>
          </w:p>
        </w:tc>
        <w:tc>
          <w:tcPr>
            <w:tcW w:w="2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0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9,878</w:t>
            </w: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9,878</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1960" w:type="dxa"/>
            <w:vAlign w:val="bottom"/>
          </w:tcPr>
          <w:p>
            <w:pPr>
              <w:spacing w:after="0" w:line="138" w:lineRule="exact"/>
              <w:rPr>
                <w:sz w:val="20"/>
                <w:szCs w:val="20"/>
                <w:color w:val="auto"/>
              </w:rPr>
            </w:pPr>
            <w:r>
              <w:rPr>
                <w:rFonts w:ascii="Arial" w:cs="Arial" w:eastAsia="Arial" w:hAnsi="Arial"/>
                <w:sz w:val="14"/>
                <w:szCs w:val="14"/>
                <w:color w:val="auto"/>
              </w:rPr>
              <w:t>William B. Shepro</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2,632</w:t>
            </w:r>
          </w:p>
        </w:tc>
        <w:tc>
          <w:tcPr>
            <w:tcW w:w="10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34,136</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40,000</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34,326</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16,070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17,930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11,953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11,953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spacing w:after="0"/>
              <w:rPr>
                <w:sz w:val="12"/>
                <w:szCs w:val="12"/>
                <w:color w:val="auto"/>
              </w:rPr>
            </w:pPr>
          </w:p>
        </w:tc>
        <w:tc>
          <w:tcPr>
            <w:tcW w:w="12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14,461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21,691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21,691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1960" w:type="dxa"/>
            <w:vAlign w:val="bottom"/>
          </w:tcPr>
          <w:p>
            <w:pPr>
              <w:spacing w:after="0"/>
              <w:rPr>
                <w:sz w:val="14"/>
                <w:szCs w:val="14"/>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7,937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31,750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31,750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jc w:val="right"/>
              <w:ind w:right="212"/>
              <w:spacing w:after="0"/>
              <w:rPr>
                <w:sz w:val="20"/>
                <w:szCs w:val="20"/>
                <w:color w:val="auto"/>
              </w:rPr>
            </w:pPr>
            <w:r>
              <w:rPr>
                <w:rFonts w:ascii="Arial" w:cs="Arial" w:eastAsia="Arial" w:hAnsi="Arial"/>
                <w:sz w:val="14"/>
                <w:szCs w:val="14"/>
                <w:color w:val="auto"/>
                <w:w w:val="82"/>
              </w:rPr>
              <w:t>20.35000</w:t>
            </w:r>
          </w:p>
        </w:tc>
        <w:tc>
          <w:tcPr>
            <w:tcW w:w="1080" w:type="dxa"/>
            <w:vAlign w:val="bottom"/>
          </w:tcPr>
          <w:p>
            <w:pPr>
              <w:jc w:val="right"/>
              <w:ind w:right="272"/>
              <w:spacing w:after="0"/>
              <w:rPr>
                <w:sz w:val="20"/>
                <w:szCs w:val="20"/>
                <w:color w:val="auto"/>
              </w:rPr>
            </w:pPr>
            <w:r>
              <w:rPr>
                <w:rFonts w:ascii="Arial" w:cs="Arial" w:eastAsia="Arial" w:hAnsi="Arial"/>
                <w:sz w:val="14"/>
                <w:szCs w:val="14"/>
                <w:color w:val="auto"/>
              </w:rPr>
              <w:t>01/31/08</w:t>
            </w:r>
          </w:p>
        </w:tc>
        <w:tc>
          <w:tcPr>
            <w:tcW w:w="740" w:type="dxa"/>
            <w:vAlign w:val="bottom"/>
          </w:tcPr>
          <w:p>
            <w:pPr>
              <w:jc w:val="right"/>
              <w:spacing w:after="0"/>
              <w:rPr>
                <w:sz w:val="20"/>
                <w:szCs w:val="20"/>
                <w:color w:val="auto"/>
              </w:rPr>
            </w:pPr>
            <w:r>
              <w:rPr>
                <w:rFonts w:ascii="Arial" w:cs="Arial" w:eastAsia="Arial" w:hAnsi="Arial"/>
                <w:sz w:val="14"/>
                <w:szCs w:val="14"/>
                <w:color w:val="auto"/>
              </w:rPr>
              <w:t>4,793</w:t>
            </w:r>
          </w:p>
        </w:tc>
        <w:tc>
          <w:tcPr>
            <w:tcW w:w="3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rPr>
                <w:sz w:val="20"/>
                <w:szCs w:val="20"/>
                <w:color w:val="auto"/>
              </w:rPr>
            </w:pPr>
            <w:r>
              <w:rPr>
                <w:rFonts w:ascii="Arial" w:cs="Arial" w:eastAsia="Arial" w:hAnsi="Arial"/>
                <w:sz w:val="14"/>
                <w:szCs w:val="14"/>
                <w:color w:val="auto"/>
              </w:rPr>
              <w:t>76,017</w:t>
            </w:r>
          </w:p>
        </w:tc>
        <w:tc>
          <w:tcPr>
            <w:tcW w:w="760" w:type="dxa"/>
            <w:vAlign w:val="bottom"/>
          </w:tcPr>
          <w:p>
            <w:pPr>
              <w:jc w:val="right"/>
              <w:spacing w:after="0"/>
              <w:rPr>
                <w:sz w:val="20"/>
                <w:szCs w:val="20"/>
                <w:color w:val="auto"/>
              </w:rPr>
            </w:pPr>
            <w:r>
              <w:rPr>
                <w:rFonts w:ascii="Arial" w:cs="Arial" w:eastAsia="Arial" w:hAnsi="Arial"/>
                <w:sz w:val="14"/>
                <w:szCs w:val="14"/>
                <w:color w:val="auto"/>
              </w:rPr>
              <w:t>4,793</w:t>
            </w: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76,017</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2"/>
              </w:rPr>
              <w:t>12.31250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01/31/09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13,945</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221,168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13,945</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221,168</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6.25000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01/31/10</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4.08625</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01/31/11</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5.78900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01/31/12</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1.87000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01/31/13</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6.18000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01/31/14</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6.57000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01/31/15</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6.10000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01/31/16</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2"/>
              </w:rPr>
              <w:t>20.35000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01/31/08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3,734</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59,221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3,734</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59,221</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2"/>
              </w:rPr>
              <w:t>12.31250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01/31/09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12,087</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191,700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12,087</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191,700</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6.25000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01/31/10</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4.08625</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01/31/11</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2"/>
              </w:rPr>
              <w:t>12.55000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10/31/11</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5.78900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01/31/12</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1.87000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01/31/13</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6.18000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01/31/14</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6.57000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01/31/15</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6.10000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01/31/16</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2"/>
              </w:rPr>
              <w:t>10.60000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03/08/14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4,086</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64,804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4,086</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64,804</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6.57000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2,345</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37,192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2,345</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37,192</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6.10000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01/31/16</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1.87000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01/31/13</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906</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14,369</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906</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14,369</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6.18000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2,467</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39,127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2,467</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39,127</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6.57000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01/31/15</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6.10000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01/31/16</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6.25000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3,619</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57,397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3,619</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57,397</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4.08625</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7,928</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125,738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7,928</w:t>
            </w:r>
          </w:p>
        </w:tc>
        <w:tc>
          <w:tcPr>
            <w:tcW w:w="3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125,738</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2"/>
              </w:rPr>
              <w:t>12.55000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10/31/11</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5.78900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01/31/12</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1.87000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01/31/13</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6.18000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01/31/14</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6.57000</w:t>
            </w:r>
          </w:p>
        </w:tc>
        <w:tc>
          <w:tcPr>
            <w:tcW w:w="10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01/31/15</w:t>
            </w:r>
          </w:p>
        </w:tc>
        <w:tc>
          <w:tcPr>
            <w:tcW w:w="74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780" w:type="dxa"/>
            <w:vAlign w:val="bottom"/>
          </w:tcPr>
          <w:p>
            <w:pPr>
              <w:jc w:val="right"/>
              <w:ind w:right="212"/>
              <w:spacing w:after="0"/>
              <w:rPr>
                <w:sz w:val="20"/>
                <w:szCs w:val="20"/>
                <w:color w:val="auto"/>
              </w:rPr>
            </w:pPr>
            <w:r>
              <w:rPr>
                <w:rFonts w:ascii="Arial" w:cs="Arial" w:eastAsia="Arial" w:hAnsi="Arial"/>
                <w:sz w:val="14"/>
                <w:szCs w:val="14"/>
                <w:color w:val="auto"/>
                <w:w w:val="94"/>
              </w:rPr>
              <w:t>6.10000</w:t>
            </w:r>
          </w:p>
        </w:tc>
        <w:tc>
          <w:tcPr>
            <w:tcW w:w="1080" w:type="dxa"/>
            <w:vAlign w:val="bottom"/>
          </w:tcPr>
          <w:p>
            <w:pPr>
              <w:jc w:val="right"/>
              <w:ind w:right="272"/>
              <w:spacing w:after="0"/>
              <w:rPr>
                <w:sz w:val="20"/>
                <w:szCs w:val="20"/>
                <w:color w:val="auto"/>
              </w:rPr>
            </w:pPr>
            <w:r>
              <w:rPr>
                <w:rFonts w:ascii="Arial" w:cs="Arial" w:eastAsia="Arial" w:hAnsi="Arial"/>
                <w:sz w:val="14"/>
                <w:szCs w:val="14"/>
                <w:color w:val="auto"/>
              </w:rPr>
              <w:t>01/31/16</w:t>
            </w:r>
          </w:p>
        </w:tc>
        <w:tc>
          <w:tcPr>
            <w:tcW w:w="740" w:type="dxa"/>
            <w:vAlign w:val="bottom"/>
          </w:tcPr>
          <w:p>
            <w:pPr>
              <w:ind w:left="4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-3309620</wp:posOffset>
            </wp:positionV>
            <wp:extent cx="7246620" cy="848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489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-1517015</wp:posOffset>
            </wp:positionV>
            <wp:extent cx="7246620" cy="283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-1139825</wp:posOffset>
            </wp:positionV>
            <wp:extent cx="724662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280" w:space="360"/>
            <w:col w:w="5760"/>
          </w:cols>
          <w:pgMar w:left="240" w:top="12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2006 for the individuals named in the Summary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4"/>
          </w:tcPr>
          <w:p>
            <w:pPr>
              <w:jc w:val="right"/>
              <w:ind w:right="972"/>
              <w:spacing w:after="0"/>
              <w:rPr>
                <w:sz w:val="20"/>
                <w:szCs w:val="20"/>
                <w:color w:val="auto"/>
              </w:rPr>
            </w:pPr>
            <w:r>
              <w:rPr>
                <w:rFonts w:ascii="Arial" w:cs="Arial" w:eastAsia="Arial" w:hAnsi="Arial"/>
                <w:sz w:val="18"/>
                <w:szCs w:val="18"/>
                <w:b w:val="1"/>
                <w:bCs w:val="1"/>
                <w:color w:val="auto"/>
              </w:rPr>
              <w:t>Option Awards</w:t>
            </w:r>
          </w:p>
        </w:tc>
        <w:tc>
          <w:tcPr>
            <w:tcW w:w="200" w:type="dxa"/>
            <w:vAlign w:val="bottom"/>
          </w:tcPr>
          <w:p>
            <w:pPr>
              <w:spacing w:after="0"/>
              <w:rPr>
                <w:sz w:val="19"/>
                <w:szCs w:val="19"/>
                <w:color w:val="auto"/>
              </w:rPr>
            </w:pPr>
          </w:p>
        </w:tc>
        <w:tc>
          <w:tcPr>
            <w:tcW w:w="3340" w:type="dxa"/>
            <w:vAlign w:val="bottom"/>
            <w:gridSpan w:val="5"/>
          </w:tcPr>
          <w:p>
            <w:pPr>
              <w:ind w:left="10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 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Value Realized</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Acquired 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Realized</w:t>
            </w:r>
          </w:p>
        </w:tc>
        <w:tc>
          <w:tcPr>
            <w:tcW w:w="0" w:type="dxa"/>
            <w:vAlign w:val="bottom"/>
          </w:tcPr>
          <w:p>
            <w:pPr>
              <w:spacing w:after="0"/>
              <w:rPr>
                <w:sz w:val="1"/>
                <w:szCs w:val="1"/>
                <w:color w:val="auto"/>
              </w:rPr>
            </w:pPr>
          </w:p>
        </w:tc>
      </w:tr>
      <w:tr>
        <w:trPr>
          <w:trHeight w:val="228"/>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b w:val="1"/>
                <w:bCs w:val="1"/>
                <w:color w:val="auto"/>
              </w:rPr>
              <w:t>on Exercise</w:t>
            </w:r>
          </w:p>
        </w:tc>
        <w:tc>
          <w:tcPr>
            <w:tcW w:w="2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on Vesting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231,580</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1,117,374</w:t>
            </w:r>
          </w:p>
        </w:tc>
        <w:tc>
          <w:tcPr>
            <w:tcW w:w="1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18,135</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179,621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Ronald M. Faris</w:t>
            </w:r>
          </w:p>
        </w:tc>
        <w:tc>
          <w:tcPr>
            <w:tcW w:w="1520" w:type="dxa"/>
            <w:vAlign w:val="bottom"/>
          </w:tcPr>
          <w:p>
            <w:pPr>
              <w:jc w:val="right"/>
              <w:spacing w:after="0"/>
              <w:rPr>
                <w:sz w:val="20"/>
                <w:szCs w:val="20"/>
                <w:color w:val="auto"/>
              </w:rPr>
            </w:pPr>
            <w:r>
              <w:rPr>
                <w:rFonts w:ascii="Arial" w:cs="Arial" w:eastAsia="Arial" w:hAnsi="Arial"/>
                <w:sz w:val="18"/>
                <w:szCs w:val="18"/>
                <w:color w:val="auto"/>
              </w:rPr>
              <w:t>21,052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73,577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16,474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163,295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W. Michael Linn</w:t>
            </w:r>
          </w:p>
        </w:tc>
        <w:tc>
          <w:tcPr>
            <w:tcW w:w="15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5,257</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David J. Gunter</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Robert J. Leist, Jr.</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28,821</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282,700</w:t>
            </w:r>
          </w:p>
        </w:tc>
        <w:tc>
          <w:tcPr>
            <w:tcW w:w="1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3,245</w:t>
            </w:r>
          </w:p>
        </w:tc>
        <w:tc>
          <w:tcPr>
            <w:tcW w:w="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32,147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William B. Shepro</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10,573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15 through 23 of this proxy statement with management.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review and discussion, the Compensation Committee recommends to the Board of Directors that the Compensation Discussion and Analysis be included in Ocwen’s annual report on Form 10-K for the year ended December 31, 2006 and in this proxy statement.</w:t>
      </w:r>
    </w:p>
    <w:p>
      <w:pPr>
        <w:spacing w:after="0" w:line="180"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March 14, 2007</w:t>
      </w:r>
      <w:r>
        <w:rPr>
          <w:sz w:val="20"/>
          <w:szCs w:val="20"/>
          <w:color w:val="auto"/>
        </w:rPr>
        <w:tab/>
      </w:r>
      <w:r>
        <w:rPr>
          <w:rFonts w:ascii="Arial" w:cs="Arial" w:eastAsia="Arial" w:hAnsi="Arial"/>
          <w:sz w:val="16"/>
          <w:szCs w:val="16"/>
          <w:color w:val="auto"/>
        </w:rPr>
        <w:t>W. C. Martin, Chairman</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Ronald J. Korn, Director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Barry N. Wish, Director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APPROVE 2007 EQUITY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Two)</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On January 30, 2007, our Board of Directors adopted, subject to your approval, the 2007 Equity Incentive Plan to replace the 1991 Non-Qualified Stock Option Plan for future grants. The Board of Directors recommends that you approve the new plan, as it encourages eligible employees to apply their best efforts toward our success. We are also able to use the plan to attract talented persons to join our company and retain existing eligible employees.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proposed plan is attached as Appendix A to this proxy statement. The following is a summary of the main features of this new plan. We encourage you to read the full text of the plan before voting.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2007 Equity Incentive Plan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purposes of the Equity Incentive Plan are to attract, to retain and to motivate employees of outstanding ability, and to align their interests with those of our shareholders. The aggregate number of shares of our common stock that may be issued under the Equity Incentive Plan is 20,000,000 shares, subject to proportionate adjustment in the event of stock splits and similar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Equity Incentive Plan will be administered by the Compensation Committee of the Board of Directors consisting of at least three Directors. Each member of the committee must be an “outside director” as defined in Section 162(m) of the Internal Revenue Code of 1986, as amended (the “Code”), a “non-employee director” as defined in Rule 16b-3 under the Securities Exchange Act of 1934, as amended (the “Exchange Act”) and an “independent” director under the rules of the New York Stock Exchange. The committee has full authority, in its discretion, to interpret the Equity Incentive Plan and to determine the persons who will receive awards and the number of shares to be covered by each award. It is expected that all employees will be eligible for participation under the Equity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Equity Incentive Plan provides for the grant of stock options. A stock option becomes exercisable at such time or times and/or upon the occurrence of such event or events as the Compensation Committee may determine. No stock option may be exercised after the expiration of ten years from the date of grant.</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option price for each stock option will be payable to us in full in cash at the time of exercise. No stock option granted under the Equity Incentive Plan is transferable other than by will or by the laws of descent and distribution, and a stock option may be exercised during an optionee’s lifetime only by the optionee. Subject to the foregoing and the other provisions of the Equity Incentive Plan, stock options granted under the Equity Incentive Plan to participants may be exercised at such times and in such amounts and be subject to such restrictions and other terms and conditions, if any, as shall be determined, in its discretion, by the Compensation Committee.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8"/>
          <w:szCs w:val="18"/>
          <w:color w:val="auto"/>
        </w:rPr>
        <w:t>The following table provides information relating to the awards that have been approved by the Compensation Committee, but are subject to shareholder approval of the 2007 Equity Incentive Plan.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60" w:type="dxa"/>
            <w:vAlign w:val="bottom"/>
            <w:gridSpan w:val="4"/>
          </w:tcPr>
          <w:p>
            <w:pPr>
              <w:ind w:left="1500"/>
              <w:spacing w:after="0"/>
              <w:rPr>
                <w:sz w:val="20"/>
                <w:szCs w:val="20"/>
                <w:color w:val="auto"/>
              </w:rPr>
            </w:pPr>
            <w:r>
              <w:rPr>
                <w:rFonts w:ascii="Arial" w:cs="Arial" w:eastAsia="Arial" w:hAnsi="Arial"/>
                <w:sz w:val="18"/>
                <w:szCs w:val="18"/>
                <w:b w:val="1"/>
                <w:bCs w:val="1"/>
                <w:color w:val="auto"/>
              </w:rPr>
              <w:t>Option Awards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Value of Award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Award Subject to</w:t>
            </w:r>
          </w:p>
        </w:tc>
        <w:tc>
          <w:tcPr>
            <w:tcW w:w="18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Subject to</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Shareholder</w:t>
            </w:r>
          </w:p>
        </w:tc>
        <w:tc>
          <w:tcPr>
            <w:tcW w:w="18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Shareholder</w:t>
            </w:r>
          </w:p>
        </w:tc>
        <w:tc>
          <w:tcPr>
            <w:tcW w:w="0" w:type="dxa"/>
            <w:vAlign w:val="bottom"/>
          </w:tcPr>
          <w:p>
            <w:pPr>
              <w:spacing w:after="0"/>
              <w:rPr>
                <w:sz w:val="1"/>
                <w:szCs w:val="1"/>
                <w:color w:val="auto"/>
              </w:rPr>
            </w:pPr>
          </w:p>
        </w:tc>
      </w:tr>
      <w:tr>
        <w:trPr>
          <w:trHeight w:val="37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of Plan</w:t>
            </w:r>
          </w:p>
        </w:tc>
        <w:tc>
          <w:tcPr>
            <w:tcW w:w="180" w:type="dxa"/>
            <w:vAlign w:val="bottom"/>
          </w:tcPr>
          <w:p>
            <w:pPr>
              <w:spacing w:after="0"/>
              <w:rPr>
                <w:sz w:val="24"/>
                <w:szCs w:val="2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 xml:space="preserve">Approval of Plan </w:t>
            </w:r>
            <w:r>
              <w:rPr>
                <w:rFonts w:ascii="Arial" w:cs="Arial" w:eastAsia="Arial" w:hAnsi="Arial"/>
                <w:sz w:val="29"/>
                <w:szCs w:val="29"/>
                <w:b w:val="1"/>
                <w:bCs w:val="1"/>
                <w:color w:val="auto"/>
                <w:w w:val="86"/>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William C. Erbey</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Chairman of the Board &amp; Chief Executive Officer</w:t>
            </w:r>
          </w:p>
        </w:tc>
        <w:tc>
          <w:tcPr>
            <w:tcW w:w="22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102,821</w:t>
            </w:r>
          </w:p>
        </w:tc>
        <w:tc>
          <w:tcPr>
            <w:tcW w:w="180" w:type="dxa"/>
            <w:vAlign w:val="bottom"/>
            <w:shd w:val="clear" w:color="auto" w:fill="EAF9E8"/>
          </w:tcPr>
          <w:p>
            <w:pPr>
              <w:spacing w:after="0"/>
              <w:rPr>
                <w:sz w:val="18"/>
                <w:szCs w:val="18"/>
                <w:color w:val="auto"/>
              </w:rPr>
            </w:pPr>
          </w:p>
        </w:tc>
        <w:tc>
          <w:tcPr>
            <w:tcW w:w="2080" w:type="dxa"/>
            <w:vAlign w:val="bottom"/>
            <w:gridSpan w:val="2"/>
            <w:shd w:val="clear" w:color="auto" w:fill="EAF9E8"/>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Ronald M. Faris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84,861</w:t>
            </w:r>
          </w:p>
        </w:tc>
        <w:tc>
          <w:tcPr>
            <w:tcW w:w="180" w:type="dxa"/>
            <w:vAlign w:val="bottom"/>
          </w:tcPr>
          <w:p>
            <w:pPr>
              <w:spacing w:after="0"/>
              <w:rPr>
                <w:sz w:val="19"/>
                <w:szCs w:val="19"/>
                <w:color w:val="auto"/>
              </w:rPr>
            </w:pPr>
          </w:p>
        </w:tc>
        <w:tc>
          <w:tcPr>
            <w:tcW w:w="20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David J. Gunter</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Chief Financial Officer &amp; Senior Vice President</w:t>
            </w:r>
          </w:p>
        </w:tc>
        <w:tc>
          <w:tcPr>
            <w:tcW w:w="22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16,861</w:t>
            </w:r>
          </w:p>
        </w:tc>
        <w:tc>
          <w:tcPr>
            <w:tcW w:w="180" w:type="dxa"/>
            <w:vAlign w:val="bottom"/>
            <w:shd w:val="clear" w:color="auto" w:fill="EAF9E8"/>
          </w:tcPr>
          <w:p>
            <w:pPr>
              <w:spacing w:after="0"/>
              <w:rPr>
                <w:sz w:val="18"/>
                <w:szCs w:val="18"/>
                <w:color w:val="auto"/>
              </w:rPr>
            </w:pPr>
          </w:p>
        </w:tc>
        <w:tc>
          <w:tcPr>
            <w:tcW w:w="2080" w:type="dxa"/>
            <w:vAlign w:val="bottom"/>
            <w:gridSpan w:val="2"/>
            <w:shd w:val="clear" w:color="auto" w:fill="EAF9E8"/>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W. Michael Linn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32,296</w:t>
            </w:r>
          </w:p>
        </w:tc>
        <w:tc>
          <w:tcPr>
            <w:tcW w:w="180" w:type="dxa"/>
            <w:vAlign w:val="bottom"/>
          </w:tcPr>
          <w:p>
            <w:pPr>
              <w:spacing w:after="0"/>
              <w:rPr>
                <w:sz w:val="19"/>
                <w:szCs w:val="19"/>
                <w:color w:val="auto"/>
              </w:rPr>
            </w:pPr>
          </w:p>
        </w:tc>
        <w:tc>
          <w:tcPr>
            <w:tcW w:w="20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Robert J. Leist, Jr.</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Senior Vice President</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80" w:type="dxa"/>
            <w:vAlign w:val="bottom"/>
            <w:gridSpan w:val="2"/>
            <w:shd w:val="clear" w:color="auto" w:fill="EAF9E8"/>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William B. Shepro</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President of Global Servicing Solutions, LLC</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28,376</w:t>
            </w:r>
          </w:p>
        </w:tc>
        <w:tc>
          <w:tcPr>
            <w:tcW w:w="180" w:type="dxa"/>
            <w:vAlign w:val="bottom"/>
          </w:tcPr>
          <w:p>
            <w:pPr>
              <w:spacing w:after="0"/>
              <w:rPr>
                <w:sz w:val="19"/>
                <w:szCs w:val="19"/>
                <w:color w:val="auto"/>
              </w:rPr>
            </w:pPr>
          </w:p>
        </w:tc>
        <w:tc>
          <w:tcPr>
            <w:tcW w:w="20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Executive Officers</w:t>
            </w:r>
          </w:p>
        </w:tc>
        <w:tc>
          <w:tcPr>
            <w:tcW w:w="22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265,215</w:t>
            </w:r>
          </w:p>
        </w:tc>
        <w:tc>
          <w:tcPr>
            <w:tcW w:w="180" w:type="dxa"/>
            <w:vAlign w:val="bottom"/>
            <w:shd w:val="clear" w:color="auto" w:fill="EAF9E8"/>
          </w:tcPr>
          <w:p>
            <w:pPr>
              <w:spacing w:after="0"/>
              <w:rPr>
                <w:sz w:val="18"/>
                <w:szCs w:val="18"/>
                <w:color w:val="auto"/>
              </w:rPr>
            </w:pPr>
          </w:p>
        </w:tc>
        <w:tc>
          <w:tcPr>
            <w:tcW w:w="2080" w:type="dxa"/>
            <w:vAlign w:val="bottom"/>
            <w:gridSpan w:val="2"/>
            <w:shd w:val="clear" w:color="auto" w:fill="EAF9E8"/>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Non-Executive Officer Directors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Non-Executive Officer Employee Group</w:t>
            </w:r>
          </w:p>
        </w:tc>
        <w:tc>
          <w:tcPr>
            <w:tcW w:w="22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210,784</w:t>
            </w:r>
          </w:p>
        </w:tc>
        <w:tc>
          <w:tcPr>
            <w:tcW w:w="180" w:type="dxa"/>
            <w:vAlign w:val="bottom"/>
            <w:shd w:val="clear" w:color="auto" w:fill="EAF9E8"/>
          </w:tcPr>
          <w:p>
            <w:pPr>
              <w:spacing w:after="0"/>
              <w:rPr>
                <w:sz w:val="18"/>
                <w:szCs w:val="18"/>
                <w:color w:val="auto"/>
              </w:rPr>
            </w:pPr>
          </w:p>
        </w:tc>
        <w:tc>
          <w:tcPr>
            <w:tcW w:w="2080" w:type="dxa"/>
            <w:vAlign w:val="bottom"/>
            <w:gridSpan w:val="2"/>
            <w:shd w:val="clear" w:color="auto" w:fill="EAF9E8"/>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580" w:hanging="572"/>
        <w:spacing w:after="0" w:line="218" w:lineRule="auto"/>
        <w:tabs>
          <w:tab w:leader="none" w:pos="5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option awards approved by the Compensation Committee in the first quarter of 2007 for service in 2006 are not deemed to be granted under the provisions of FAS 123(R) until shareholder approval is obtained at the Annual Meeting of Shareholders on May 10, 2007. Therefore, the grant-date fair value of the options, which is the basis for measuring the compensation cost to be recognized in the financial statements, cannot be determined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Restricted shares of our common stock awarded by the Compensation Committee will be subject to such restrictions (which may include restrictions on the right to transfer or encumber the shares while subject to restriction) as the Compensation Committee may impose and will be subject to forfeiture in whole or in part if certain events (which may, in the discretion of the Committee, include termination of employment and/or performance-based events) specified by the Committee occur prior to the lapse of the restrictions. The restricted stock agreement between us and the awardee will set forth the number of shares of restricted stock awarded to the awardee, the restrictions imposed thereon, the duration of such restrictions, the events the occurrence of which would cause a forfeiture of the restricted stock in whole or in part and such other terms and conditions as the Compensation Committee in its discretion deems appropriate.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Equity-based Awards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Compensation Committee shall be authorized, subject to limitations under applicable law, to grant to eligible employees, in lieu of salary or cash bonus, such other awards that are denominated or payable in, valued in whole or in part by reference to, or otherwise based on, or related to, shares of common stock, as deemed by the Committee to be consistent with the purposes of the Equity Incentive Plan, including, without limitation, purchase rights, appreciation rights, shares of common stock awarded without restrictions or conditions, convertible securities, exchangeable securities or other rights convertible or exchangeable into shares of common stock, as the Compensation Committee in its discretion may determine.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jc w:val="both"/>
        <w:spacing w:after="0" w:line="294" w:lineRule="auto"/>
        <w:rPr>
          <w:sz w:val="20"/>
          <w:szCs w:val="20"/>
          <w:color w:val="auto"/>
        </w:rPr>
      </w:pPr>
      <w:r>
        <w:rPr>
          <w:rFonts w:ascii="Arial" w:cs="Arial" w:eastAsia="Arial" w:hAnsi="Arial"/>
          <w:sz w:val="16"/>
          <w:szCs w:val="16"/>
          <w:color w:val="auto"/>
        </w:rPr>
        <w:t>The Compensation Committee shall determine the terms and conditions of other stock-based awards. Any shares of common stock or securities delivered pursuant to a purchase right granted under the Equity Incentive Plan shall be purchased for such consideration, paid for by such methods and in such forms, including, without limitation, cash, shares of common stock, or other property or any combination thereof, as the Compensation Committee shall determine. However, the value of such consideration shall not be less than the fair market value of such shares of common stock or other securities on the date of grant of the purchase right. Appreciation rights may not be granted at a price less than the fair market value of the underlying shares on the date of grant.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Except to the extent otherwise determined by the Compensation Committee, no award and no rights or interests therein shall be assignable or transferable by a participant otherwise than by will or the laws of descent and distribution, and any stock option or other right to purchase or to acquire shares of common stock granted to a participant under the Equity Incentive Plan shall be exercisable during the participant’s lifetime only by such participant.</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Board of Directors may amend, suspend or terminate the Equity Incentive Plan at any time without shareholder approval except to the extent that shareholder approval is required by law or stock exchange rules or if the amendment, alteration or other change materially increases the benefits accruing to participants, increases the number of shares available under the Equity Incentive Plan or modifies the requirements for participation under the Equity Incentive Plan or if the Board of Directors determines that shareholder approval is advisable. Without the consent of the participant, no amendment, suspension or termination of the Equity Incentive Plan or any award may materially and adversely affect the rights of such participant under any previously granted award.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Except for the awards already approved by the Compensation Committee set forth in the table above, the actual amount of awards to be received by or allocated to participants or groups under the Equity Incentive Plan is not determinable in advance because the selection of participants who receive awards under the Equity Incentive Plan, and the size and type of awards, are generally determined by the Compensation Committee in its discretion.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YOU VOTE “FOR” APPROVAL OF THE 2007 EQUITY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center"/>
        <w:spacing w:after="0" w:line="270" w:lineRule="auto"/>
        <w:rPr>
          <w:sz w:val="20"/>
          <w:szCs w:val="20"/>
          <w:color w:val="auto"/>
        </w:rPr>
      </w:pPr>
      <w:r>
        <w:rPr>
          <w:rFonts w:ascii="Arial" w:cs="Arial" w:eastAsia="Arial" w:hAnsi="Arial"/>
          <w:sz w:val="18"/>
          <w:szCs w:val="18"/>
          <w:b w:val="1"/>
          <w:bCs w:val="1"/>
          <w:color w:val="auto"/>
        </w:rPr>
        <w:t xml:space="preserve">RATIFICATION OF APPOINTMENT OF INDEPENDENT REGISTERED CERTIFIED PUBLIC ACCOUNTING FIRM </w:t>
      </w:r>
      <w:r>
        <w:rPr>
          <w:rFonts w:ascii="Arial" w:cs="Arial" w:eastAsia="Arial" w:hAnsi="Arial"/>
          <w:sz w:val="18"/>
          <w:szCs w:val="18"/>
          <w:color w:val="auto"/>
        </w:rPr>
        <w:t>(Proposal Three)</w:t>
      </w:r>
    </w:p>
    <w:p>
      <w:pPr>
        <w:spacing w:after="0" w:line="200" w:lineRule="exact"/>
        <w:rPr>
          <w:sz w:val="20"/>
          <w:szCs w:val="20"/>
          <w:color w:val="auto"/>
        </w:rPr>
      </w:pP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 Committee of our Board of Directors has appointed PricewaterhouseCoopers LLP, independent registered certified public accountants, to be our independent registered certified public accounting firm for the year ending December 31, 2007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PricewaterhouseCoopers LLP, the engagement of independent auditors will be reevaluated by the Audit Committee.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Representatives of PricewaterhouseCoopers LLP will be present at the Annual Meeting, will be given the opportunity to make a statement, if they so desire, and will be available to respond to appropriate questions from you.</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PRICEWATERHOUSECOOPERS LLP AS THE INDEPENDENT REGISTERED CERTIFIED PUBLIC ACCOUNTING FIRM FOR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Reviewed and discussed with management Ocwen’s audited financial statements as of and for the year ended December 31, 2006;</w:t>
      </w:r>
    </w:p>
    <w:p>
      <w:pPr>
        <w:spacing w:after="0" w:line="180" w:lineRule="exact"/>
        <w:rPr>
          <w:rFonts w:ascii="Arial" w:cs="Arial" w:eastAsia="Arial" w:hAnsi="Arial"/>
          <w:sz w:val="16"/>
          <w:szCs w:val="16"/>
          <w:color w:val="auto"/>
        </w:rPr>
      </w:pPr>
    </w:p>
    <w:p>
      <w:pPr>
        <w:ind w:left="1160" w:hanging="571"/>
        <w:spacing w:after="0" w:line="268"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PricewaterhouseCoopers LLP, Ocwen’s independent registered certified public accounting firm, the matters required to be discussed by Statement on Auditing Standards No. 61, “Communication with Audit Committees;” and</w:t>
      </w:r>
    </w:p>
    <w:p>
      <w:pPr>
        <w:spacing w:after="0" w:line="118"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reliance on the review and discussion referred to above, the Committee recommends to the Board of Directors that the audited financial statements be included in Ocwen’s annual report on Form 10-K for the year ended December 31, 2006.</w:t>
      </w:r>
    </w:p>
    <w:p>
      <w:pPr>
        <w:spacing w:after="0" w:line="180"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March 14, 2007</w:t>
      </w:r>
      <w:r>
        <w:rPr>
          <w:sz w:val="20"/>
          <w:szCs w:val="20"/>
          <w:color w:val="auto"/>
        </w:rPr>
        <w:tab/>
      </w:r>
      <w:r>
        <w:rPr>
          <w:rFonts w:ascii="Arial" w:cs="Arial" w:eastAsia="Arial" w:hAnsi="Arial"/>
          <w:sz w:val="15"/>
          <w:szCs w:val="15"/>
          <w:color w:val="auto"/>
        </w:rPr>
        <w:t>Ronald J. Korn, Chairman</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Martha C. Goss, Director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William H. Lacy, Director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PricewaterhouseCoopers LLP Fees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Ocwen for professional services by PricewaterhouseCoopers LLP for fiscal years 2006 and 2005: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2,223,546</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2,402,629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171,066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42,000</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84,959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AF9E8"/>
          </w:tcPr>
          <w:p>
            <w:pPr>
              <w:ind w:left="4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2,444,742</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2,872,705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69354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93545" cy="29845"/>
                    </a:xfrm>
                    <a:prstGeom prst="rect">
                      <a:avLst/>
                    </a:prstGeom>
                    <a:noFill/>
                  </pic:spPr>
                </pic:pic>
              </a:graphicData>
            </a:graphic>
          </wp:anchor>
        </w:drawing>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2006 and 2005, for the reviews of the financial statements included in Ocwen’s quarterly reports on Form 10-Q during fiscal years 2006 and 2005 and for services that are normally provided by the independent registered certified public accounting firm in connection with statutory and regulatory filings or engagements for the relevant fiscal years.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each of the last two fiscal years for assurance and related services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for tax compliance, tax planning and tax advice. Of these amounts, $42,000 and $75,309 were related to tax compliance services for 2006 and 2005, respectively.</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that are not reported above under “Audit Fees,” “Audit-Related Fees” or “Tax Fees.”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PricewaterhouseCoopers LLP in 2006 and the proposed services for 2007 and determined that such services and fees are compatible with the independence of PricewaterhouseCoopers LLP.</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auditor’s independence. Unless a type of service to be provided by the independent auditor has received general pre-approval, it will require specific pre-approval by the Audit Committee. In 2006, less than 1% of the fees associated with the independent registered public accounting firm services were not pre-approved by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Adopted December 11, 2006</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Board has adopted a policy and procedure for review, approval and monitoring of transactions involving Ocwen and related persons (directors and executive officers or their immediate family members, or shareholders owning five percent or greater of the company’s outstanding stock) within our written Code of Business Conduct and Ethics, which is available at www.ocwen.com. The policy and procedure is not limited to related person transactions that meet the threshold for disclosure under the relevant Securities and Exchange Commission, as it broadly covers any situation in which a conflict of interest may arise.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Ocwen;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Ocwen. The Committee will periodically monitor any approved transactions to ensure that there are no changed circumstances that would render it advisable for the Company to amend or terminate the transaction.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only related person transaction during the last fiscal year was the execution of a Stock Purchase Agreement between Ocwen and Wishco, Inc. in May of 2006. Wishco is a holding company controlled by Barry N. Wish pursuant to his ownership of 93% of Wishco’s common stock. Mr. Wish is the Chairman Emeritus and a Director of Ocwen. Pursuant to the terms of the Stock Purchase Agreement, Ocwen purchased 1,000,000 shares of its common stock owned by Wishco at a price of $11.00 per share. The aggregate purchase price for the shares was paid on May 9, 2006, in accordance with the terms of the Stock Repurchase Agreement. The proposed transaction was brought to the attention of the General Counsel, who consulted with the Chairman of the Board and obtained advice of outside counsel. The Chairman informed the Board of the proposed transaction, which was unanimously adopted by the Board on May 4, 2006 with Mr. Wish abstaining from the vote.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 Shareholders, which is scheduled to be held on May 8, 2008, must be received at our executive offices no later than November 1, 2007. All shareholder proposals for the 2008 Annual Meeting should be directed to our Secretary at Ocwen Financial Corporation, 1661 Worthington Road, Suite 100, West Palm Beach, Florida 33409. We recommend that you send any shareholder proposal by certified mail, return-receipt requested.</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any proposal that is not submitted for inclusion in the 2008 proxy statement, but is instead sought to be presented directly at the 2008 Annual Meeting, Securities and Exchange Commission rules permit management to vote proxies in its discretion if we:</w:t>
      </w:r>
    </w:p>
    <w:p>
      <w:pPr>
        <w:spacing w:after="0" w:line="186" w:lineRule="exact"/>
        <w:rPr>
          <w:sz w:val="20"/>
          <w:szCs w:val="20"/>
          <w:color w:val="auto"/>
        </w:rPr>
      </w:pPr>
    </w:p>
    <w:p>
      <w:pPr>
        <w:ind w:left="580" w:right="20" w:hanging="572"/>
        <w:spacing w:after="0" w:line="25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8, 2008 and advise shareholders in the 2008 proxy statement about the nature of the matter and how management intends to vote on such matter; or</w:t>
      </w: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8, 2008.</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Notice of intent to present a proposal at the 2008 Annual Meeting should be directed to our Secretary at Ocwen Financial Corporation, 1661 Worthington Road, Suite 100, West Palm Beach, Florida 33409.</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did not receive notice of any shareholder proposals relating to the 2007 Annual Meeting. At the 2007 Annual Meeting, our management may exercise discretionary authority when voting on any properly presented shareholder proposal that is not included as an agenda item in this proxy statement.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copy of our annual report to shareholders on Form 10-K for the year ended December 31, 2006 was mailed to shareholders of record as of March 9, 2007 on or about March 31, 2007. The annual report is not part of the proxy solicitation materials and can be found on our website www.ocwen.com under Shareholder Relations.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will furnish without charge to each person whose proxy is solicited and to each person who represents that as of the record date for the meeting he or she was a beneficial owner of shares entitled to vote at the meeting, on written request, a copy of our annual report on Form 10-K for the year ended December 31, 2006,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2006 and this proxy statement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approval of the 2007 Equity Incentive Plan; and (3) for the ratification of the selection of the independent auditor. Should any matter not described above be properly presented at the meeting, the persons named in the proxy form will vote in accordance with their judgment.</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copy of this proxy statement and our 2006 annual report to multiple shareholders who share an address unless that nominee has received contrary instructions from one or more of the shareholders. Shareholders at an address to which a single copy of this proxy statement and our 2006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and our 2006 annual report may be viewed online at www.ocwen.com under Shareholder Relations. If you are a shareholder of record, you can elect to access future annual reports and proxy statements electronically by following the instructions provided if you vote by Internet or by telephone. If you choose this option, you will receive a proxy form in mid-March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80" w:type="dxa"/>
            <w:vAlign w:val="bottom"/>
          </w:tcPr>
          <w:p>
            <w:pPr>
              <w:ind w:left="8500"/>
              <w:spacing w:after="0"/>
              <w:rPr>
                <w:sz w:val="20"/>
                <w:szCs w:val="20"/>
                <w:color w:val="auto"/>
              </w:rPr>
            </w:pPr>
            <w:r>
              <w:rPr>
                <w:rFonts w:ascii="Arial" w:cs="Arial" w:eastAsia="Arial" w:hAnsi="Arial"/>
                <w:sz w:val="18"/>
                <w:szCs w:val="18"/>
                <w:b w:val="1"/>
                <w:bCs w:val="1"/>
                <w:color w:val="auto"/>
                <w:w w:val="96"/>
              </w:rPr>
              <w:t>APPENDIX A</w:t>
            </w:r>
          </w:p>
        </w:tc>
      </w:tr>
      <w:tr>
        <w:trPr>
          <w:trHeight w:val="432"/>
        </w:trPr>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80" w:type="dxa"/>
            <w:vAlign w:val="bottom"/>
          </w:tcPr>
          <w:p>
            <w:pPr>
              <w:ind w:left="2540"/>
              <w:spacing w:after="0"/>
              <w:rPr>
                <w:sz w:val="20"/>
                <w:szCs w:val="20"/>
                <w:color w:val="auto"/>
              </w:rPr>
            </w:pPr>
            <w:r>
              <w:rPr>
                <w:rFonts w:ascii="Arial" w:cs="Arial" w:eastAsia="Arial" w:hAnsi="Arial"/>
                <w:sz w:val="18"/>
                <w:szCs w:val="18"/>
                <w:b w:val="1"/>
                <w:bCs w:val="1"/>
                <w:color w:val="auto"/>
              </w:rPr>
              <w:t>2007 EQUITY INCENTIVE PLAN</w:t>
            </w:r>
          </w:p>
        </w:tc>
      </w:tr>
      <w:tr>
        <w:trPr>
          <w:trHeight w:val="432"/>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4"/>
              </w:rPr>
              <w:t>SECTION 1. PURPOSE</w:t>
            </w:r>
          </w:p>
        </w:tc>
        <w:tc>
          <w:tcPr>
            <w:tcW w:w="9580" w:type="dxa"/>
            <w:vAlign w:val="bottom"/>
          </w:tcPr>
          <w:p>
            <w:pPr>
              <w:spacing w:after="0"/>
              <w:rPr>
                <w:sz w:val="24"/>
                <w:szCs w:val="24"/>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0"/>
              </w:rPr>
              <w:t>The purpose of the 2007 Equity Incentive Plan (the “Plan”) is to assist Ocwen Financial Corporation (the “Corporation”) in attracting, retaining and</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motivating employees of outstanding ability and to align their interests with those of the shareholders of the Corporation.</w:t>
            </w:r>
          </w:p>
        </w:tc>
      </w:tr>
      <w:tr>
        <w:trPr>
          <w:trHeight w:val="365"/>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SECTION 2. DEFINITIONS; CONSTRUCTION</w:t>
            </w: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2.01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 xml:space="preserve">Definitions. </w:t>
            </w:r>
            <w:r>
              <w:rPr>
                <w:rFonts w:ascii="Arial" w:cs="Arial" w:eastAsia="Arial" w:hAnsi="Arial"/>
                <w:sz w:val="18"/>
                <w:szCs w:val="18"/>
                <w:color w:val="auto"/>
                <w:w w:val="89"/>
              </w:rPr>
              <w:t>In addition to the terms defined elsewhere in the Plan, the following terms as used in the Plan shall have the following meanings when</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used with initial capital letters:</w:t>
            </w:r>
          </w:p>
        </w:tc>
      </w:tr>
      <w:tr>
        <w:trPr>
          <w:trHeight w:val="358"/>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2.01.1</w:t>
            </w:r>
          </w:p>
        </w:tc>
        <w:tc>
          <w:tcPr>
            <w:tcW w:w="9580" w:type="dxa"/>
            <w:vAlign w:val="bottom"/>
          </w:tcPr>
          <w:p>
            <w:pPr>
              <w:spacing w:after="0"/>
              <w:rPr>
                <w:sz w:val="20"/>
                <w:szCs w:val="20"/>
                <w:color w:val="auto"/>
              </w:rPr>
            </w:pPr>
            <w:r>
              <w:rPr>
                <w:rFonts w:ascii="Arial" w:cs="Arial" w:eastAsia="Arial" w:hAnsi="Arial"/>
                <w:sz w:val="18"/>
                <w:szCs w:val="18"/>
                <w:i w:val="1"/>
                <w:iCs w:val="1"/>
                <w:color w:val="auto"/>
                <w:w w:val="90"/>
              </w:rPr>
              <w:t xml:space="preserve">“Award” </w:t>
            </w:r>
            <w:r>
              <w:rPr>
                <w:rFonts w:ascii="Arial" w:cs="Arial" w:eastAsia="Arial" w:hAnsi="Arial"/>
                <w:sz w:val="18"/>
                <w:szCs w:val="18"/>
                <w:color w:val="auto"/>
                <w:w w:val="90"/>
              </w:rPr>
              <w:t>means any Option, Restricted Stock, Performance Award or Other Stock-Based Award, or any other right or interest relating</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to Shares granted under the Plan.</w:t>
            </w:r>
          </w:p>
        </w:tc>
      </w:tr>
      <w:tr>
        <w:trPr>
          <w:trHeight w:val="365"/>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2.01.2</w:t>
            </w:r>
          </w:p>
        </w:tc>
        <w:tc>
          <w:tcPr>
            <w:tcW w:w="9580" w:type="dxa"/>
            <w:vAlign w:val="bottom"/>
          </w:tcPr>
          <w:p>
            <w:pPr>
              <w:spacing w:after="0"/>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 Award.</w:t>
            </w:r>
          </w:p>
        </w:tc>
      </w:tr>
      <w:tr>
        <w:trPr>
          <w:trHeight w:val="365"/>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2.01.3</w:t>
            </w:r>
          </w:p>
        </w:tc>
        <w:tc>
          <w:tcPr>
            <w:tcW w:w="9580" w:type="dxa"/>
            <w:vAlign w:val="bottom"/>
          </w:tcPr>
          <w:p>
            <w:pPr>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Corporation’s Board of Directors.</w:t>
            </w:r>
          </w:p>
        </w:tc>
      </w:tr>
      <w:tr>
        <w:trPr>
          <w:trHeight w:val="358"/>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2.01.4</w:t>
            </w:r>
          </w:p>
        </w:tc>
        <w:tc>
          <w:tcPr>
            <w:tcW w:w="9580" w:type="dxa"/>
            <w:vAlign w:val="bottom"/>
          </w:tcPr>
          <w:p>
            <w:pPr>
              <w:spacing w:after="0"/>
              <w:rPr>
                <w:sz w:val="20"/>
                <w:szCs w:val="20"/>
                <w:color w:val="auto"/>
              </w:rPr>
            </w:pPr>
            <w:r>
              <w:rPr>
                <w:rFonts w:ascii="Arial" w:cs="Arial" w:eastAsia="Arial" w:hAnsi="Arial"/>
                <w:sz w:val="18"/>
                <w:szCs w:val="18"/>
                <w:i w:val="1"/>
                <w:iCs w:val="1"/>
                <w:color w:val="auto"/>
                <w:w w:val="90"/>
              </w:rPr>
              <w:t xml:space="preserve">“Code” </w:t>
            </w:r>
            <w:r>
              <w:rPr>
                <w:rFonts w:ascii="Arial" w:cs="Arial" w:eastAsia="Arial" w:hAnsi="Arial"/>
                <w:sz w:val="18"/>
                <w:szCs w:val="18"/>
                <w:color w:val="auto"/>
                <w:w w:val="90"/>
              </w:rPr>
              <w:t>means the Internal Revenue Code of 1986, as amended from time to time, together with rules, regulations and interpretations</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promulgated thereunder. References to particular sections of the Code shall include any successor provisions.</w:t>
            </w:r>
          </w:p>
        </w:tc>
      </w:tr>
      <w:tr>
        <w:trPr>
          <w:trHeight w:val="358"/>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2.01.5</w:t>
            </w:r>
          </w:p>
        </w:tc>
        <w:tc>
          <w:tcPr>
            <w:tcW w:w="9580" w:type="dxa"/>
            <w:vAlign w:val="bottom"/>
          </w:tcPr>
          <w:p>
            <w:pPr>
              <w:spacing w:after="0"/>
              <w:rPr>
                <w:sz w:val="20"/>
                <w:szCs w:val="20"/>
                <w:color w:val="auto"/>
              </w:rPr>
            </w:pPr>
            <w:r>
              <w:rPr>
                <w:rFonts w:ascii="Arial" w:cs="Arial" w:eastAsia="Arial" w:hAnsi="Arial"/>
                <w:sz w:val="18"/>
                <w:szCs w:val="18"/>
                <w:i w:val="1"/>
                <w:iCs w:val="1"/>
                <w:color w:val="auto"/>
                <w:w w:val="94"/>
              </w:rPr>
              <w:t xml:space="preserve">“Change of Control” </w:t>
            </w:r>
            <w:r>
              <w:rPr>
                <w:rFonts w:ascii="Arial" w:cs="Arial" w:eastAsia="Arial" w:hAnsi="Arial"/>
                <w:sz w:val="18"/>
                <w:szCs w:val="18"/>
                <w:color w:val="auto"/>
                <w:w w:val="94"/>
              </w:rPr>
              <w:t>shall mean a change in control of a nature that would be required to be reported in response to Item 6(e) of</w:t>
            </w:r>
          </w:p>
        </w:tc>
      </w:tr>
      <w:tr>
        <w:trPr>
          <w:trHeight w:val="216"/>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89"/>
              </w:rPr>
              <w:t>Schedule 14A of Regulation 14A promulgated under the Securities Exchange Act of 1934, as amended (the “Exchange Act”), whether</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or not the Corporation is then subject to such reporting requirement.</w:t>
            </w:r>
          </w:p>
        </w:tc>
      </w:tr>
      <w:tr>
        <w:trPr>
          <w:trHeight w:val="358"/>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2.01.6</w:t>
            </w:r>
          </w:p>
        </w:tc>
        <w:tc>
          <w:tcPr>
            <w:tcW w:w="9580" w:type="dxa"/>
            <w:vAlign w:val="bottom"/>
          </w:tcPr>
          <w:p>
            <w:pPr>
              <w:spacing w:after="0"/>
              <w:rPr>
                <w:sz w:val="20"/>
                <w:szCs w:val="20"/>
                <w:color w:val="auto"/>
              </w:rPr>
            </w:pPr>
            <w:r>
              <w:rPr>
                <w:rFonts w:ascii="Arial" w:cs="Arial" w:eastAsia="Arial" w:hAnsi="Arial"/>
                <w:sz w:val="18"/>
                <w:szCs w:val="18"/>
                <w:i w:val="1"/>
                <w:iCs w:val="1"/>
                <w:color w:val="auto"/>
                <w:w w:val="89"/>
              </w:rPr>
              <w:t xml:space="preserve">“Committee” </w:t>
            </w:r>
            <w:r>
              <w:rPr>
                <w:rFonts w:ascii="Arial" w:cs="Arial" w:eastAsia="Arial" w:hAnsi="Arial"/>
                <w:sz w:val="18"/>
                <w:szCs w:val="18"/>
                <w:color w:val="auto"/>
                <w:w w:val="89"/>
              </w:rPr>
              <w:t>means, (a) with respect to Participants who are employees and other service providers, the Compensation Committee or</w:t>
            </w:r>
          </w:p>
        </w:tc>
      </w:tr>
      <w:tr>
        <w:trPr>
          <w:trHeight w:val="216"/>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1"/>
              </w:rPr>
              <w:t>such other committee of the Board as may be designated by the Board to administer the Plan, as referred to in Section 3.01 hereof,</w:t>
            </w:r>
          </w:p>
        </w:tc>
      </w:tr>
      <w:tr>
        <w:trPr>
          <w:trHeight w:val="216"/>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0"/>
              </w:rPr>
              <w:t>consisting of at least three members of the Board; provided however, that any member of the Committee participating in the taking of</w:t>
            </w:r>
          </w:p>
        </w:tc>
      </w:tr>
      <w:tr>
        <w:trPr>
          <w:trHeight w:val="216"/>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89"/>
              </w:rPr>
              <w:t>any action under the Plan shall qualify as (1) an “outside director” as then defined under Section 162(m) of the Code or any successor</w:t>
            </w:r>
          </w:p>
        </w:tc>
      </w:tr>
      <w:tr>
        <w:trPr>
          <w:trHeight w:val="216"/>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2"/>
              </w:rPr>
              <w:t>provision, (2) a “non-employee director” as then defined under Rule 16b-3 or any successor rule and (3) an “independent” director</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4"/>
              </w:rPr>
              <w:t>under the rules of the New York Stock Exchange, or (b) with respect to Participants who are non-employee directors, the Board.</w:t>
            </w:r>
          </w:p>
        </w:tc>
      </w:tr>
      <w:tr>
        <w:trPr>
          <w:trHeight w:val="358"/>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2.01.7</w:t>
            </w:r>
          </w:p>
        </w:tc>
        <w:tc>
          <w:tcPr>
            <w:tcW w:w="9580" w:type="dxa"/>
            <w:vAlign w:val="bottom"/>
          </w:tcPr>
          <w:p>
            <w:pPr>
              <w:spacing w:after="0"/>
              <w:rPr>
                <w:sz w:val="20"/>
                <w:szCs w:val="20"/>
                <w:color w:val="auto"/>
              </w:rPr>
            </w:pPr>
            <w:r>
              <w:rPr>
                <w:rFonts w:ascii="Arial" w:cs="Arial" w:eastAsia="Arial" w:hAnsi="Arial"/>
                <w:sz w:val="18"/>
                <w:szCs w:val="18"/>
                <w:i w:val="1"/>
                <w:iCs w:val="1"/>
                <w:color w:val="auto"/>
                <w:w w:val="89"/>
              </w:rPr>
              <w:t xml:space="preserve">“Common Stock” </w:t>
            </w:r>
            <w:r>
              <w:rPr>
                <w:rFonts w:ascii="Arial" w:cs="Arial" w:eastAsia="Arial" w:hAnsi="Arial"/>
                <w:sz w:val="18"/>
                <w:szCs w:val="18"/>
                <w:color w:val="auto"/>
                <w:w w:val="89"/>
              </w:rPr>
              <w:t>means shares of the common stock, par value $1.00 per share, and such other securities of the Corporation or other</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corporation or entity as may be substituted for Shares pursuant to Section 8.01 hereof.</w:t>
            </w:r>
          </w:p>
        </w:tc>
      </w:tr>
      <w:tr>
        <w:trPr>
          <w:trHeight w:val="365"/>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2.01.8</w:t>
            </w:r>
          </w:p>
        </w:tc>
        <w:tc>
          <w:tcPr>
            <w:tcW w:w="9580" w:type="dxa"/>
            <w:vAlign w:val="bottom"/>
          </w:tcPr>
          <w:p>
            <w:pPr>
              <w:spacing w:after="0"/>
              <w:rPr>
                <w:sz w:val="20"/>
                <w:szCs w:val="20"/>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shall have the meaning provided in Section 162(m)(3) of the Code.</w:t>
            </w:r>
          </w:p>
        </w:tc>
      </w:tr>
      <w:tr>
        <w:trPr>
          <w:trHeight w:val="365"/>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2.01.9</w:t>
            </w:r>
          </w:p>
        </w:tc>
        <w:tc>
          <w:tcPr>
            <w:tcW w:w="9580" w:type="dxa"/>
            <w:vAlign w:val="bottom"/>
          </w:tcPr>
          <w:p>
            <w:pPr>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tc>
      </w:tr>
      <w:tr>
        <w:trPr>
          <w:trHeight w:val="358"/>
        </w:trPr>
        <w:tc>
          <w:tcPr>
            <w:tcW w:w="6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2.01.10</w:t>
            </w:r>
          </w:p>
        </w:tc>
        <w:tc>
          <w:tcPr>
            <w:tcW w:w="9580" w:type="dxa"/>
            <w:vAlign w:val="bottom"/>
          </w:tcPr>
          <w:p>
            <w:pPr>
              <w:spacing w:after="0"/>
              <w:rPr>
                <w:sz w:val="20"/>
                <w:szCs w:val="20"/>
                <w:color w:val="auto"/>
              </w:rPr>
            </w:pPr>
            <w:r>
              <w:rPr>
                <w:rFonts w:ascii="Arial" w:cs="Arial" w:eastAsia="Arial" w:hAnsi="Arial"/>
                <w:sz w:val="18"/>
                <w:szCs w:val="18"/>
                <w:i w:val="1"/>
                <w:iCs w:val="1"/>
                <w:color w:val="auto"/>
                <w:w w:val="96"/>
              </w:rPr>
              <w:t xml:space="preserve">“Fair Market Value” </w:t>
            </w:r>
            <w:r>
              <w:rPr>
                <w:rFonts w:ascii="Arial" w:cs="Arial" w:eastAsia="Arial" w:hAnsi="Arial"/>
                <w:sz w:val="18"/>
                <w:szCs w:val="18"/>
                <w:color w:val="auto"/>
                <w:w w:val="96"/>
              </w:rPr>
              <w:t>of shares of any stock, including but not limited to Common Stock, or units of any other securities (herein</w:t>
            </w:r>
          </w:p>
        </w:tc>
      </w:tr>
      <w:tr>
        <w:trPr>
          <w:trHeight w:val="216"/>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1"/>
              </w:rPr>
              <w:t>“shares”), shall be the mean between the highest and lowest sales prices per share for the date(s) as established by the Board as of</w:t>
            </w:r>
          </w:p>
        </w:tc>
      </w:tr>
      <w:tr>
        <w:trPr>
          <w:trHeight w:val="216"/>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2"/>
              </w:rPr>
              <w:t xml:space="preserve">which Fair Market Value is to be determined in the principal market in which such shares are traded, as quoted in </w:t>
            </w:r>
            <w:r>
              <w:rPr>
                <w:rFonts w:ascii="Arial" w:cs="Arial" w:eastAsia="Arial" w:hAnsi="Arial"/>
                <w:sz w:val="18"/>
                <w:szCs w:val="18"/>
                <w:i w:val="1"/>
                <w:iCs w:val="1"/>
                <w:color w:val="auto"/>
                <w:w w:val="92"/>
              </w:rPr>
              <w:t>The Wall Street</w:t>
            </w:r>
          </w:p>
        </w:tc>
      </w:tr>
      <w:tr>
        <w:trPr>
          <w:trHeight w:val="222"/>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i w:val="1"/>
                <w:iCs w:val="1"/>
                <w:color w:val="auto"/>
                <w:w w:val="90"/>
              </w:rPr>
              <w:t xml:space="preserve">Journal </w:t>
            </w:r>
            <w:r>
              <w:rPr>
                <w:rFonts w:ascii="Arial" w:cs="Arial" w:eastAsia="Arial" w:hAnsi="Arial"/>
                <w:sz w:val="18"/>
                <w:szCs w:val="18"/>
                <w:color w:val="auto"/>
                <w:w w:val="90"/>
              </w:rPr>
              <w:t>(or in such other reliable publication as the Committee, in its discretion, may determine to rely upon). If the Fair Market Value</w:t>
            </w:r>
          </w:p>
        </w:tc>
      </w:tr>
    </w:tbl>
    <w:p>
      <w:pPr>
        <w:jc w:val="both"/>
        <w:ind w:left="1840"/>
        <w:spacing w:after="0" w:line="254" w:lineRule="auto"/>
        <w:rPr>
          <w:sz w:val="20"/>
          <w:szCs w:val="20"/>
          <w:color w:val="auto"/>
        </w:rPr>
      </w:pPr>
      <w:r>
        <w:rPr>
          <w:rFonts w:ascii="Arial" w:cs="Arial" w:eastAsia="Arial" w:hAnsi="Arial"/>
          <w:sz w:val="18"/>
          <w:szCs w:val="18"/>
          <w:color w:val="auto"/>
        </w:rPr>
        <w:t>of shares on any date(s) cannot be determined on the basis set forth in the preceding sentence, or if a determination is required as to the Fair Market Value on any date of property other than shares, the Committee shall in good faith determine the Fair Market Value of such shares or other property on such date(s). Fair Market Value shall be determined without regard to any restriction other than a restriction which, by its terms, will never lapse.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920"/>
        <w:spacing w:after="0"/>
        <w:tabs>
          <w:tab w:leader="none" w:pos="1820" w:val="left"/>
        </w:tabs>
        <w:rPr>
          <w:sz w:val="20"/>
          <w:szCs w:val="20"/>
          <w:color w:val="auto"/>
        </w:rPr>
      </w:pPr>
      <w:r>
        <w:rPr>
          <w:rFonts w:ascii="Arial" w:cs="Arial" w:eastAsia="Arial" w:hAnsi="Arial"/>
          <w:sz w:val="18"/>
          <w:szCs w:val="18"/>
          <w:color w:val="auto"/>
        </w:rPr>
        <w:t>2.01.11</w:t>
      </w:r>
      <w:r>
        <w:rPr>
          <w:sz w:val="20"/>
          <w:szCs w:val="20"/>
          <w:color w:val="auto"/>
        </w:rPr>
        <w:tab/>
      </w:r>
      <w:r>
        <w:rPr>
          <w:rFonts w:ascii="Arial" w:cs="Arial" w:eastAsia="Arial" w:hAnsi="Arial"/>
          <w:sz w:val="15"/>
          <w:szCs w:val="15"/>
          <w:i w:val="1"/>
          <w:iCs w:val="1"/>
          <w:color w:val="auto"/>
        </w:rPr>
        <w:t xml:space="preserve">“Option” </w:t>
      </w:r>
      <w:r>
        <w:rPr>
          <w:rFonts w:ascii="Arial" w:cs="Arial" w:eastAsia="Arial" w:hAnsi="Arial"/>
          <w:sz w:val="15"/>
          <w:szCs w:val="15"/>
          <w:color w:val="auto"/>
        </w:rPr>
        <w:t>means a right, granted under Section 6.02 hereof, to purchase Shares at a specified price during specified time periods.</w:t>
      </w:r>
    </w:p>
    <w:p>
      <w:pPr>
        <w:spacing w:after="0" w:line="158" w:lineRule="exact"/>
        <w:rPr>
          <w:sz w:val="20"/>
          <w:szCs w:val="20"/>
          <w:color w:val="auto"/>
        </w:rPr>
      </w:pPr>
    </w:p>
    <w:p>
      <w:pPr>
        <w:jc w:val="both"/>
        <w:ind w:left="1840" w:hanging="917"/>
        <w:spacing w:after="0" w:line="268" w:lineRule="auto"/>
        <w:tabs>
          <w:tab w:leader="none" w:pos="1820" w:val="left"/>
        </w:tabs>
        <w:rPr>
          <w:sz w:val="20"/>
          <w:szCs w:val="20"/>
          <w:color w:val="auto"/>
        </w:rPr>
      </w:pPr>
      <w:r>
        <w:rPr>
          <w:rFonts w:ascii="Arial" w:cs="Arial" w:eastAsia="Arial" w:hAnsi="Arial"/>
          <w:sz w:val="18"/>
          <w:szCs w:val="18"/>
          <w:color w:val="auto"/>
        </w:rPr>
        <w:t>2.01.12</w:t>
      </w:r>
      <w:r>
        <w:rPr>
          <w:sz w:val="20"/>
          <w:szCs w:val="20"/>
          <w:color w:val="auto"/>
        </w:rPr>
        <w:tab/>
      </w:r>
      <w:r>
        <w:rPr>
          <w:rFonts w:ascii="Arial" w:cs="Arial" w:eastAsia="Arial" w:hAnsi="Arial"/>
          <w:sz w:val="18"/>
          <w:szCs w:val="18"/>
          <w:i w:val="1"/>
          <w:iCs w:val="1"/>
          <w:color w:val="auto"/>
        </w:rPr>
        <w:t xml:space="preserve">“Other Stock-Based Award” </w:t>
      </w:r>
      <w:r>
        <w:rPr>
          <w:rFonts w:ascii="Arial" w:cs="Arial" w:eastAsia="Arial" w:hAnsi="Arial"/>
          <w:sz w:val="18"/>
          <w:szCs w:val="18"/>
          <w:color w:val="auto"/>
        </w:rPr>
        <w:t>means an Award, granted under Section 6.05 hereof, that is denominated or payable in, valued in whole or</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by reference to, or otherwise based on, or related to, Shares.</w:t>
      </w:r>
    </w:p>
    <w:p>
      <w:pPr>
        <w:spacing w:after="0" w:line="118" w:lineRule="exact"/>
        <w:rPr>
          <w:sz w:val="20"/>
          <w:szCs w:val="20"/>
          <w:color w:val="auto"/>
        </w:rPr>
      </w:pPr>
    </w:p>
    <w:p>
      <w:pPr>
        <w:jc w:val="both"/>
        <w:ind w:left="1840" w:hanging="917"/>
        <w:spacing w:after="0" w:line="268" w:lineRule="auto"/>
        <w:tabs>
          <w:tab w:leader="none" w:pos="1820" w:val="left"/>
        </w:tabs>
        <w:rPr>
          <w:sz w:val="20"/>
          <w:szCs w:val="20"/>
          <w:color w:val="auto"/>
        </w:rPr>
      </w:pPr>
      <w:r>
        <w:rPr>
          <w:rFonts w:ascii="Arial" w:cs="Arial" w:eastAsia="Arial" w:hAnsi="Arial"/>
          <w:sz w:val="18"/>
          <w:szCs w:val="18"/>
          <w:color w:val="auto"/>
        </w:rPr>
        <w:t>2.01.13</w:t>
      </w:r>
      <w:r>
        <w:rPr>
          <w:sz w:val="20"/>
          <w:szCs w:val="20"/>
          <w:color w:val="auto"/>
        </w:rPr>
        <w:tab/>
      </w: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employee of the Corporation or any Subsidiary or affiliate, including, but not limited to, a Covered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who is granted an Award under the Plan.</w:t>
      </w:r>
    </w:p>
    <w:p>
      <w:pPr>
        <w:spacing w:after="0" w:line="118"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color w:val="auto"/>
        </w:rPr>
        <w:t>2.01.14</w:t>
      </w:r>
      <w:r>
        <w:rPr>
          <w:sz w:val="20"/>
          <w:szCs w:val="20"/>
          <w:color w:val="auto"/>
        </w:rPr>
        <w:tab/>
      </w:r>
      <w:r>
        <w:rPr>
          <w:rFonts w:ascii="Arial" w:cs="Arial" w:eastAsia="Arial" w:hAnsi="Arial"/>
          <w:sz w:val="16"/>
          <w:szCs w:val="16"/>
          <w:i w:val="1"/>
          <w:iCs w:val="1"/>
          <w:color w:val="auto"/>
        </w:rPr>
        <w:t xml:space="preserve">“Performance Award,” </w:t>
      </w:r>
      <w:r>
        <w:rPr>
          <w:rFonts w:ascii="Arial" w:cs="Arial" w:eastAsia="Arial" w:hAnsi="Arial"/>
          <w:sz w:val="16"/>
          <w:szCs w:val="16"/>
          <w:color w:val="auto"/>
        </w:rPr>
        <w:t>“Performance Goal” and “Performance Period” shall have the meanings provided in Section 6.04.</w:t>
      </w:r>
    </w:p>
    <w:p>
      <w:pPr>
        <w:spacing w:after="0" w:line="158"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color w:val="auto"/>
        </w:rPr>
        <w:t>2.01.15</w:t>
      </w:r>
      <w:r>
        <w:rPr>
          <w:sz w:val="20"/>
          <w:szCs w:val="20"/>
          <w:color w:val="auto"/>
        </w:rPr>
        <w:tab/>
      </w: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means Shares, granted under Section 6.03 hereof, that are subject to certain restrictions.</w:t>
      </w:r>
    </w:p>
    <w:p>
      <w:pPr>
        <w:spacing w:after="0" w:line="158" w:lineRule="exact"/>
        <w:rPr>
          <w:sz w:val="20"/>
          <w:szCs w:val="20"/>
          <w:color w:val="auto"/>
        </w:rPr>
      </w:pPr>
    </w:p>
    <w:p>
      <w:pPr>
        <w:jc w:val="both"/>
        <w:ind w:left="1840" w:right="20" w:hanging="917"/>
        <w:spacing w:after="0" w:line="268" w:lineRule="auto"/>
        <w:tabs>
          <w:tab w:leader="none" w:pos="1820" w:val="left"/>
        </w:tabs>
        <w:rPr>
          <w:sz w:val="20"/>
          <w:szCs w:val="20"/>
          <w:color w:val="auto"/>
        </w:rPr>
      </w:pPr>
      <w:r>
        <w:rPr>
          <w:rFonts w:ascii="Arial" w:cs="Arial" w:eastAsia="Arial" w:hAnsi="Arial"/>
          <w:sz w:val="18"/>
          <w:szCs w:val="18"/>
          <w:color w:val="auto"/>
        </w:rPr>
        <w:t>2.01.16</w:t>
      </w:r>
      <w:r>
        <w:rPr>
          <w:sz w:val="20"/>
          <w:szCs w:val="20"/>
          <w:color w:val="auto"/>
        </w:rPr>
        <w:tab/>
      </w:r>
      <w:r>
        <w:rPr>
          <w:rFonts w:ascii="Arial" w:cs="Arial" w:eastAsia="Arial" w:hAnsi="Arial"/>
          <w:sz w:val="18"/>
          <w:szCs w:val="18"/>
          <w:i w:val="1"/>
          <w:iCs w:val="1"/>
          <w:color w:val="auto"/>
        </w:rPr>
        <w:t xml:space="preserve">“Rule 16b-3” </w:t>
      </w:r>
      <w:r>
        <w:rPr>
          <w:rFonts w:ascii="Arial" w:cs="Arial" w:eastAsia="Arial" w:hAnsi="Arial"/>
          <w:sz w:val="18"/>
          <w:szCs w:val="18"/>
          <w:color w:val="auto"/>
        </w:rPr>
        <w:t>means Rule 16b-3 under the Exchange Act, as amended from time to time, or any successor to such Rule promulgated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and Exchange Commission under Section 16 of the Exchange Act.</w:t>
      </w:r>
    </w:p>
    <w:p>
      <w:pPr>
        <w:spacing w:after="0" w:line="118" w:lineRule="exact"/>
        <w:rPr>
          <w:sz w:val="20"/>
          <w:szCs w:val="20"/>
          <w:color w:val="auto"/>
        </w:rPr>
      </w:pPr>
    </w:p>
    <w:p>
      <w:pPr>
        <w:jc w:val="both"/>
        <w:ind w:left="1840" w:hanging="917"/>
        <w:spacing w:after="0" w:line="268" w:lineRule="auto"/>
        <w:tabs>
          <w:tab w:leader="none" w:pos="1820" w:val="left"/>
        </w:tabs>
        <w:rPr>
          <w:sz w:val="20"/>
          <w:szCs w:val="20"/>
          <w:color w:val="auto"/>
        </w:rPr>
      </w:pPr>
      <w:r>
        <w:rPr>
          <w:rFonts w:ascii="Arial" w:cs="Arial" w:eastAsia="Arial" w:hAnsi="Arial"/>
          <w:sz w:val="18"/>
          <w:szCs w:val="18"/>
          <w:color w:val="auto"/>
        </w:rPr>
        <w:t>2.01.17</w:t>
      </w:r>
      <w:r>
        <w:rPr>
          <w:sz w:val="20"/>
          <w:szCs w:val="20"/>
          <w:color w:val="auto"/>
        </w:rPr>
        <w:tab/>
      </w: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the common stock of the Corporation, par value $1.00 per share, and such other securities of the Corporation as may</w:t>
      </w:r>
      <w:r>
        <w:rPr>
          <w:rFonts w:ascii="Arial" w:cs="Arial" w:eastAsia="Arial" w:hAnsi="Arial"/>
          <w:sz w:val="18"/>
          <w:szCs w:val="18"/>
          <w:i w:val="1"/>
          <w:iCs w:val="1"/>
          <w:color w:val="auto"/>
        </w:rPr>
        <w:t xml:space="preserve"> </w:t>
      </w:r>
      <w:r>
        <w:rPr>
          <w:rFonts w:ascii="Arial" w:cs="Arial" w:eastAsia="Arial" w:hAnsi="Arial"/>
          <w:sz w:val="18"/>
          <w:szCs w:val="18"/>
          <w:color w:val="auto"/>
        </w:rPr>
        <w:t>be substituted for Shares pursuant to Section 8.01 hereof.</w:t>
      </w:r>
    </w:p>
    <w:p>
      <w:pPr>
        <w:spacing w:after="0" w:line="118" w:lineRule="exact"/>
        <w:rPr>
          <w:sz w:val="20"/>
          <w:szCs w:val="20"/>
          <w:color w:val="auto"/>
        </w:rPr>
      </w:pPr>
    </w:p>
    <w:p>
      <w:pPr>
        <w:jc w:val="both"/>
        <w:ind w:left="1840" w:hanging="917"/>
        <w:spacing w:after="0" w:line="259" w:lineRule="auto"/>
        <w:tabs>
          <w:tab w:leader="none" w:pos="1820" w:val="left"/>
        </w:tabs>
        <w:rPr>
          <w:sz w:val="20"/>
          <w:szCs w:val="20"/>
          <w:color w:val="auto"/>
        </w:rPr>
      </w:pPr>
      <w:r>
        <w:rPr>
          <w:rFonts w:ascii="Arial" w:cs="Arial" w:eastAsia="Arial" w:hAnsi="Arial"/>
          <w:sz w:val="18"/>
          <w:szCs w:val="18"/>
          <w:color w:val="auto"/>
        </w:rPr>
        <w:t>2.01.18</w:t>
      </w:r>
      <w:r>
        <w:rPr>
          <w:sz w:val="20"/>
          <w:szCs w:val="20"/>
          <w:color w:val="auto"/>
        </w:rPr>
        <w:tab/>
      </w: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in an unbroken chain of corporations beginning with the Corporation, if each of the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the last corporation in the chain owns stock possessing at least 50% of the total combined voting power of all classes of stock in one of the other corporations in the chain.</w:t>
      </w:r>
    </w:p>
    <w:p>
      <w:pPr>
        <w:spacing w:after="0" w:line="1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 xml:space="preserve">Construction. </w:t>
      </w:r>
      <w:r>
        <w:rPr>
          <w:rFonts w:ascii="Arial" w:cs="Arial" w:eastAsia="Arial" w:hAnsi="Arial"/>
          <w:sz w:val="16"/>
          <w:szCs w:val="16"/>
          <w:color w:val="auto"/>
        </w:rPr>
        <w:t>For purposes of the Plan, the following rules of construction shall apply:</w:t>
      </w:r>
    </w:p>
    <w:p>
      <w:pPr>
        <w:spacing w:after="0" w:line="164"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6"/>
          <w:szCs w:val="16"/>
          <w:color w:val="auto"/>
        </w:rPr>
        <w:t>The word “or” is disjunctive but not necessarily exclusive.</w:t>
      </w:r>
    </w:p>
    <w:p>
      <w:pPr>
        <w:spacing w:after="0" w:line="158" w:lineRule="exact"/>
        <w:rPr>
          <w:sz w:val="20"/>
          <w:szCs w:val="20"/>
          <w:color w:val="auto"/>
        </w:rPr>
      </w:pPr>
    </w:p>
    <w:p>
      <w:pPr>
        <w:jc w:val="both"/>
        <w:ind w:left="1840" w:right="20" w:hanging="917"/>
        <w:spacing w:after="0" w:line="268" w:lineRule="auto"/>
        <w:tabs>
          <w:tab w:leader="none" w:pos="182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Words in the singular include the plural; words in the plural include the singular; words in the neuter gender include the masculine and feminine genders, and words in the masculine or feminine gender include the other and neuter genders.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64" w:lineRule="exact"/>
        <w:rPr>
          <w:sz w:val="20"/>
          <w:szCs w:val="20"/>
          <w:color w:val="auto"/>
        </w:rPr>
      </w:pPr>
    </w:p>
    <w:p>
      <w:pPr>
        <w:jc w:val="both"/>
        <w:ind w:left="920" w:hanging="917"/>
        <w:spacing w:after="0" w:line="259" w:lineRule="auto"/>
        <w:tabs>
          <w:tab w:leader="none" w:pos="90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color w:val="auto"/>
        </w:rPr>
        <w:t>The Plan shall be administered by the Committee. References hereinafter to the Committee shall mean the Compensation Committee of the Board (or other appointed committee) with respect to employee Participants. The Committee shall have complete, full and final authority to take the following actions, in each case subject to and consistent with the provisions of the Plan:</w:t>
      </w:r>
    </w:p>
    <w:p>
      <w:pPr>
        <w:spacing w:after="0" w:line="127" w:lineRule="exact"/>
        <w:rPr>
          <w:sz w:val="20"/>
          <w:szCs w:val="20"/>
          <w:color w:val="auto"/>
        </w:rPr>
      </w:pPr>
    </w:p>
    <w:p>
      <w:pPr>
        <w:ind w:left="1840" w:hanging="914"/>
        <w:spacing w:after="0"/>
        <w:tabs>
          <w:tab w:leader="none" w:pos="1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designate Participants;</w:t>
      </w:r>
    </w:p>
    <w:p>
      <w:pPr>
        <w:spacing w:after="0" w:line="157" w:lineRule="exact"/>
        <w:rPr>
          <w:rFonts w:ascii="Arial" w:cs="Arial" w:eastAsia="Arial" w:hAnsi="Arial"/>
          <w:sz w:val="18"/>
          <w:szCs w:val="18"/>
          <w:color w:val="auto"/>
        </w:rPr>
      </w:pPr>
    </w:p>
    <w:p>
      <w:pPr>
        <w:ind w:left="1840" w:hanging="914"/>
        <w:spacing w:after="0"/>
        <w:tabs>
          <w:tab w:leader="none" w:pos="1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determine the type or types of Awards to be granted to each Participant;</w:t>
      </w:r>
    </w:p>
    <w:p>
      <w:pPr>
        <w:spacing w:after="0" w:line="157" w:lineRule="exact"/>
        <w:rPr>
          <w:rFonts w:ascii="Arial" w:cs="Arial" w:eastAsia="Arial" w:hAnsi="Arial"/>
          <w:sz w:val="18"/>
          <w:szCs w:val="18"/>
          <w:color w:val="auto"/>
        </w:rPr>
      </w:pPr>
    </w:p>
    <w:p>
      <w:pPr>
        <w:jc w:val="both"/>
        <w:ind w:left="1840" w:hanging="914"/>
        <w:spacing w:after="0" w:line="294" w:lineRule="auto"/>
        <w:tabs>
          <w:tab w:leader="none" w:pos="1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determine the number of Awards to be granted, the number of Shares or amount of cash or other property to which an Award will relate, the terms and conditions of any Award (including, but not limited to, any exercise price, grant price or purchase price, any limitation or restriction, any schedule for lapse of limitations, forfeiture restrictions or restrictions on exercisability or transferability, and accelerations or waivers thereof, including in the case of a Change of Control based in each case on such considerations as the Committee shall determine), and all other matters to be determined in connection with an Award;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jc w:val="both"/>
        <w:ind w:left="1840" w:right="20" w:hanging="914"/>
        <w:spacing w:after="0" w:line="259" w:lineRule="auto"/>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exchanged or surrendered;</w:t>
      </w:r>
    </w:p>
    <w:p>
      <w:pPr>
        <w:spacing w:after="0" w:line="126" w:lineRule="exact"/>
        <w:rPr>
          <w:rFonts w:ascii="Arial" w:cs="Arial" w:eastAsia="Arial" w:hAnsi="Arial"/>
          <w:sz w:val="18"/>
          <w:szCs w:val="18"/>
          <w:color w:val="auto"/>
        </w:rPr>
      </w:pPr>
    </w:p>
    <w:p>
      <w:pPr>
        <w:ind w:left="1840" w:hanging="914"/>
        <w:spacing w:after="0"/>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interpret and administer the Plan and any instrument or agreement relating to, or Award made under, the Plan;</w:t>
      </w:r>
    </w:p>
    <w:p>
      <w:pPr>
        <w:spacing w:after="0" w:line="157" w:lineRule="exact"/>
        <w:rPr>
          <w:rFonts w:ascii="Arial" w:cs="Arial" w:eastAsia="Arial" w:hAnsi="Arial"/>
          <w:sz w:val="18"/>
          <w:szCs w:val="18"/>
          <w:color w:val="auto"/>
        </w:rPr>
      </w:pPr>
    </w:p>
    <w:p>
      <w:pPr>
        <w:ind w:left="1840" w:hanging="914"/>
        <w:spacing w:after="0"/>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prescribe the form of each Award Agreement, which need not be identical for each Participant;</w:t>
      </w:r>
    </w:p>
    <w:p>
      <w:pPr>
        <w:spacing w:after="0" w:line="157" w:lineRule="exact"/>
        <w:rPr>
          <w:rFonts w:ascii="Arial" w:cs="Arial" w:eastAsia="Arial" w:hAnsi="Arial"/>
          <w:sz w:val="18"/>
          <w:szCs w:val="18"/>
          <w:color w:val="auto"/>
        </w:rPr>
      </w:pPr>
    </w:p>
    <w:p>
      <w:pPr>
        <w:ind w:left="1840" w:hanging="914"/>
        <w:spacing w:after="0" w:line="268" w:lineRule="auto"/>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adopt, amend, suspend, waive and rescind such rules and regulations as the Committee may deem necessary or advisable to administer the Plan;</w:t>
      </w:r>
    </w:p>
    <w:p>
      <w:pPr>
        <w:spacing w:after="0" w:line="118" w:lineRule="exact"/>
        <w:rPr>
          <w:rFonts w:ascii="Arial" w:cs="Arial" w:eastAsia="Arial" w:hAnsi="Arial"/>
          <w:sz w:val="18"/>
          <w:szCs w:val="18"/>
          <w:color w:val="auto"/>
        </w:rPr>
      </w:pPr>
    </w:p>
    <w:p>
      <w:pPr>
        <w:ind w:left="1840" w:hanging="914"/>
        <w:spacing w:after="0" w:line="268" w:lineRule="auto"/>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any Award Agreement or other instrument entered into or Award made under the Plan;</w:t>
      </w:r>
    </w:p>
    <w:p>
      <w:pPr>
        <w:spacing w:after="0" w:line="118" w:lineRule="exact"/>
        <w:rPr>
          <w:rFonts w:ascii="Arial" w:cs="Arial" w:eastAsia="Arial" w:hAnsi="Arial"/>
          <w:sz w:val="18"/>
          <w:szCs w:val="18"/>
          <w:color w:val="auto"/>
        </w:rPr>
      </w:pPr>
    </w:p>
    <w:p>
      <w:pPr>
        <w:ind w:left="1840" w:hanging="914"/>
        <w:spacing w:after="0" w:line="268" w:lineRule="auto"/>
        <w:tabs>
          <w:tab w:leader="none" w:pos="1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all other decisions and determinations as may be required under the terms of the Plan or as the Committee may deem necessary or advisable for the administration of the Plan; and</w:t>
      </w:r>
    </w:p>
    <w:p>
      <w:pPr>
        <w:spacing w:after="0" w:line="118" w:lineRule="exact"/>
        <w:rPr>
          <w:rFonts w:ascii="Arial" w:cs="Arial" w:eastAsia="Arial" w:hAnsi="Arial"/>
          <w:sz w:val="18"/>
          <w:szCs w:val="18"/>
          <w:color w:val="auto"/>
        </w:rPr>
      </w:pPr>
    </w:p>
    <w:p>
      <w:pPr>
        <w:jc w:val="both"/>
        <w:ind w:left="1840" w:hanging="914"/>
        <w:spacing w:after="0" w:line="287" w:lineRule="auto"/>
        <w:tabs>
          <w:tab w:leader="none" w:pos="1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make such filings and take such actions as may be required from time to time by appropriate state, regulatory and governmental agencies. Any action of the Committee with respect to the Plan shall be final, conclusive and binding on all Persons, including the Corporation, Subsidiaries, Participants, any Person claiming any rights under the Plan from or through any Participants. The express grant of any specific power to the Committee, and the taking of any action by the Committee, shall not be construed as limiting any power or authority of the Committee. The Committee may delegate to officers, managers and/or agents of the Corporation or any Subsidiary the authority, subject to such terms as the Committee shall determine, to perform administrative and other functions under the Plan. Each member of the Committee shall be entitled to, in good faith, rely or act upon any report or other information furnished to him by an officer, manager or other employee of the Corporation or a Subsidiary, the Corporation’s independent certified public accountants, or any executive compensation consultant or other professional retained by the Corporation and/or Committee to assist in the administration of the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SUBJECT TO THE PLAN</w:t>
      </w:r>
    </w:p>
    <w:p>
      <w:pPr>
        <w:spacing w:after="0" w:line="164" w:lineRule="exact"/>
        <w:rPr>
          <w:sz w:val="20"/>
          <w:szCs w:val="20"/>
          <w:color w:val="auto"/>
        </w:rPr>
      </w:pPr>
    </w:p>
    <w:p>
      <w:pPr>
        <w:jc w:val="both"/>
        <w:ind w:left="920" w:hanging="917"/>
        <w:spacing w:after="0" w:line="255" w:lineRule="auto"/>
        <w:tabs>
          <w:tab w:leader="none" w:pos="90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The maximum net number of Shares which may be issued and in respect of which Awards may be granted under the Plan shall be limited to 20,000,000 shares of Common Stock, subject to adjustment as provided in Section 8.01, which may be used for all forms of Awards. Each Share issued under the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1.42.</w:t>
      </w:r>
    </w:p>
    <w:p>
      <w:pPr>
        <w:spacing w:after="0" w:line="129" w:lineRule="exact"/>
        <w:rPr>
          <w:sz w:val="20"/>
          <w:szCs w:val="20"/>
          <w:color w:val="auto"/>
        </w:rPr>
      </w:pPr>
    </w:p>
    <w:p>
      <w:pPr>
        <w:jc w:val="both"/>
        <w:ind w:left="920"/>
        <w:spacing w:after="0" w:line="291" w:lineRule="auto"/>
        <w:rPr>
          <w:sz w:val="20"/>
          <w:szCs w:val="20"/>
          <w:color w:val="auto"/>
        </w:rPr>
      </w:pPr>
      <w:r>
        <w:rPr>
          <w:rFonts w:ascii="Arial" w:cs="Arial" w:eastAsia="Arial" w:hAnsi="Arial"/>
          <w:sz w:val="16"/>
          <w:szCs w:val="16"/>
          <w:color w:val="auto"/>
        </w:rPr>
        <w:t>For purposes of this Section 4.01, the number of Shares to which an Award relates shall be counted against the number of Shares available under the Plan at the time of grant of the Award, unless such number of Shares cannot be determined at that time, in which case the number of Shares actually distributed pursuant to the Award shall be counted against the number of Shares available under the Plan at the time of distribution; provided, however, that Awards related to or retroactively added to, or granted in tandem with, substituted for or converted into, other Awards shall be counted or not counted against the number of Shares reserved and available under the Plan in accordance with procedures adopted by the Committee so as to ensure appropriate counting but avoid double counting.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jc w:val="both"/>
        <w:ind w:left="920"/>
        <w:spacing w:after="0" w:line="289" w:lineRule="auto"/>
        <w:rPr>
          <w:sz w:val="20"/>
          <w:szCs w:val="20"/>
          <w:color w:val="auto"/>
        </w:rPr>
      </w:pPr>
      <w:r>
        <w:rPr>
          <w:rFonts w:ascii="Arial" w:cs="Arial" w:eastAsia="Arial" w:hAnsi="Arial"/>
          <w:sz w:val="16"/>
          <w:szCs w:val="16"/>
          <w:color w:val="auto"/>
        </w:rPr>
        <w:t>If any Shares to which an Award relates are forfeited or the Award otherwise terminates without payment being made to the Participant in the form of Shares or if payment is made to the Participant in the form of cash, cash equivalents or other property other than Shares, any Shares counted against the number of Shares available under the Plan with respect to such Award shall, to the extent of any such forfeiture or termination or alternative payment, again be available for Awards under the Plan. If the exercise price of an Award is paid by delivering to the Corporation Shares previously owned by the Participant or if Shares are delivered or withheld for purposes of satisfying a tax withholding obligation, the number of Shares covered by the Award equal to the number of Shares so delivered or withheld shall, however, be counted against the number of Shares granted and shall not again be available for Awards under the Plan. Any Shares distributed pursuant to an Award may consist, in whole or part, of authorized and unissued Shares, including Shares repurchased by the Corporation for purposes of the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5.01</w:t>
            </w: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Awards may be granted only to individuals who are employees of the Corporation or any Subsidiary or affiliate.</w:t>
            </w:r>
          </w:p>
        </w:tc>
      </w:tr>
      <w:tr>
        <w:trPr>
          <w:trHeight w:val="365"/>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SECTION 6. SPECIFIC TERMS OF AWARDS</w:t>
            </w:r>
          </w:p>
        </w:tc>
      </w:tr>
      <w:tr>
        <w:trPr>
          <w:trHeight w:val="358"/>
        </w:trPr>
        <w:tc>
          <w:tcPr>
            <w:tcW w:w="620" w:type="dxa"/>
            <w:vAlign w:val="bottom"/>
          </w:tcPr>
          <w:p>
            <w:pPr>
              <w:spacing w:after="0"/>
              <w:rPr>
                <w:sz w:val="20"/>
                <w:szCs w:val="20"/>
                <w:color w:val="auto"/>
              </w:rPr>
            </w:pPr>
            <w:r>
              <w:rPr>
                <w:rFonts w:ascii="Arial" w:cs="Arial" w:eastAsia="Arial" w:hAnsi="Arial"/>
                <w:sz w:val="18"/>
                <w:szCs w:val="18"/>
                <w:color w:val="auto"/>
              </w:rPr>
              <w:t>6.01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88"/>
              </w:rPr>
              <w:t xml:space="preserve">General. </w:t>
            </w:r>
            <w:r>
              <w:rPr>
                <w:rFonts w:ascii="Arial" w:cs="Arial" w:eastAsia="Arial" w:hAnsi="Arial"/>
                <w:sz w:val="18"/>
                <w:szCs w:val="18"/>
                <w:color w:val="auto"/>
                <w:w w:val="88"/>
              </w:rPr>
              <w:t>Subject to the terms of the Plan and any applicable Award Agreement, Awards may be granted as set forth in this Section 6. In addition, the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88"/>
              </w:rPr>
              <w:t>Committee may impose on any Award or the exercise thereof, at the date of grant or thereafter (subject to the terms of Section 9.01), such additional</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0"/>
              </w:rPr>
              <w:t>terms and conditions, not inconsistent with the provisions of the Plan, as the Committee shall determine, including separate escrow provisions and</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terms requiring forfeiture of Awards in the event of termination of employment or service by the Participant. Except as required by applicable law,</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Awards may be granted for no consideration other than prior and/or future services.</w:t>
            </w:r>
          </w:p>
        </w:tc>
      </w:tr>
      <w:tr>
        <w:trPr>
          <w:trHeight w:val="365"/>
        </w:trPr>
        <w:tc>
          <w:tcPr>
            <w:tcW w:w="620" w:type="dxa"/>
            <w:vAlign w:val="bottom"/>
          </w:tcPr>
          <w:p>
            <w:pPr>
              <w:spacing w:after="0"/>
              <w:rPr>
                <w:sz w:val="20"/>
                <w:szCs w:val="20"/>
                <w:color w:val="auto"/>
              </w:rPr>
            </w:pPr>
            <w:r>
              <w:rPr>
                <w:rFonts w:ascii="Arial" w:cs="Arial" w:eastAsia="Arial" w:hAnsi="Arial"/>
                <w:sz w:val="18"/>
                <w:szCs w:val="18"/>
                <w:color w:val="auto"/>
              </w:rPr>
              <w:t>6.02</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The Committee is authorized to grant Options to Participants on the following terms and conditions:</w:t>
            </w:r>
          </w:p>
        </w:tc>
      </w:tr>
      <w:tr>
        <w:trPr>
          <w:trHeight w:val="358"/>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(i)</w:t>
            </w:r>
          </w:p>
        </w:tc>
        <w:tc>
          <w:tcPr>
            <w:tcW w:w="9900" w:type="dxa"/>
            <w:vAlign w:val="bottom"/>
          </w:tcPr>
          <w:p>
            <w:pPr>
              <w:ind w:left="320"/>
              <w:spacing w:after="0"/>
              <w:rPr>
                <w:sz w:val="20"/>
                <w:szCs w:val="20"/>
                <w:color w:val="auto"/>
              </w:rPr>
            </w:pPr>
            <w:r>
              <w:rPr>
                <w:rFonts w:ascii="Arial" w:cs="Arial" w:eastAsia="Arial" w:hAnsi="Arial"/>
                <w:sz w:val="18"/>
                <w:szCs w:val="18"/>
                <w:i w:val="1"/>
                <w:iCs w:val="1"/>
                <w:color w:val="auto"/>
                <w:w w:val="93"/>
              </w:rPr>
              <w:t xml:space="preserve">Exercise Price. </w:t>
            </w:r>
            <w:r>
              <w:rPr>
                <w:rFonts w:ascii="Arial" w:cs="Arial" w:eastAsia="Arial" w:hAnsi="Arial"/>
                <w:sz w:val="18"/>
                <w:szCs w:val="18"/>
                <w:color w:val="auto"/>
                <w:w w:val="93"/>
              </w:rPr>
              <w:t>The criteria for determining the exercise price per Share of an Option shall be determined and such price shall be</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established by the Committee prior to each grant.</w:t>
            </w:r>
          </w:p>
        </w:tc>
      </w:tr>
      <w:tr>
        <w:trPr>
          <w:trHeight w:val="358"/>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(ii)</w:t>
            </w:r>
          </w:p>
        </w:tc>
        <w:tc>
          <w:tcPr>
            <w:tcW w:w="9900" w:type="dxa"/>
            <w:vAlign w:val="bottom"/>
          </w:tcPr>
          <w:p>
            <w:pPr>
              <w:ind w:left="320"/>
              <w:spacing w:after="0"/>
              <w:rPr>
                <w:sz w:val="20"/>
                <w:szCs w:val="20"/>
                <w:color w:val="auto"/>
              </w:rPr>
            </w:pPr>
            <w:r>
              <w:rPr>
                <w:rFonts w:ascii="Arial" w:cs="Arial" w:eastAsia="Arial" w:hAnsi="Arial"/>
                <w:sz w:val="18"/>
                <w:szCs w:val="18"/>
                <w:i w:val="1"/>
                <w:iCs w:val="1"/>
                <w:color w:val="auto"/>
                <w:w w:val="93"/>
              </w:rPr>
              <w:t xml:space="preserve">Option Term. </w:t>
            </w:r>
            <w:r>
              <w:rPr>
                <w:rFonts w:ascii="Arial" w:cs="Arial" w:eastAsia="Arial" w:hAnsi="Arial"/>
                <w:sz w:val="18"/>
                <w:szCs w:val="18"/>
                <w:color w:val="auto"/>
                <w:w w:val="93"/>
              </w:rPr>
              <w:t>The term of each Option shall be determined by the Committee, except that no Option shall be exercisable after the</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w w:val="89"/>
              </w:rPr>
              <w:t>expiration of ten years from the date of grant. The Option shall be evidenced by a form of written Award Agreement, and subject to the</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terms thereof.</w:t>
            </w:r>
          </w:p>
        </w:tc>
      </w:tr>
      <w:tr>
        <w:trPr>
          <w:trHeight w:val="358"/>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(iii)</w:t>
            </w:r>
          </w:p>
        </w:tc>
        <w:tc>
          <w:tcPr>
            <w:tcW w:w="9900" w:type="dxa"/>
            <w:vAlign w:val="bottom"/>
          </w:tcPr>
          <w:p>
            <w:pPr>
              <w:ind w:left="320"/>
              <w:spacing w:after="0"/>
              <w:rPr>
                <w:sz w:val="20"/>
                <w:szCs w:val="20"/>
                <w:color w:val="auto"/>
              </w:rPr>
            </w:pPr>
            <w:r>
              <w:rPr>
                <w:rFonts w:ascii="Arial" w:cs="Arial" w:eastAsia="Arial" w:hAnsi="Arial"/>
                <w:sz w:val="18"/>
                <w:szCs w:val="18"/>
                <w:i w:val="1"/>
                <w:iCs w:val="1"/>
                <w:color w:val="auto"/>
                <w:w w:val="90"/>
              </w:rPr>
              <w:t xml:space="preserve">Times and Methods of Exercise. </w:t>
            </w:r>
            <w:r>
              <w:rPr>
                <w:rFonts w:ascii="Arial" w:cs="Arial" w:eastAsia="Arial" w:hAnsi="Arial"/>
                <w:sz w:val="18"/>
                <w:szCs w:val="18"/>
                <w:color w:val="auto"/>
                <w:w w:val="90"/>
              </w:rPr>
              <w:t>The Committee shall determine the time or times at which an Option may be exercised in whole or in</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w w:val="92"/>
              </w:rPr>
              <w:t>part, the methods by which the exercise price may be paid or deemed to be paid, and the form of such payment, including, without</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w w:val="90"/>
              </w:rPr>
              <w:t>limitation, cash, Shares, or other property or any combination thereof, having a Fair Market Value on the date of exercise equal to the</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w w:val="94"/>
              </w:rPr>
              <w:t>exercise price, provided, however, that (1) in the case of a Participant who is at the time of exercise subject to Section 16 of the</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w w:val="88"/>
              </w:rPr>
              <w:t>Exchange Act, any portion of the exercise price representing a fraction of a Share shall in any event be paid in cash or in property other</w:t>
            </w:r>
          </w:p>
        </w:tc>
      </w:tr>
    </w:tbl>
    <w:p>
      <w:pPr>
        <w:jc w:val="both"/>
        <w:ind w:left="1840"/>
        <w:spacing w:after="0" w:line="295" w:lineRule="auto"/>
        <w:rPr>
          <w:sz w:val="20"/>
          <w:szCs w:val="20"/>
          <w:color w:val="auto"/>
        </w:rPr>
      </w:pPr>
      <w:r>
        <w:rPr>
          <w:rFonts w:ascii="Arial" w:cs="Arial" w:eastAsia="Arial" w:hAnsi="Arial"/>
          <w:sz w:val="16"/>
          <w:szCs w:val="16"/>
          <w:color w:val="auto"/>
        </w:rPr>
        <w:t>than any equity security (as defined by the Exchange Act) of the Corporation and (2) except as otherwise determined by the Committee, in its discretion, at the time the Option is granted, no shares which have been held for less than six months may be delivered in payment of the exercise price of an Option. Delivery of Shares in payment of the exercise price of an Option, if authorized by the Committee, may be accomplished through the effective transfer to the Corporation of Shares held by a broker or other agent.</w:t>
      </w:r>
    </w:p>
    <w:p>
      <w:pPr>
        <w:spacing w:after="0" w:line="102" w:lineRule="exact"/>
        <w:rPr>
          <w:sz w:val="20"/>
          <w:szCs w:val="20"/>
          <w:color w:val="auto"/>
        </w:rPr>
      </w:pPr>
    </w:p>
    <w:p>
      <w:pPr>
        <w:jc w:val="both"/>
        <w:ind w:left="1840"/>
        <w:spacing w:after="0" w:line="306" w:lineRule="auto"/>
        <w:rPr>
          <w:sz w:val="20"/>
          <w:szCs w:val="20"/>
          <w:color w:val="auto"/>
        </w:rPr>
      </w:pPr>
      <w:r>
        <w:rPr>
          <w:rFonts w:ascii="Arial" w:cs="Arial" w:eastAsia="Arial" w:hAnsi="Arial"/>
          <w:sz w:val="16"/>
          <w:szCs w:val="16"/>
          <w:color w:val="auto"/>
        </w:rPr>
        <w:t>Unless otherwise determined by the Committee, the Corporation will also cooperate with any person exercising an Option who participates in a cashless exercise program of a broker or other agent under which all or part of the Shares received upon exercise of the Option are sold through the broker or other agent, for the purpose of paying the exercise price of an 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jc w:val="both"/>
        <w:ind w:left="1840"/>
        <w:spacing w:after="0" w:line="259" w:lineRule="auto"/>
        <w:rPr>
          <w:sz w:val="20"/>
          <w:szCs w:val="20"/>
          <w:color w:val="auto"/>
        </w:rPr>
      </w:pPr>
      <w:r>
        <w:rPr>
          <w:rFonts w:ascii="Arial" w:cs="Arial" w:eastAsia="Arial" w:hAnsi="Arial"/>
          <w:sz w:val="18"/>
          <w:szCs w:val="18"/>
          <w:color w:val="auto"/>
        </w:rPr>
        <w:t>Notwithstanding the preceding sentence, unless the Committee, in its discretion, shall otherwise determine, the exercise of the Option shall not be deemed to occur, and no Shares will be issued by the Corporation upon exercise of an Option, until the Corporation has received payment in full of the exercise price.</w:t>
      </w:r>
    </w:p>
    <w:p>
      <w:pPr>
        <w:spacing w:after="0" w:line="127" w:lineRule="exact"/>
        <w:rPr>
          <w:sz w:val="20"/>
          <w:szCs w:val="20"/>
          <w:color w:val="auto"/>
        </w:rPr>
      </w:pPr>
    </w:p>
    <w:p>
      <w:pPr>
        <w:ind w:left="1840" w:hanging="914"/>
        <w:spacing w:after="0" w:line="268" w:lineRule="auto"/>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In the case of Participants, unless otherwise determined by the Committee and reflected in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award program:</w:t>
      </w:r>
    </w:p>
    <w:p>
      <w:pPr>
        <w:spacing w:after="0" w:line="118" w:lineRule="exact"/>
        <w:rPr>
          <w:rFonts w:ascii="Arial" w:cs="Arial" w:eastAsia="Arial" w:hAnsi="Arial"/>
          <w:sz w:val="18"/>
          <w:szCs w:val="18"/>
          <w:color w:val="auto"/>
        </w:rPr>
      </w:pPr>
    </w:p>
    <w:p>
      <w:pPr>
        <w:jc w:val="both"/>
        <w:ind w:left="2740" w:hanging="895"/>
        <w:spacing w:after="0" w:line="291" w:lineRule="auto"/>
        <w:tabs>
          <w:tab w:leader="none" w:pos="27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 Participant shall die while employed or engaged by the Corporation or a Subsidiary or affiliate or during a period following termination of employment or engagement during which an Option otherwise remains exercisable under this Section 6.02(iv), Options granted to the Participant, to the extent exercisable at the time of the Participant’s death, may be exercised within two years after the date of the Participant’s death, but not later than the expiration date of the Options, by the executor or administrator of the Participant’s estate or by the Person or Persons to whom the Participant shall have transferred such right by will or by the laws of descent and distribution.</w:t>
      </w:r>
    </w:p>
    <w:p>
      <w:pPr>
        <w:spacing w:after="0" w:line="106" w:lineRule="exact"/>
        <w:rPr>
          <w:rFonts w:ascii="Arial" w:cs="Arial" w:eastAsia="Arial" w:hAnsi="Arial"/>
          <w:sz w:val="16"/>
          <w:szCs w:val="16"/>
          <w:color w:val="auto"/>
        </w:rPr>
      </w:pPr>
    </w:p>
    <w:p>
      <w:pPr>
        <w:ind w:left="2740" w:hanging="895"/>
        <w:spacing w:after="0" w:line="268" w:lineRule="auto"/>
        <w:tabs>
          <w:tab w:leader="none" w:pos="2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Participant must terminate employment due to disability, the Options may be exercised within three years after the date of termination, but not later than the expiration date of the Options.</w:t>
      </w:r>
    </w:p>
    <w:p>
      <w:pPr>
        <w:spacing w:after="0" w:line="118" w:lineRule="exact"/>
        <w:rPr>
          <w:rFonts w:ascii="Arial" w:cs="Arial" w:eastAsia="Arial" w:hAnsi="Arial"/>
          <w:sz w:val="18"/>
          <w:szCs w:val="18"/>
          <w:color w:val="auto"/>
        </w:rPr>
      </w:pPr>
    </w:p>
    <w:p>
      <w:pPr>
        <w:jc w:val="both"/>
        <w:ind w:left="2740" w:hanging="895"/>
        <w:spacing w:after="0" w:line="298" w:lineRule="auto"/>
        <w:tabs>
          <w:tab w:leader="none" w:pos="27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Participant has attained the age of 55 and has been an employee of the Corporation, its Subsidiary, or affiliate for not less than three (3) years as of or on the date of termination of employment by reason of retirement, the Options shall vest and shall become immediately exercisable in full on the date of termination and may be exercised within three years after the date of retirement, but not later than the expiration date of the Options.</w:t>
      </w:r>
    </w:p>
    <w:p>
      <w:pPr>
        <w:spacing w:after="0" w:line="99" w:lineRule="exact"/>
        <w:rPr>
          <w:rFonts w:ascii="Arial" w:cs="Arial" w:eastAsia="Arial" w:hAnsi="Arial"/>
          <w:sz w:val="16"/>
          <w:szCs w:val="16"/>
          <w:color w:val="auto"/>
        </w:rPr>
      </w:pPr>
    </w:p>
    <w:p>
      <w:pPr>
        <w:jc w:val="both"/>
        <w:ind w:left="2740" w:hanging="895"/>
        <w:spacing w:after="0" w:line="291" w:lineRule="auto"/>
        <w:tabs>
          <w:tab w:leader="none" w:pos="27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employment or engagement of a Participant with the Corporation and its Subsidiaries and affiliates shall be involuntarily terminated under circumstances which would qualify the Participant for benefits under a severance plan of the Corporation or shall terminate his or her employment or engagement with the written consent of the Corporation or a Subsidiary, the Committee may elect to vest the Options immediately. Options granted to the Participant, to the extent exercisable at the date of the Participant’s termination of employment or engagement, may be exercised within six months after the date of termination of employment or engagement, but not later than the expiration date of the Options.</w:t>
      </w:r>
    </w:p>
    <w:p>
      <w:pPr>
        <w:spacing w:after="0" w:line="106" w:lineRule="exact"/>
        <w:rPr>
          <w:rFonts w:ascii="Arial" w:cs="Arial" w:eastAsia="Arial" w:hAnsi="Arial"/>
          <w:sz w:val="16"/>
          <w:szCs w:val="16"/>
          <w:color w:val="auto"/>
        </w:rPr>
      </w:pPr>
    </w:p>
    <w:p>
      <w:pPr>
        <w:jc w:val="both"/>
        <w:ind w:left="2740" w:hanging="895"/>
        <w:spacing w:after="0" w:line="259" w:lineRule="auto"/>
        <w:tabs>
          <w:tab w:leader="none" w:pos="2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except to the extent an Option remains exercisable under paragraphs (A) through (D) above, any Option granted to a Participant shall terminate six months after the date of termination of employment or engagement of the Participant with the Corporation or a Subsidiary or affiliate.</w:t>
      </w:r>
    </w:p>
    <w:p>
      <w:pPr>
        <w:spacing w:after="0" w:line="126" w:lineRule="exact"/>
        <w:rPr>
          <w:rFonts w:ascii="Arial" w:cs="Arial" w:eastAsia="Arial" w:hAnsi="Arial"/>
          <w:sz w:val="18"/>
          <w:szCs w:val="18"/>
          <w:color w:val="auto"/>
        </w:rPr>
      </w:pPr>
    </w:p>
    <w:p>
      <w:pPr>
        <w:jc w:val="both"/>
        <w:ind w:left="1840" w:right="20" w:hanging="914"/>
        <w:spacing w:after="0" w:line="259" w:lineRule="auto"/>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Individual Option Limit. </w:t>
      </w:r>
      <w:r>
        <w:rPr>
          <w:rFonts w:ascii="Arial" w:cs="Arial" w:eastAsia="Arial" w:hAnsi="Arial"/>
          <w:sz w:val="18"/>
          <w:szCs w:val="18"/>
          <w:color w:val="auto"/>
        </w:rPr>
        <w:t>The aggregate number of Shares for which Options may be granted under the Plan to any single Participant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calendar year shall not exceed 1,000,000 Shares. The limitation in the preceding sentence shall be interpreted and applied in a manner consistent with Section 162(m) of the Code.</w:t>
      </w:r>
    </w:p>
    <w:p>
      <w:pPr>
        <w:spacing w:after="0" w:line="1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The Committee is authorized to grant Restricted Stock to Participants on the following terms and conditions:</w:t>
      </w:r>
    </w:p>
    <w:p>
      <w:pPr>
        <w:spacing w:after="0" w:line="164" w:lineRule="exact"/>
        <w:rPr>
          <w:sz w:val="20"/>
          <w:szCs w:val="20"/>
          <w:color w:val="auto"/>
        </w:rPr>
      </w:pPr>
    </w:p>
    <w:p>
      <w:pPr>
        <w:jc w:val="both"/>
        <w:ind w:left="1840" w:hanging="914"/>
        <w:spacing w:after="0" w:line="291" w:lineRule="auto"/>
        <w:tabs>
          <w:tab w:leader="none" w:pos="184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Issuance and Restrictions. </w:t>
      </w:r>
      <w:r>
        <w:rPr>
          <w:rFonts w:ascii="Arial" w:cs="Arial" w:eastAsia="Arial" w:hAnsi="Arial"/>
          <w:sz w:val="16"/>
          <w:szCs w:val="16"/>
          <w:color w:val="auto"/>
        </w:rPr>
        <w:t>Restricted Stock shall be subject to such restrictions on transferability and other restrictions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impose (including, without limitation, limitations on the right to vote Restricted Stock or the right to receive dividends thereon), which restrictions may lapse separately or in combination at such times, under such circumstances, in such installments or otherwise, as the Committee shall determine at the time of grant or thereafter. The restriction period applicable to Restricted Stock shall, in the case of a time-based restriction, be not less than three years, with ratable vesting over such period or, in the case of a performance-based restriction period, be not less than one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both"/>
        <w:ind w:left="1840" w:hanging="914"/>
        <w:spacing w:after="0" w:line="254" w:lineRule="auto"/>
        <w:tabs>
          <w:tab w:leader="none" w:pos="18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Forfeiture. </w:t>
      </w:r>
      <w:r>
        <w:rPr>
          <w:rFonts w:ascii="Arial" w:cs="Arial" w:eastAsia="Arial" w:hAnsi="Arial"/>
          <w:sz w:val="18"/>
          <w:szCs w:val="18"/>
          <w:color w:val="auto"/>
        </w:rPr>
        <w:t>Except as otherwise determined by the Committee at the time of grant or thereafter, upon 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or other service (as determined under criteria established by the Committee) during the applicable restriction period, Restricted Stock that is at that time subject to restrictions shall be forfeited and reacquired by the Corporation; provided, however, that the Committee may provide, by rule or regulation or in any Award Agreement, that restrictions on Restricted Stock shall be waived in whole or in part in the event of terminations resulting from specified causes, and the Committee may in other cases waive in whole or in part restrictions on Restricted Stock.</w:t>
      </w:r>
    </w:p>
    <w:p>
      <w:pPr>
        <w:spacing w:after="0" w:line="130" w:lineRule="exact"/>
        <w:rPr>
          <w:rFonts w:ascii="Arial" w:cs="Arial" w:eastAsia="Arial" w:hAnsi="Arial"/>
          <w:sz w:val="18"/>
          <w:szCs w:val="18"/>
          <w:color w:val="auto"/>
        </w:rPr>
      </w:pPr>
    </w:p>
    <w:p>
      <w:pPr>
        <w:jc w:val="both"/>
        <w:ind w:left="1840" w:hanging="914"/>
        <w:spacing w:after="0" w:line="256" w:lineRule="auto"/>
        <w:tabs>
          <w:tab w:leader="none" w:pos="18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for Shares. </w:t>
      </w:r>
      <w:r>
        <w:rPr>
          <w:rFonts w:ascii="Arial" w:cs="Arial" w:eastAsia="Arial" w:hAnsi="Arial"/>
          <w:sz w:val="18"/>
          <w:szCs w:val="18"/>
          <w:color w:val="auto"/>
        </w:rPr>
        <w:t>Restricted Stock granted under the Plan may be evidenced in such manner as the Committee shall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issuance of certificates representing Shares, which may be held in escrow. Certificates representing Shares of Restricted Stock shall be registered in the name of the Participant and shall bear an appropriate legend referring to the terms, conditions and restrictions applicable to such Restricted Stock.</w:t>
      </w:r>
    </w:p>
    <w:p>
      <w:pPr>
        <w:spacing w:after="0" w:line="12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b w:val="1"/>
          <w:bCs w:val="1"/>
          <w:color w:val="auto"/>
        </w:rPr>
        <w:t xml:space="preserve">Performance Awards. </w:t>
      </w:r>
      <w:r>
        <w:rPr>
          <w:rFonts w:ascii="Arial" w:cs="Arial" w:eastAsia="Arial" w:hAnsi="Arial"/>
          <w:sz w:val="16"/>
          <w:szCs w:val="16"/>
          <w:color w:val="auto"/>
        </w:rPr>
        <w:t>The Committee is authorized to grant Performance Awards to Participants on the following terms and conditions:</w:t>
      </w:r>
    </w:p>
    <w:p>
      <w:pPr>
        <w:spacing w:after="0" w:line="164" w:lineRule="exact"/>
        <w:rPr>
          <w:sz w:val="20"/>
          <w:szCs w:val="20"/>
          <w:color w:val="auto"/>
        </w:rPr>
      </w:pPr>
    </w:p>
    <w:p>
      <w:pPr>
        <w:jc w:val="both"/>
        <w:ind w:left="1840" w:hanging="914"/>
        <w:spacing w:after="0" w:line="259" w:lineRule="auto"/>
        <w:tabs>
          <w:tab w:leader="none" w:pos="18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Right to Payment. </w:t>
      </w:r>
      <w:r>
        <w:rPr>
          <w:rFonts w:ascii="Arial" w:cs="Arial" w:eastAsia="Arial" w:hAnsi="Arial"/>
          <w:sz w:val="18"/>
          <w:szCs w:val="18"/>
          <w:color w:val="auto"/>
        </w:rPr>
        <w:t>A Performance Award shall represent a right to receive Shares based on the achievement, or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during a specified Performance Period of one or more Performance Goals established by the Committee at the time of the Award.</w:t>
      </w:r>
    </w:p>
    <w:p>
      <w:pPr>
        <w:spacing w:after="0" w:line="126" w:lineRule="exact"/>
        <w:rPr>
          <w:rFonts w:ascii="Arial" w:cs="Arial" w:eastAsia="Arial" w:hAnsi="Arial"/>
          <w:sz w:val="18"/>
          <w:szCs w:val="18"/>
          <w:color w:val="auto"/>
        </w:rPr>
      </w:pPr>
    </w:p>
    <w:p>
      <w:pPr>
        <w:jc w:val="both"/>
        <w:ind w:left="1840" w:hanging="914"/>
        <w:spacing w:after="0" w:line="285" w:lineRule="auto"/>
        <w:tabs>
          <w:tab w:leader="none" w:pos="184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Terms of Performance Awards. </w:t>
      </w:r>
      <w:r>
        <w:rPr>
          <w:rFonts w:ascii="Arial" w:cs="Arial" w:eastAsia="Arial" w:hAnsi="Arial"/>
          <w:sz w:val="16"/>
          <w:szCs w:val="16"/>
          <w:color w:val="auto"/>
        </w:rPr>
        <w:t>At or prior to the time a Performance Award is granted, the Committee shall cause to be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 or otherwise in writing (1) the Performance Goals applicable to the Award and the Performance Period during which the achievement of the Performance Goals shall be measured, (2) the amount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 party having knowledge of the relevant facts could determine whether or not any Performance Goal has been achieved, or the extent of such achievement, and the amount, if any, which has been earned by the Participant based on such performance. The Committee may retain the discretion to reduce (but not to increase) the amount of a Performance Award which will be earned based on the achievement of Performance Goals. When the Performance Goals are established, the Committee shall also specify the manner in which the level of achievement of such Performance Goals shall be calculated and the weighting assigned to such Performance Goals. The Committee may determine that unusual items or certain specified events or occurrences, including changes in accounting standards or tax laws and the effects of non-operational items or extraordinary items as defined by generally accepted accounting principles, shall be excluded from the calculation to the extent permitted in Section 162(m).</w:t>
      </w:r>
    </w:p>
    <w:p>
      <w:pPr>
        <w:spacing w:after="0" w:line="114" w:lineRule="exact"/>
        <w:rPr>
          <w:rFonts w:ascii="Arial" w:cs="Arial" w:eastAsia="Arial" w:hAnsi="Arial"/>
          <w:sz w:val="16"/>
          <w:szCs w:val="16"/>
          <w:color w:val="auto"/>
        </w:rPr>
      </w:pPr>
    </w:p>
    <w:p>
      <w:pPr>
        <w:ind w:left="1840" w:hanging="914"/>
        <w:spacing w:after="0" w:line="268" w:lineRule="auto"/>
        <w:tabs>
          <w:tab w:leader="none" w:pos="18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“Performance Goals” shall mean one or more pre-established, objective measures of performance during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“Performance Period”, selected by the Committee in its discretion.</w:t>
      </w:r>
    </w:p>
    <w:p>
      <w:pPr>
        <w:spacing w:after="0" w:line="118" w:lineRule="exact"/>
        <w:rPr>
          <w:rFonts w:ascii="Arial" w:cs="Arial" w:eastAsia="Arial" w:hAnsi="Arial"/>
          <w:sz w:val="18"/>
          <w:szCs w:val="18"/>
          <w:color w:val="auto"/>
        </w:rPr>
      </w:pPr>
    </w:p>
    <w:p>
      <w:pPr>
        <w:jc w:val="both"/>
        <w:ind w:left="1840"/>
        <w:spacing w:after="0" w:line="286" w:lineRule="auto"/>
        <w:rPr>
          <w:rFonts w:ascii="Arial" w:cs="Arial" w:eastAsia="Arial" w:hAnsi="Arial"/>
          <w:sz w:val="18"/>
          <w:szCs w:val="18"/>
          <w:color w:val="auto"/>
        </w:rPr>
      </w:pPr>
      <w:r>
        <w:rPr>
          <w:rFonts w:ascii="Arial" w:cs="Arial" w:eastAsia="Arial" w:hAnsi="Arial"/>
          <w:sz w:val="16"/>
          <w:szCs w:val="16"/>
          <w:color w:val="auto"/>
        </w:rPr>
        <w:t>Performance Goals may be based upon one or more of the following objective performance measures and expressed in either, or a combination of, absolute or relative values: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return on equity, return on assets, earnings (including EBITDA and EBIT), operating cash flow, operating cash flow as a percent of capital employed, economic value added, gross margin, total shareholder return, workforce diversity, number of accounts, workers’ compensation claims, budgeted amounts, cost per hire, turnover rate, and/or training costs and expenses. Performance Goals based on such performance measures may be based either on the performance of the Corporation, a Subsidiary or Subsidiaries, affiliate, any branch, department, business unit or other portion thereof under such measure for the Performance Period and/or upon a comparison of such performance with the performance of a peer group of corporations, prior Performance Periods or other measure selected or defined by the Committee at the time of making a Performance Award. The Committee may in its discretion also determine to use other objective performance measures as Performance Goals.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(iv)</w:t>
            </w:r>
          </w:p>
        </w:tc>
        <w:tc>
          <w:tcPr>
            <w:tcW w:w="9900" w:type="dxa"/>
            <w:vAlign w:val="bottom"/>
          </w:tcPr>
          <w:p>
            <w:pPr>
              <w:jc w:val="right"/>
              <w:spacing w:after="0"/>
              <w:rPr>
                <w:sz w:val="20"/>
                <w:szCs w:val="20"/>
                <w:color w:val="auto"/>
              </w:rPr>
            </w:pPr>
            <w:r>
              <w:rPr>
                <w:rFonts w:ascii="Arial" w:cs="Arial" w:eastAsia="Arial" w:hAnsi="Arial"/>
                <w:sz w:val="18"/>
                <w:szCs w:val="18"/>
                <w:i w:val="1"/>
                <w:iCs w:val="1"/>
                <w:color w:val="auto"/>
                <w:w w:val="97"/>
              </w:rPr>
              <w:t xml:space="preserve">Committee Certification. </w:t>
            </w:r>
            <w:r>
              <w:rPr>
                <w:rFonts w:ascii="Arial" w:cs="Arial" w:eastAsia="Arial" w:hAnsi="Arial"/>
                <w:sz w:val="18"/>
                <w:szCs w:val="18"/>
                <w:color w:val="auto"/>
                <w:w w:val="97"/>
              </w:rPr>
              <w:t>Following completion of the applicable Performance Period, and prior to any payment of a Performance</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4"/>
              </w:rPr>
              <w:t>Award to the Participant, the Committee shall determine in accordance with the terms of the Performance Award and shall certify in</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4"/>
              </w:rPr>
              <w:t>writing whether the applicable Performance Goal or Goals were achieved, or the level of such achievement, and the amount, if any,</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1"/>
              </w:rPr>
              <w:t>earned by the Participant based upon such performance. For this purpose, approved minutes of the meeting of the Committee at which</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certification is made shall be sufficient to satisfy the requirement of a written certification.</w:t>
            </w:r>
          </w:p>
        </w:tc>
      </w:tr>
      <w:tr>
        <w:trPr>
          <w:trHeight w:val="358"/>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2"/>
              </w:rPr>
              <w:t>Performance Awards are not intended to provide for the deferral of compensation, such that payment of Performance Awards shall be</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4"/>
              </w:rPr>
              <w:t>paid within two and one-half months following the end of the calendar year in which the Performance Period ends or such other time</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period if and to the extent as may be required to avoid characterization of such Awards as deferred compensation.</w:t>
            </w:r>
          </w:p>
        </w:tc>
      </w:tr>
      <w:tr>
        <w:trPr>
          <w:trHeight w:val="358"/>
        </w:trPr>
        <w:tc>
          <w:tcPr>
            <w:tcW w:w="6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(v)</w:t>
            </w:r>
          </w:p>
        </w:tc>
        <w:tc>
          <w:tcPr>
            <w:tcW w:w="9900" w:type="dxa"/>
            <w:vAlign w:val="bottom"/>
          </w:tcPr>
          <w:p>
            <w:pPr>
              <w:jc w:val="right"/>
              <w:spacing w:after="0"/>
              <w:rPr>
                <w:sz w:val="20"/>
                <w:szCs w:val="20"/>
                <w:color w:val="auto"/>
              </w:rPr>
            </w:pPr>
            <w:r>
              <w:rPr>
                <w:rFonts w:ascii="Arial" w:cs="Arial" w:eastAsia="Arial" w:hAnsi="Arial"/>
                <w:sz w:val="18"/>
                <w:szCs w:val="18"/>
                <w:i w:val="1"/>
                <w:iCs w:val="1"/>
                <w:color w:val="auto"/>
                <w:w w:val="95"/>
              </w:rPr>
              <w:t xml:space="preserve">Maximum Individual Performance Award Payments. </w:t>
            </w:r>
            <w:r>
              <w:rPr>
                <w:rFonts w:ascii="Arial" w:cs="Arial" w:eastAsia="Arial" w:hAnsi="Arial"/>
                <w:sz w:val="18"/>
                <w:szCs w:val="18"/>
                <w:color w:val="auto"/>
                <w:w w:val="95"/>
              </w:rPr>
              <w:t>In any one calendar year, the maximum amount which may be earned by any</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4"/>
              </w:rPr>
              <w:t>single Participant under Performance Awards granted under the Plan shall be limited to 1,000,000 Shares. In the case of multi-year</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2"/>
              </w:rPr>
              <w:t>Performance Periods, the amount which is earned in any one calendar year is the amount paid for the Performance Period divided by</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1"/>
              </w:rPr>
              <w:t>the number of calendar years in the period. In applying this limit, the number of Shares earned by a Participant shall be measured as of</w:t>
            </w:r>
          </w:p>
        </w:tc>
      </w:tr>
      <w:tr>
        <w:trPr>
          <w:trHeight w:val="216"/>
        </w:trPr>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w w:val="92"/>
              </w:rPr>
              <w:t>the close of the applicable calendar year which ends the Performance Period, regardless of the fact that certification by the Committee</w:t>
            </w:r>
          </w:p>
        </w:tc>
      </w:tr>
      <w:tr>
        <w:trPr>
          <w:trHeight w:val="222"/>
        </w:trPr>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and actual payment to the Participant may occur in a subsequent calendar year or years.</w:t>
            </w:r>
          </w:p>
        </w:tc>
      </w:tr>
      <w:tr>
        <w:trPr>
          <w:trHeight w:val="35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6.05</w:t>
            </w:r>
          </w:p>
        </w:tc>
        <w:tc>
          <w:tcPr>
            <w:tcW w:w="10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 xml:space="preserve">Other Stock-Based Awards. </w:t>
            </w:r>
            <w:r>
              <w:rPr>
                <w:rFonts w:ascii="Arial" w:cs="Arial" w:eastAsia="Arial" w:hAnsi="Arial"/>
                <w:sz w:val="18"/>
                <w:szCs w:val="18"/>
                <w:color w:val="auto"/>
                <w:w w:val="91"/>
              </w:rPr>
              <w:t>The Committee is authorized, subject to limitations under applicable law, to grant to Participants, in lieu of salary, cash</w:t>
            </w:r>
          </w:p>
        </w:tc>
      </w:tr>
      <w:tr>
        <w:trPr>
          <w:trHeight w:val="216"/>
        </w:trPr>
        <w:tc>
          <w:tcPr>
            <w:tcW w:w="620" w:type="dxa"/>
            <w:vAlign w:val="bottom"/>
          </w:tcPr>
          <w:p>
            <w:pPr>
              <w:spacing w:after="0"/>
              <w:rPr>
                <w:sz w:val="18"/>
                <w:szCs w:val="18"/>
                <w:color w:val="auto"/>
              </w:rPr>
            </w:pPr>
          </w:p>
        </w:tc>
        <w:tc>
          <w:tcPr>
            <w:tcW w:w="10800" w:type="dxa"/>
            <w:vAlign w:val="bottom"/>
            <w:gridSpan w:val="2"/>
          </w:tcPr>
          <w:p>
            <w:pPr>
              <w:jc w:val="right"/>
              <w:spacing w:after="0"/>
              <w:rPr>
                <w:sz w:val="20"/>
                <w:szCs w:val="20"/>
                <w:color w:val="auto"/>
              </w:rPr>
            </w:pPr>
            <w:r>
              <w:rPr>
                <w:rFonts w:ascii="Arial" w:cs="Arial" w:eastAsia="Arial" w:hAnsi="Arial"/>
                <w:sz w:val="18"/>
                <w:szCs w:val="18"/>
                <w:color w:val="auto"/>
                <w:w w:val="91"/>
              </w:rPr>
              <w:t>bonus, fees or other payments, such other Awards that are denominated or payable in, valued in whole or in part by reference to, or otherwise based</w:t>
            </w:r>
          </w:p>
        </w:tc>
      </w:tr>
      <w:tr>
        <w:trPr>
          <w:trHeight w:val="216"/>
        </w:trPr>
        <w:tc>
          <w:tcPr>
            <w:tcW w:w="620" w:type="dxa"/>
            <w:vAlign w:val="bottom"/>
          </w:tcPr>
          <w:p>
            <w:pPr>
              <w:spacing w:after="0"/>
              <w:rPr>
                <w:sz w:val="18"/>
                <w:szCs w:val="18"/>
                <w:color w:val="auto"/>
              </w:rPr>
            </w:pPr>
          </w:p>
        </w:tc>
        <w:tc>
          <w:tcPr>
            <w:tcW w:w="10800" w:type="dxa"/>
            <w:vAlign w:val="bottom"/>
            <w:gridSpan w:val="2"/>
          </w:tcPr>
          <w:p>
            <w:pPr>
              <w:jc w:val="right"/>
              <w:spacing w:after="0"/>
              <w:rPr>
                <w:sz w:val="20"/>
                <w:szCs w:val="20"/>
                <w:color w:val="auto"/>
              </w:rPr>
            </w:pPr>
            <w:r>
              <w:rPr>
                <w:rFonts w:ascii="Arial" w:cs="Arial" w:eastAsia="Arial" w:hAnsi="Arial"/>
                <w:sz w:val="18"/>
                <w:szCs w:val="18"/>
                <w:color w:val="auto"/>
                <w:w w:val="92"/>
              </w:rPr>
              <w:t>on, or related to, Shares, as deemed by the Committee to be consistent with the purposes of the Plan, including, without limitation, purchase rights,</w:t>
            </w:r>
          </w:p>
        </w:tc>
      </w:tr>
      <w:tr>
        <w:trPr>
          <w:trHeight w:val="222"/>
        </w:trPr>
        <w:tc>
          <w:tcPr>
            <w:tcW w:w="620" w:type="dxa"/>
            <w:vAlign w:val="bottom"/>
          </w:tcPr>
          <w:p>
            <w:pPr>
              <w:spacing w:after="0"/>
              <w:rPr>
                <w:sz w:val="19"/>
                <w:szCs w:val="19"/>
                <w:color w:val="auto"/>
              </w:rPr>
            </w:pPr>
          </w:p>
        </w:tc>
        <w:tc>
          <w:tcPr>
            <w:tcW w:w="10800" w:type="dxa"/>
            <w:vAlign w:val="bottom"/>
            <w:gridSpan w:val="2"/>
          </w:tcPr>
          <w:p>
            <w:pPr>
              <w:jc w:val="right"/>
              <w:spacing w:after="0"/>
              <w:rPr>
                <w:sz w:val="20"/>
                <w:szCs w:val="20"/>
                <w:color w:val="auto"/>
              </w:rPr>
            </w:pPr>
            <w:r>
              <w:rPr>
                <w:rFonts w:ascii="Arial" w:cs="Arial" w:eastAsia="Arial" w:hAnsi="Arial"/>
                <w:sz w:val="18"/>
                <w:szCs w:val="18"/>
                <w:color w:val="auto"/>
                <w:w w:val="92"/>
              </w:rPr>
              <w:t>appreciation rights, Shares awarded which are not subject to any restrictions or conditions, convertible securities, exchangeable securities or other</w:t>
            </w:r>
          </w:p>
        </w:tc>
      </w:tr>
    </w:tbl>
    <w:p>
      <w:pPr>
        <w:jc w:val="both"/>
        <w:ind w:left="920"/>
        <w:spacing w:after="0" w:line="253" w:lineRule="auto"/>
        <w:rPr>
          <w:sz w:val="20"/>
          <w:szCs w:val="20"/>
          <w:color w:val="auto"/>
        </w:rPr>
      </w:pPr>
      <w:r>
        <w:rPr>
          <w:rFonts w:ascii="Arial" w:cs="Arial" w:eastAsia="Arial" w:hAnsi="Arial"/>
          <w:sz w:val="18"/>
          <w:szCs w:val="18"/>
          <w:color w:val="auto"/>
        </w:rPr>
        <w:t>rights convertible or exchangeable into Shares, as the Committee in its discretion may determine. In the discretion of the Committee, such Other Stock-Based Awards, including Shares, or other types of Awards authorized under the Plan, may be used in connection with, or to satisfy obligations of the Corporation or a Subsidiary under, other compensation or incentive plans, programs or arrangements of the Corporation or any Subsidiary for eligible Participants, including without limitation the 1998 Annual Incentive Plan, as amended, the 1996 Stock Plan for Directors, as amended, or other or successor programs and executive contracts.</w:t>
      </w:r>
    </w:p>
    <w:p>
      <w:pPr>
        <w:spacing w:after="0" w:line="132"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The Committee shall determine the terms and conditions of Other Stock-Based Awards. Shares or securities delivered pursuant to a purchase right granted under this Section 6.05 shall be purchased for such consideration, paid for by such methods and in such forms, including, without limitation, cash, Shares, or other property or any combination thereof, as the Committee shall determine, but the value of such consideration shall not be less than the Fair Market Value of such Shares or other securities on the date of grant of such purchase right.</w:t>
      </w:r>
    </w:p>
    <w:p>
      <w:pPr>
        <w:spacing w:after="0" w:line="99" w:lineRule="exact"/>
        <w:rPr>
          <w:sz w:val="20"/>
          <w:szCs w:val="20"/>
          <w:color w:val="auto"/>
        </w:rPr>
      </w:pPr>
    </w:p>
    <w:p>
      <w:pPr>
        <w:jc w:val="both"/>
        <w:ind w:left="920"/>
        <w:spacing w:after="0" w:line="291" w:lineRule="auto"/>
        <w:rPr>
          <w:sz w:val="20"/>
          <w:szCs w:val="20"/>
          <w:color w:val="auto"/>
        </w:rPr>
      </w:pPr>
      <w:r>
        <w:rPr>
          <w:rFonts w:ascii="Arial" w:cs="Arial" w:eastAsia="Arial" w:hAnsi="Arial"/>
          <w:sz w:val="16"/>
          <w:szCs w:val="16"/>
          <w:color w:val="auto"/>
        </w:rPr>
        <w:t>Appreciation rights may not be granted at a price less than the fair market value of the underlying Shares on the date of grant. Delivery of Shares or other securities in payment of a purchase right or appreciation right, if authorized by the Committee, may be accomplished through the effective transfer to the Corporation of Shares or other securities held by a broker or other agent. Unless otherwise determined by the Committee, the Corporation will also cooperate with any person exercising a purchase right who participates in a cashless exercise program of a broker or other agent under which all or part of the Shares or securities received upon exercise of a purchase right are sold through the broker or other agent, or under which the broker or other agent makes a loan to such person, for the purpose of paying the exercise price of a purchase right.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jc w:val="both"/>
        <w:ind w:left="920"/>
        <w:spacing w:after="0" w:line="259" w:lineRule="auto"/>
        <w:rPr>
          <w:sz w:val="20"/>
          <w:szCs w:val="20"/>
          <w:color w:val="auto"/>
        </w:rPr>
      </w:pPr>
      <w:r>
        <w:rPr>
          <w:rFonts w:ascii="Arial" w:cs="Arial" w:eastAsia="Arial" w:hAnsi="Arial"/>
          <w:sz w:val="18"/>
          <w:szCs w:val="18"/>
          <w:color w:val="auto"/>
        </w:rPr>
        <w:t>Notwithstanding the preceding sentence, unless the Committee, in its discretion, shall otherwise determine, the exercise of the purchase right shall not be deemed to occur, and no Shares or other securities will be issued by the Corporation upon exercise of a purchase right, until the Corporation has received payment in full of the exercise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GENERAL TERMS OF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7.01</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89"/>
              </w:rPr>
              <w:t xml:space="preserve">Stand-Alone, Tandem and Substitute Awards. </w:t>
            </w:r>
            <w:r>
              <w:rPr>
                <w:rFonts w:ascii="Arial" w:cs="Arial" w:eastAsia="Arial" w:hAnsi="Arial"/>
                <w:sz w:val="18"/>
                <w:szCs w:val="18"/>
                <w:color w:val="auto"/>
                <w:w w:val="89"/>
              </w:rPr>
              <w:t>Awards granted under the Plan may, in the discretion of the Committee, be granted either alone or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in addition to, or in tandem with, any other Award granted under the Plan or any award granted under any other plan, program or arrangement of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Corporation or any Subsidiary (subject to the terms of Section 9.01) or any business entity acquired or to be acquired by the Corporation or a</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Subsidiary.</w:t>
            </w:r>
          </w:p>
        </w:tc>
      </w:tr>
      <w:tr>
        <w:trPr>
          <w:trHeight w:val="358"/>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Awards granted in addition to or in tandem with other Awards or awards may be granted either at the same time as or at a different time from the</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grant of such other Awards or awards.</w:t>
            </w:r>
          </w:p>
        </w:tc>
      </w:tr>
      <w:tr>
        <w:trPr>
          <w:trHeight w:val="35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7.02</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2"/>
              </w:rPr>
              <w:t xml:space="preserve">Certain Restrictions Under Rule 16b-3. </w:t>
            </w:r>
            <w:r>
              <w:rPr>
                <w:rFonts w:ascii="Arial" w:cs="Arial" w:eastAsia="Arial" w:hAnsi="Arial"/>
                <w:sz w:val="18"/>
                <w:szCs w:val="18"/>
                <w:color w:val="auto"/>
                <w:w w:val="92"/>
              </w:rPr>
              <w:t>Upon the effectiveness of any amendment to Rule 16b-3, this Plan and any Award Agreement for an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outstanding Award held by a Participant then subject to Section 16 of the Exchange Act shall be deemed to be amended, without further action on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the part of the Committee, the Board or the Participant, to the extent necessary for Awards under the Plan or such Award Agreement to qualify for</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the exemption provided by Rule 16b-3, as so amended, except to the extent any such amendment requires shareholder approval.</w:t>
            </w:r>
          </w:p>
        </w:tc>
      </w:tr>
      <w:tr>
        <w:trPr>
          <w:trHeight w:val="35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7.03</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2"/>
              </w:rPr>
              <w:t xml:space="preserve">Decisions Required to be Made by the Committee. </w:t>
            </w:r>
            <w:r>
              <w:rPr>
                <w:rFonts w:ascii="Arial" w:cs="Arial" w:eastAsia="Arial" w:hAnsi="Arial"/>
                <w:sz w:val="18"/>
                <w:szCs w:val="18"/>
                <w:color w:val="auto"/>
                <w:w w:val="92"/>
              </w:rPr>
              <w:t>Other provisions of the Plan and any Award Agreement notwithstanding, if any decision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regarding an Award or the exercise of any right by a Participant, at any time such Participant is subject to Section 16 of the Exchange Act, is required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to be made or approved by the Committee or the Board in order that a transaction by such Participant will be exempt under Rule 16b-3, then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Committee or the Board shall retain full and exclusive power and authority to make such decision or to approve or disapprove any such decision by</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the Participant.</w:t>
            </w:r>
          </w:p>
        </w:tc>
      </w:tr>
      <w:tr>
        <w:trPr>
          <w:trHeight w:val="35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7.04</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1"/>
              </w:rPr>
              <w:t xml:space="preserve">Term of Awards. </w:t>
            </w:r>
            <w:r>
              <w:rPr>
                <w:rFonts w:ascii="Arial" w:cs="Arial" w:eastAsia="Arial" w:hAnsi="Arial"/>
                <w:sz w:val="18"/>
                <w:szCs w:val="18"/>
                <w:color w:val="auto"/>
                <w:w w:val="91"/>
              </w:rPr>
              <w:t>The term of each Award shall be for such period as may be determined by the Committee; provided, however, that in no event</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shall the term of any Option exceed a period of ten years from the date of its grant.</w:t>
            </w:r>
          </w:p>
        </w:tc>
      </w:tr>
      <w:tr>
        <w:trPr>
          <w:trHeight w:val="35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7.05</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89"/>
              </w:rPr>
              <w:t xml:space="preserve">Form of Payment of Awards. </w:t>
            </w:r>
            <w:r>
              <w:rPr>
                <w:rFonts w:ascii="Arial" w:cs="Arial" w:eastAsia="Arial" w:hAnsi="Arial"/>
                <w:sz w:val="18"/>
                <w:szCs w:val="18"/>
                <w:color w:val="auto"/>
                <w:w w:val="89"/>
              </w:rPr>
              <w:t>Subject to the terms of the Plan and any applicable Award Agreement, payments or substitutions to be made by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Corporation upon the grant, exercise or other payment or distribution of an Award may be made in such forms as the Committee shall determine at</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the time of grant or thereafter (subject to the terms of Section 9.01), including, without limitation, cash, Shares, or other property or any combination</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thereof, in each case in accordance with rules and procedures established, or as otherwise determined, by the Committee.</w:t>
            </w:r>
          </w:p>
        </w:tc>
      </w:tr>
      <w:tr>
        <w:trPr>
          <w:trHeight w:val="35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7.06</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88"/>
              </w:rPr>
              <w:t xml:space="preserve">Limits on Transfer of Awards; Beneficiaries. </w:t>
            </w:r>
            <w:r>
              <w:rPr>
                <w:rFonts w:ascii="Arial" w:cs="Arial" w:eastAsia="Arial" w:hAnsi="Arial"/>
                <w:sz w:val="18"/>
                <w:szCs w:val="18"/>
                <w:color w:val="auto"/>
                <w:w w:val="88"/>
              </w:rPr>
              <w:t>No right or interest of a Participant in any Award shall be pledged, encumbered or hypothecated to or</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in favor of any Person other than the Corporation, or shall be subject to any lien, obligation or liability of such Participant to any Person other than</w:t>
            </w:r>
          </w:p>
        </w:tc>
      </w:tr>
    </w:tbl>
    <w:p>
      <w:pPr>
        <w:jc w:val="both"/>
        <w:ind w:left="920"/>
        <w:spacing w:after="0" w:line="290" w:lineRule="auto"/>
        <w:rPr>
          <w:sz w:val="20"/>
          <w:szCs w:val="20"/>
          <w:color w:val="auto"/>
        </w:rPr>
      </w:pPr>
      <w:r>
        <w:rPr>
          <w:rFonts w:ascii="Arial" w:cs="Arial" w:eastAsia="Arial" w:hAnsi="Arial"/>
          <w:sz w:val="16"/>
          <w:szCs w:val="16"/>
          <w:color w:val="auto"/>
        </w:rPr>
        <w:t>the Corporation or a Subsidiary except as otherwise established by the Committee at the time of grant or thereafter. No Award and no rights or interests therein shall be assignable or transferable by a Participant otherwise than by will or the laws of descent and distribution, and any Option or other right to purchase or acquire Shares granted to a Participant under the Plan shall be exercisable during the Participant’s lifetime only by such Participant. A beneficiary, guardian, legal representative or other Person claiming any rights under the Plan from or through any Participant shall be subject to all the terms and conditions of the Plan and any Award Agreement applicable to such Participant as well as any additional restrictions or limitations deemed necessary or appropriate by the Committee.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7.07</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88"/>
              </w:rPr>
              <w:t xml:space="preserve">Registration and Listing Compliance. </w:t>
            </w:r>
            <w:r>
              <w:rPr>
                <w:rFonts w:ascii="Arial" w:cs="Arial" w:eastAsia="Arial" w:hAnsi="Arial"/>
                <w:sz w:val="18"/>
                <w:szCs w:val="18"/>
                <w:color w:val="auto"/>
                <w:w w:val="88"/>
              </w:rPr>
              <w:t>No Award shall be paid and no Shares or other securities shall be distributed with respect to any Award in a</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transaction subject to the registration requirements of the Securities Act of 1933, as amended, or any state securities law or subject to a listing</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requirement under any listing agreement between the Corporation and any national securities exchange, and no Award shall confer upon any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Participant rights to such payment or distribution until such laws and contractual obligations of the Corporation have been complied with in all</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material respects. Except to the extent required by the terms of an Award Agreement or another contract between the Corporation and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Participant, neither the grant of any Award nor anything else contained herein shall obligate the Corporation to take any action to comply with any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requirements of any such securities laws or contractual obligations relating to the registration (or exemption therefrom) or listing of any Shares or</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other securities, whether or not necessary in order to permit any such payment or distribution.</w:t>
            </w:r>
          </w:p>
        </w:tc>
      </w:tr>
      <w:tr>
        <w:trPr>
          <w:trHeight w:val="35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7.08</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2"/>
              </w:rPr>
              <w:t xml:space="preserve">Stock Certificates. </w:t>
            </w:r>
            <w:r>
              <w:rPr>
                <w:rFonts w:ascii="Arial" w:cs="Arial" w:eastAsia="Arial" w:hAnsi="Arial"/>
                <w:sz w:val="18"/>
                <w:szCs w:val="18"/>
                <w:color w:val="auto"/>
                <w:w w:val="92"/>
              </w:rPr>
              <w:t>Awards representing Shares under the Plan may be recorded in book entry form until the lapse of restrictions or limitations</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thereon, or issued in the form of certificates. All certificates for Shares delivered under the terms of the Plan shall be subject to such stop-transfer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orders and other restrictions as the Committee may deem advisable under federal or state securities laws, rules and regulations thereunder, and the</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7"/>
              </w:rPr>
              <w:t>rules of any national securities exchange or automated quotation system on which Shares are listed or quoted. The Committee may cause a legend or</w:t>
            </w:r>
          </w:p>
        </w:tc>
      </w:tr>
    </w:tbl>
    <w:p>
      <w:pPr>
        <w:jc w:val="both"/>
        <w:ind w:left="920"/>
        <w:spacing w:after="0" w:line="320" w:lineRule="auto"/>
        <w:rPr>
          <w:sz w:val="20"/>
          <w:szCs w:val="20"/>
          <w:color w:val="auto"/>
        </w:rPr>
      </w:pPr>
      <w:r>
        <w:rPr>
          <w:rFonts w:ascii="Arial" w:cs="Arial" w:eastAsia="Arial" w:hAnsi="Arial"/>
          <w:sz w:val="15"/>
          <w:szCs w:val="15"/>
          <w:color w:val="auto"/>
        </w:rPr>
        <w:t>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the Committee may require any Participant to enter into an agreement providing that certificates representing Shares issuable or issued pursuant to an Award shall remain in the physical custody of the Corporation or such other Person as the Committee may designate.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ADJUSTMENT PROVISIONS</w:t>
      </w:r>
    </w:p>
    <w:p>
      <w:pPr>
        <w:spacing w:after="0" w:line="164" w:lineRule="exact"/>
        <w:rPr>
          <w:sz w:val="20"/>
          <w:szCs w:val="20"/>
          <w:color w:val="auto"/>
        </w:rPr>
      </w:pPr>
    </w:p>
    <w:p>
      <w:pPr>
        <w:jc w:val="both"/>
        <w:ind w:left="920" w:hanging="917"/>
        <w:spacing w:after="0" w:line="289" w:lineRule="auto"/>
        <w:tabs>
          <w:tab w:leader="none" w:pos="90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color w:val="auto"/>
        </w:rPr>
        <w:t>If a dividend or other distribution shall be declared upon the Common Stock payable in shares of the Common Stock, the number of shares of Common Stock then subject to any outstanding Options, Performance Awards or Other Stock Based Awards, the number of shares of Common Stock which may be issued under the Plan but are not then subject to outstanding Options, Performance Awards or Other Stock Based Awards and the maximum number of shares as to which Options or Performance Awards may be granted and as to which shares may be awarded under Sections 6.02(vi) and 6.04(v), shall be adjusted by adding thereto the number of shares of Common Stock which would have been distributable thereon if such shares had been outstanding on the date fixed for determining the shareholders entitled to receive such stock dividend or distribution. Shares of Common Stock so distributed with respect to any Restricted Stock held in escrow shall also be held by the Corporation in escrow and shall be subject to the same restrictions as are applicable to the Restricted Stock on which they were distributed.</w:t>
      </w:r>
    </w:p>
    <w:p>
      <w:pPr>
        <w:spacing w:after="0" w:line="105" w:lineRule="exact"/>
        <w:rPr>
          <w:sz w:val="20"/>
          <w:szCs w:val="20"/>
          <w:color w:val="auto"/>
        </w:rPr>
      </w:pPr>
    </w:p>
    <w:p>
      <w:pPr>
        <w:jc w:val="both"/>
        <w:ind w:left="920"/>
        <w:spacing w:after="0" w:line="308" w:lineRule="auto"/>
        <w:rPr>
          <w:sz w:val="20"/>
          <w:szCs w:val="20"/>
          <w:color w:val="auto"/>
        </w:rPr>
      </w:pPr>
      <w:r>
        <w:rPr>
          <w:rFonts w:ascii="Arial" w:cs="Arial" w:eastAsia="Arial" w:hAnsi="Arial"/>
          <w:sz w:val="15"/>
          <w:szCs w:val="15"/>
          <w:color w:val="auto"/>
        </w:rPr>
        <w:t>If the outstanding shares of Common Stock shall be changed into or exchangeable for a different number or kind of shares of stock or other securities of the Corporation or another corporation, or cash or other property, whether through reorganization, reclassification, recapitalization, stock split-up, combination of shares, merger or consolidation, then there shall be substituted for each share of Common Stock subject to any then outstanding Option, Performance Award or Other Stock Based Award, and for each share of Common Stock which may be issued under the Plan but which is not then subject to any outstanding Option, Performance Award or Other Stock Based Award, the number and kind of shares of stock or other securities (and in the case of outstanding Options, Performance Awards or Other Stock Based Awards, the cash or other property) into which each outstanding share of the Common Stock shall be so changed or for which each such share shall be exchangeable. Unless otherwise determined by the Committee in its discretion, any such stock or securities, as well as any cash or other property, into or for which any Restricted Stock held in escrow shall be changed or exchangeable in any such transaction shall also be held by the Corporation in escrow and shall be subject to the same restrictions as are applicable to the Restricted Stock in respect of which such stock, securities, cash or other property was issued or distributed.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both"/>
        <w:ind w:left="920"/>
        <w:spacing w:after="0" w:line="255" w:lineRule="auto"/>
        <w:rPr>
          <w:sz w:val="20"/>
          <w:szCs w:val="20"/>
          <w:color w:val="auto"/>
        </w:rPr>
      </w:pPr>
      <w:r>
        <w:rPr>
          <w:rFonts w:ascii="Arial" w:cs="Arial" w:eastAsia="Arial" w:hAnsi="Arial"/>
          <w:sz w:val="18"/>
          <w:szCs w:val="18"/>
          <w:color w:val="auto"/>
        </w:rPr>
        <w:t>In case of any adjustment or substitution as provided for in this Section 8.01, the aggregate option price for all Shares subject to each then outstanding Option, Performance Award or Other Stock Based Award, prior to such adjustment or substitution shall be the aggregate option price for all shares of stock or other securities (including any fraction), cash or other property to which such Shares shall have been adjusted or which shall have been substituted for such Shares. Any new option price per share or other unit shall be carried to at least three decimal places with the last decimal place rounded upwards to the nearest whole number.</w:t>
      </w:r>
    </w:p>
    <w:p>
      <w:pPr>
        <w:spacing w:after="0" w:line="129" w:lineRule="exact"/>
        <w:rPr>
          <w:sz w:val="20"/>
          <w:szCs w:val="20"/>
          <w:color w:val="auto"/>
        </w:rPr>
      </w:pPr>
    </w:p>
    <w:p>
      <w:pPr>
        <w:jc w:val="both"/>
        <w:ind w:left="920"/>
        <w:spacing w:after="0" w:line="289" w:lineRule="auto"/>
        <w:rPr>
          <w:sz w:val="20"/>
          <w:szCs w:val="20"/>
          <w:color w:val="auto"/>
        </w:rPr>
      </w:pPr>
      <w:r>
        <w:rPr>
          <w:rFonts w:ascii="Arial" w:cs="Arial" w:eastAsia="Arial" w:hAnsi="Arial"/>
          <w:sz w:val="16"/>
          <w:szCs w:val="16"/>
          <w:color w:val="auto"/>
        </w:rPr>
        <w:t>If the outstanding shares of the Common Stock shall be changed in value by reason of any spin-off, split-off or split-up, or dividend in partial liquidation, dividend in property other than cash, or extraordinary distribution to shareholders of the Common Stock, (a) the Committee shall make any adjustments to any then outstanding Option, Performance Award or Other Stock Based Award, which it determines are equitably required to prevent dilution or enlargement of the rights of optionees and awardees which would otherwise result from any such transaction, and (b) unless otherwise determined by the Committee in its discretion, any stock, securities, cash or other property distributed with respect to any Restricted Stock held in escrow or for which any Restricted Stock held in escrow shall be exchanged in any such transaction shall also be held by the Corporation in escrow and shall be subject to the same restrictions as are applicable to the Restricted Stock in respect of which such stock, securities, cash or other property was distributed or exchanged.</w:t>
      </w:r>
    </w:p>
    <w:p>
      <w:pPr>
        <w:spacing w:after="0" w:line="105" w:lineRule="exact"/>
        <w:rPr>
          <w:sz w:val="20"/>
          <w:szCs w:val="20"/>
          <w:color w:val="auto"/>
        </w:rPr>
      </w:pPr>
    </w:p>
    <w:p>
      <w:pPr>
        <w:jc w:val="both"/>
        <w:ind w:left="920"/>
        <w:spacing w:after="0" w:line="291" w:lineRule="auto"/>
        <w:rPr>
          <w:sz w:val="20"/>
          <w:szCs w:val="20"/>
          <w:color w:val="auto"/>
        </w:rPr>
      </w:pPr>
      <w:r>
        <w:rPr>
          <w:rFonts w:ascii="Arial" w:cs="Arial" w:eastAsia="Arial" w:hAnsi="Arial"/>
          <w:sz w:val="16"/>
          <w:szCs w:val="16"/>
          <w:color w:val="auto"/>
        </w:rPr>
        <w:t>No adjustment or substitution provided for in this Section 8.01 shall require the Corporation to issue or sell a fraction of a Share or other security. Accordingly, all fractional Shares or other securities which result from any such adjustment or substitution shall be eliminated and not carried forward to any subsequent adjustment or substitution. Owners of Restricted Stock held in escrow shall be treated in the same manner as owners of Common Stock not held in escrow with respect to fractional Shares created by an adjustment or substitution of Shares, except that, unless otherwise determined by the Committee in its discretion, any cash or other property paid in lieu of a fractional Share shall be subject to restrictions similar to those applicable to the Restricted Stock exchanged therefor.</w:t>
      </w:r>
    </w:p>
    <w:p>
      <w:pPr>
        <w:spacing w:after="0" w:line="107" w:lineRule="exact"/>
        <w:rPr>
          <w:sz w:val="20"/>
          <w:szCs w:val="20"/>
          <w:color w:val="auto"/>
        </w:rPr>
      </w:pPr>
    </w:p>
    <w:p>
      <w:pPr>
        <w:jc w:val="both"/>
        <w:ind w:left="920" w:right="20"/>
        <w:spacing w:after="0" w:line="268" w:lineRule="auto"/>
        <w:rPr>
          <w:sz w:val="20"/>
          <w:szCs w:val="20"/>
          <w:color w:val="auto"/>
        </w:rPr>
      </w:pPr>
      <w:r>
        <w:rPr>
          <w:rFonts w:ascii="Arial" w:cs="Arial" w:eastAsia="Arial" w:hAnsi="Arial"/>
          <w:sz w:val="18"/>
          <w:szCs w:val="18"/>
          <w:color w:val="auto"/>
        </w:rPr>
        <w:t>In the event of any other change in or conversion of the Common Stock, the Committee may in its discretion adjust the outstanding Awards and other amounts provided in the Plan in order to prevent the dilution or enlargement of rights of Participants.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AMENDMENTS TO AND TERMINATION OF THE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9.01</w:t>
            </w: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The Board may amend, alter, suspend, discontinue or terminate the Plan without the consent of shareholders or Participants, except that, without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approval of the shareholders of the Corporation, no amendment, alteration, suspension, discontinuation or termination shall be made if shareholder</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9"/>
              </w:rPr>
              <w:t>approval is required by any federal or state law or regulation or by the rules of any stock exchange on which the Shares may then be listed, or if the</w:t>
            </w:r>
          </w:p>
        </w:tc>
      </w:tr>
      <w:tr>
        <w:trPr>
          <w:trHeight w:val="222"/>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88"/>
              </w:rPr>
              <w:t>amendment, alteration or other change materially increases the benefits accruing to Participants, increases the number of Shares available under the</w:t>
            </w:r>
          </w:p>
        </w:tc>
      </w:tr>
    </w:tbl>
    <w:p>
      <w:pPr>
        <w:jc w:val="both"/>
        <w:ind w:left="920"/>
        <w:spacing w:after="0" w:line="287" w:lineRule="auto"/>
        <w:rPr>
          <w:sz w:val="20"/>
          <w:szCs w:val="20"/>
          <w:color w:val="auto"/>
        </w:rPr>
      </w:pPr>
      <w:r>
        <w:rPr>
          <w:rFonts w:ascii="Arial" w:cs="Arial" w:eastAsia="Arial" w:hAnsi="Arial"/>
          <w:sz w:val="16"/>
          <w:szCs w:val="16"/>
          <w:color w:val="auto"/>
        </w:rPr>
        <w:t>Plan or modifies the requirements for participation under the Plan, or if the Board in its discretion determines that obtaining such shareholder approval is for any reason advisable; provided, however, that except as provided in Section 7.02, without the written consent of the Participant, no amendment, alteration, suspension, discontinuation or termination of the Plan may materially and adversely affect the rights of such Participant under any Award 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7.02, without the consent of a Participant, no amendment, alteration, suspension, discontinuation or termination of any Award may materially and adversely affect the rights of such Participant under any Award theretofore granted to him; and provided further that, except as provided in Section 8.01 of the Plan, the exercise price of any outstanding Option may not be reduced, whether through amendment, cancellation or replacement, unless such reduction is approved by the shareholders of the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SECTION 10. GENERAL PROVISIONS</w:t>
      </w:r>
    </w:p>
    <w:p>
      <w:pPr>
        <w:spacing w:after="0" w:line="158" w:lineRule="exact"/>
        <w:rPr>
          <w:sz w:val="20"/>
          <w:szCs w:val="20"/>
          <w:color w:val="auto"/>
        </w:rPr>
      </w:pPr>
    </w:p>
    <w:p>
      <w:pPr>
        <w:jc w:val="both"/>
        <w:ind w:left="920" w:hanging="917"/>
        <w:spacing w:after="0" w:line="258" w:lineRule="auto"/>
        <w:tabs>
          <w:tab w:leader="none" w:pos="90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8"/>
          <w:szCs w:val="18"/>
          <w:b w:val="1"/>
          <w:bCs w:val="1"/>
          <w:color w:val="auto"/>
        </w:rPr>
        <w:t xml:space="preserve">No Right to Awards; No Shareholder Rights. </w:t>
      </w:r>
      <w:r>
        <w:rPr>
          <w:rFonts w:ascii="Arial" w:cs="Arial" w:eastAsia="Arial" w:hAnsi="Arial"/>
          <w:sz w:val="18"/>
          <w:szCs w:val="18"/>
          <w:color w:val="auto"/>
        </w:rPr>
        <w:t>No Participant shall have any claim to be granted any Award under the Plan, and there is no</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for uniformity of treatment of Participants, except as provided in any other compensation, fee or other arrangement. No Award shall confer on any Participant any of the rights of a shareholder of the Corporation unless and until Shares are in fact issued to such Participant in connection with such Award.</w:t>
      </w:r>
    </w:p>
    <w:p>
      <w:pPr>
        <w:spacing w:after="0" w:line="123" w:lineRule="exact"/>
        <w:rPr>
          <w:sz w:val="20"/>
          <w:szCs w:val="20"/>
          <w:color w:val="auto"/>
        </w:rPr>
      </w:pPr>
    </w:p>
    <w:p>
      <w:pPr>
        <w:jc w:val="both"/>
        <w:ind w:left="920" w:hanging="917"/>
        <w:spacing w:after="0" w:line="254" w:lineRule="auto"/>
        <w:tabs>
          <w:tab w:leader="none" w:pos="90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To the extent required by applicable Federal, state, local or foreign law, the Participant or his successor shall make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Corporation, in its discretion, for the satisfaction of any withholding tax obligations that arise in connection with an Award. The Corporation shall not be required to issue any Shares or make any other payment under the Plan until such obligations are satisfied. The Corporation is authorized to withhold from any Award granted or any payment due under the Plan, including from a distribution of Shares, amounts of withholding taxes due with respect to an Award, its exercise or any payment thereunder, and to take such other action as the Committee may deem necessary or advisable to enable the Corporation and Participants to satisfy obligations for the payment of such taxes. This authority shall include authority to withhold or receive Shares, Awards or other property and to make cash payments in respect thereof in satisfaction of such tax obligations.</w:t>
      </w:r>
    </w:p>
    <w:p>
      <w:pPr>
        <w:spacing w:after="0" w:line="125" w:lineRule="exact"/>
        <w:rPr>
          <w:sz w:val="20"/>
          <w:szCs w:val="20"/>
          <w:color w:val="auto"/>
        </w:rPr>
      </w:pPr>
    </w:p>
    <w:p>
      <w:pPr>
        <w:jc w:val="both"/>
        <w:ind w:left="920" w:hanging="917"/>
        <w:spacing w:after="0" w:line="256" w:lineRule="auto"/>
        <w:tabs>
          <w:tab w:leader="none" w:pos="90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8"/>
          <w:szCs w:val="18"/>
          <w:b w:val="1"/>
          <w:bCs w:val="1"/>
          <w:color w:val="auto"/>
        </w:rPr>
        <w:t xml:space="preserve">No Right to Employment or Continuation of Service. </w:t>
      </w:r>
      <w:r>
        <w:rPr>
          <w:rFonts w:ascii="Arial" w:cs="Arial" w:eastAsia="Arial" w:hAnsi="Arial"/>
          <w:sz w:val="18"/>
          <w:szCs w:val="18"/>
          <w:color w:val="auto"/>
        </w:rPr>
        <w:t>Nothing contained in the Plan or any Award Agreement shall confer, and no grant of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shall be construed as conferring, upon any Participant any right to continue in the employ or service of the Corporation or to interfere in any way with the right of the Corporation or shareholders to terminate his employment or service at any time or increase or decrease his compensation, fees, or other payments from the rate in existence at the time of granting of an Award, except as provided in any Award Agreement or other compensation, fee or other arrangement.</w:t>
      </w:r>
    </w:p>
    <w:p>
      <w:pPr>
        <w:spacing w:after="0" w:line="125" w:lineRule="exact"/>
        <w:rPr>
          <w:sz w:val="20"/>
          <w:szCs w:val="20"/>
          <w:color w:val="auto"/>
        </w:rPr>
      </w:pPr>
    </w:p>
    <w:p>
      <w:pPr>
        <w:jc w:val="both"/>
        <w:ind w:left="920" w:hanging="917"/>
        <w:spacing w:after="0" w:line="255" w:lineRule="auto"/>
        <w:tabs>
          <w:tab w:leader="none" w:pos="90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8"/>
          <w:szCs w:val="18"/>
          <w:b w:val="1"/>
          <w:bCs w:val="1"/>
          <w:color w:val="auto"/>
        </w:rPr>
        <w:t xml:space="preserve">Unfunded Status of Awards; Creation of Trusts. </w:t>
      </w:r>
      <w:r>
        <w:rPr>
          <w:rFonts w:ascii="Arial" w:cs="Arial" w:eastAsia="Arial" w:hAnsi="Arial"/>
          <w:sz w:val="18"/>
          <w:szCs w:val="18"/>
          <w:color w:val="auto"/>
        </w:rPr>
        <w:t>The Plan is intended to constitute an “unfunded” plan for incentive compensation.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payments not yet made to a Participant pursuant to an Award, nothing contained in the Plan or any Award Agreement shall give any such Participant any rights that are greater than those of a general unsecured creditor of the Corporation; provided, however, that the Committee may authorize the creation of trusts or make other arrangements to meet the Corporation’s obligations under the Plan to deliver Shares or other property pursuant to any Award, which trusts or other arrangements shall be consistent with the “unfunded” status of the Plan unless the Committee otherwise determines.</w:t>
      </w:r>
    </w:p>
    <w:p>
      <w:pPr>
        <w:spacing w:after="0" w:line="126" w:lineRule="exact"/>
        <w:rPr>
          <w:sz w:val="20"/>
          <w:szCs w:val="20"/>
          <w:color w:val="auto"/>
        </w:rPr>
      </w:pPr>
    </w:p>
    <w:p>
      <w:pPr>
        <w:jc w:val="both"/>
        <w:ind w:left="920" w:hanging="917"/>
        <w:spacing w:after="0" w:line="256" w:lineRule="auto"/>
        <w:tabs>
          <w:tab w:leader="none" w:pos="900" w:val="left"/>
        </w:tabs>
        <w:rPr>
          <w:sz w:val="20"/>
          <w:szCs w:val="20"/>
          <w:color w:val="auto"/>
        </w:rPr>
      </w:pPr>
      <w:r>
        <w:rPr>
          <w:rFonts w:ascii="Arial" w:cs="Arial" w:eastAsia="Arial" w:hAnsi="Arial"/>
          <w:sz w:val="18"/>
          <w:szCs w:val="18"/>
          <w:color w:val="auto"/>
        </w:rPr>
        <w:t>10.05</w:t>
      </w:r>
      <w:r>
        <w:rPr>
          <w:sz w:val="20"/>
          <w:szCs w:val="20"/>
          <w:color w:val="auto"/>
        </w:rPr>
        <w:tab/>
      </w:r>
      <w:r>
        <w:rPr>
          <w:rFonts w:ascii="Arial" w:cs="Arial" w:eastAsia="Arial" w:hAnsi="Arial"/>
          <w:sz w:val="18"/>
          <w:szCs w:val="18"/>
          <w:b w:val="1"/>
          <w:bCs w:val="1"/>
          <w:color w:val="auto"/>
        </w:rPr>
        <w:t xml:space="preserve">No Limit on Other Compensatory Arrangements. </w:t>
      </w:r>
      <w:r>
        <w:rPr>
          <w:rFonts w:ascii="Arial" w:cs="Arial" w:eastAsia="Arial" w:hAnsi="Arial"/>
          <w:sz w:val="18"/>
          <w:szCs w:val="18"/>
          <w:color w:val="auto"/>
        </w:rPr>
        <w:t>Nothing contained in the Plan shall prevent the Corporation from adopting other or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fee or other arrangements (which may include, without limitation, employment agreements with executives and arrangements which relate to Awards under the Plan), and such arrangements may be either generally applicable or applicable only in specific cases. Notwithstanding anything in the Plan to the contrary, the terms of each Award shall be construed so as to be consistent with such other arrangements in effect at the time of the Award.</w:t>
      </w:r>
    </w:p>
    <w:p>
      <w:pPr>
        <w:spacing w:after="0" w:line="125" w:lineRule="exact"/>
        <w:rPr>
          <w:sz w:val="20"/>
          <w:szCs w:val="20"/>
          <w:color w:val="auto"/>
        </w:rPr>
      </w:pPr>
    </w:p>
    <w:p>
      <w:pPr>
        <w:jc w:val="both"/>
        <w:ind w:left="920" w:hanging="917"/>
        <w:spacing w:after="0" w:line="262" w:lineRule="auto"/>
        <w:tabs>
          <w:tab w:leader="none" w:pos="90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8"/>
          <w:szCs w:val="18"/>
          <w:b w:val="1"/>
          <w:bCs w:val="1"/>
          <w:color w:val="auto"/>
        </w:rPr>
        <w:t xml:space="preserve">No Fractional Shares. </w:t>
      </w:r>
      <w:r>
        <w:rPr>
          <w:rFonts w:ascii="Arial" w:cs="Arial" w:eastAsia="Arial" w:hAnsi="Arial"/>
          <w:sz w:val="18"/>
          <w:szCs w:val="18"/>
          <w:color w:val="auto"/>
        </w:rPr>
        <w:t>No fractional Shares shall be issued or delivered pursuant to the Plan or any Award. The Committee shall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cash, other Awards or other property shall be issued or paid in lieu of fractional Shares or whether such fractional Shares or any rights thereto shall be forfeited or otherwise eliminated.</w:t>
      </w:r>
    </w:p>
    <w:p>
      <w:pPr>
        <w:spacing w:after="0" w:line="119" w:lineRule="exact"/>
        <w:rPr>
          <w:sz w:val="20"/>
          <w:szCs w:val="20"/>
          <w:color w:val="auto"/>
        </w:rPr>
      </w:pPr>
    </w:p>
    <w:p>
      <w:pPr>
        <w:jc w:val="both"/>
        <w:ind w:left="920" w:hanging="917"/>
        <w:spacing w:after="0" w:line="275" w:lineRule="auto"/>
        <w:tabs>
          <w:tab w:leader="none" w:pos="90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interpretation, construction and effect of the Plan and any rules and regulations relating to the Plan shall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laws of the State of Florida (without regard to the conflicts of laws thereof), and applicable Federal law.</w:t>
      </w:r>
    </w:p>
    <w:p>
      <w:pPr>
        <w:spacing w:after="0" w:line="106" w:lineRule="exact"/>
        <w:rPr>
          <w:sz w:val="20"/>
          <w:szCs w:val="20"/>
          <w:color w:val="auto"/>
        </w:rPr>
      </w:pPr>
    </w:p>
    <w:p>
      <w:pPr>
        <w:jc w:val="both"/>
        <w:ind w:left="920" w:hanging="917"/>
        <w:spacing w:after="0" w:line="293" w:lineRule="auto"/>
        <w:tabs>
          <w:tab w:leader="none" w:pos="900"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the Plan or any Award is or becomes or is deemed invalid, illegal or unenforceable in any jurisdiction, or would</w:t>
      </w:r>
      <w:r>
        <w:rPr>
          <w:rFonts w:ascii="Arial" w:cs="Arial" w:eastAsia="Arial" w:hAnsi="Arial"/>
          <w:sz w:val="16"/>
          <w:szCs w:val="16"/>
          <w:b w:val="1"/>
          <w:bCs w:val="1"/>
          <w:color w:val="auto"/>
        </w:rPr>
        <w:t xml:space="preserve"> </w:t>
      </w:r>
      <w:r>
        <w:rPr>
          <w:rFonts w:ascii="Arial" w:cs="Arial" w:eastAsia="Arial" w:hAnsi="Arial"/>
          <w:sz w:val="16"/>
          <w:szCs w:val="16"/>
          <w:color w:val="auto"/>
        </w:rPr>
        <w:t>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 deemed amended or deleted with respect to any Participant whose rights and obligations under the Plan are not subject to the law of such jurisdiction or the law deemed applicable by the Committee.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SECTION 11. EFFECTIVE DATE AND TERM OF THE PLAN</w:t>
      </w:r>
    </w:p>
    <w:p>
      <w:pPr>
        <w:spacing w:after="0" w:line="164" w:lineRule="exact"/>
        <w:rPr>
          <w:sz w:val="20"/>
          <w:szCs w:val="20"/>
          <w:color w:val="auto"/>
        </w:rPr>
      </w:pPr>
    </w:p>
    <w:p>
      <w:pPr>
        <w:jc w:val="both"/>
        <w:ind w:left="920" w:hanging="917"/>
        <w:spacing w:after="0" w:line="291" w:lineRule="auto"/>
        <w:tabs>
          <w:tab w:leader="none" w:pos="90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color w:val="auto"/>
        </w:rPr>
        <w:t>The effective date and date of adoption of the Plan shall be January 30, 2007, the date of adoption of the Plan by the Board, provided that such adoption of the Plan is approved by a majority of the votes cast at a duly held meeting of shareholders at which a quorum representing a majority of the outstanding voting stock of the Corporation is, either in person or by proxy, present and voting. Notwithstanding anything else contained in the Plan or in any Award Agreement, no Option or other purchase right granted under the Plan may be exercised, and no Shares may be distributed pursuant to any Award granted under the Plan, prior to such shareholder approval. In the event such shareholder approval is not obtained, all Awards granted under the Plan shall automatically be deemed void and of no effect.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tabs>
          <w:tab w:leader="none" w:pos="3980" w:val="left"/>
        </w:tabs>
        <w:rPr>
          <w:sz w:val="20"/>
          <w:szCs w:val="20"/>
          <w:color w:val="auto"/>
        </w:rPr>
      </w:pPr>
      <w:r>
        <w:rPr>
          <w:rFonts w:ascii="Arial" w:cs="Arial" w:eastAsia="Arial" w:hAnsi="Arial"/>
          <w:sz w:val="14"/>
          <w:szCs w:val="14"/>
          <w:b w:val="1"/>
          <w:bCs w:val="1"/>
          <w:color w:val="auto"/>
        </w:rPr>
        <w:t>OCWEN FINANCIAL CORPORATION</w:t>
      </w:r>
      <w:r>
        <w:rPr>
          <w:sz w:val="20"/>
          <w:szCs w:val="20"/>
          <w:color w:val="auto"/>
        </w:rPr>
        <w:tab/>
      </w:r>
      <w:r>
        <w:rPr>
          <w:rFonts w:ascii="Arial" w:cs="Arial" w:eastAsia="Arial" w:hAnsi="Arial"/>
          <w:sz w:val="12"/>
          <w:szCs w:val="12"/>
          <w:b w:val="1"/>
          <w:bCs w:val="1"/>
          <w:color w:val="auto"/>
        </w:rPr>
        <w:t>VOTE BY INTERNET - www.proxyvote.com</w:t>
      </w:r>
    </w:p>
    <w:p>
      <w:pPr>
        <w:spacing w:after="0"/>
        <w:tabs>
          <w:tab w:leader="none" w:pos="3980" w:val="left"/>
        </w:tabs>
        <w:rPr>
          <w:sz w:val="20"/>
          <w:szCs w:val="20"/>
          <w:color w:val="auto"/>
        </w:rPr>
      </w:pPr>
      <w:r>
        <w:rPr>
          <w:rFonts w:ascii="Arial" w:cs="Arial" w:eastAsia="Arial" w:hAnsi="Arial"/>
          <w:sz w:val="14"/>
          <w:szCs w:val="14"/>
          <w:b w:val="1"/>
          <w:bCs w:val="1"/>
          <w:color w:val="auto"/>
        </w:rPr>
        <w:t>1661 WORTHINGTON ROAD</w:t>
      </w:r>
      <w:r>
        <w:rPr>
          <w:sz w:val="20"/>
          <w:szCs w:val="20"/>
          <w:color w:val="auto"/>
        </w:rPr>
        <w:tab/>
      </w:r>
      <w:r>
        <w:rPr>
          <w:rFonts w:ascii="Arial" w:cs="Arial" w:eastAsia="Arial" w:hAnsi="Arial"/>
          <w:sz w:val="12"/>
          <w:szCs w:val="12"/>
          <w:color w:val="auto"/>
        </w:rPr>
        <w:t>Use the lnternet to transmit your voting instructions and for electronic delivery of information up until 11:59 P.M. Eastern Time the day</w:t>
      </w:r>
    </w:p>
    <w:p>
      <w:pPr>
        <w:spacing w:after="0"/>
        <w:tabs>
          <w:tab w:leader="none" w:pos="3980" w:val="left"/>
        </w:tabs>
        <w:rPr>
          <w:sz w:val="20"/>
          <w:szCs w:val="20"/>
          <w:color w:val="auto"/>
        </w:rPr>
      </w:pPr>
      <w:r>
        <w:rPr>
          <w:rFonts w:ascii="Arial" w:cs="Arial" w:eastAsia="Arial" w:hAnsi="Arial"/>
          <w:sz w:val="14"/>
          <w:szCs w:val="14"/>
          <w:b w:val="1"/>
          <w:bCs w:val="1"/>
          <w:color w:val="auto"/>
        </w:rPr>
        <w:t>SUITE 100</w:t>
      </w:r>
      <w:r>
        <w:rPr>
          <w:sz w:val="20"/>
          <w:szCs w:val="20"/>
          <w:color w:val="auto"/>
        </w:rPr>
        <w:tab/>
      </w:r>
      <w:r>
        <w:rPr>
          <w:rFonts w:ascii="Arial" w:cs="Arial" w:eastAsia="Arial" w:hAnsi="Arial"/>
          <w:sz w:val="12"/>
          <w:szCs w:val="12"/>
          <w:color w:val="auto"/>
        </w:rPr>
        <w:t>before the cut-off date or meeting date. Have your proxy card in hand when you access the web site and follow the instructions to obtain</w:t>
      </w:r>
    </w:p>
    <w:p>
      <w:pPr>
        <w:spacing w:after="0"/>
        <w:tabs>
          <w:tab w:leader="none" w:pos="3980" w:val="left"/>
        </w:tabs>
        <w:rPr>
          <w:sz w:val="20"/>
          <w:szCs w:val="20"/>
          <w:color w:val="auto"/>
        </w:rPr>
      </w:pPr>
      <w:r>
        <w:rPr>
          <w:rFonts w:ascii="Arial" w:cs="Arial" w:eastAsia="Arial" w:hAnsi="Arial"/>
          <w:sz w:val="14"/>
          <w:szCs w:val="14"/>
          <w:b w:val="1"/>
          <w:bCs w:val="1"/>
          <w:color w:val="auto"/>
        </w:rPr>
        <w:t>WEST PALM BEACH, FL 33409</w:t>
      </w:r>
      <w:r>
        <w:rPr>
          <w:sz w:val="20"/>
          <w:szCs w:val="20"/>
          <w:color w:val="auto"/>
        </w:rPr>
        <w:tab/>
      </w:r>
      <w:r>
        <w:rPr>
          <w:rFonts w:ascii="Arial" w:cs="Arial" w:eastAsia="Arial" w:hAnsi="Arial"/>
          <w:sz w:val="12"/>
          <w:szCs w:val="12"/>
          <w:color w:val="auto"/>
        </w:rPr>
        <w:t>your records and to create an electronic voting instruction form.</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AUTO DATA PROCESSING</w:t>
            </w:r>
          </w:p>
        </w:tc>
        <w:tc>
          <w:tcPr>
            <w:tcW w:w="8460" w:type="dxa"/>
            <w:vAlign w:val="bottom"/>
          </w:tcPr>
          <w:p>
            <w:pPr>
              <w:ind w:left="1040"/>
              <w:spacing w:after="0"/>
              <w:rPr>
                <w:sz w:val="20"/>
                <w:szCs w:val="20"/>
                <w:color w:val="auto"/>
              </w:rPr>
            </w:pPr>
            <w:r>
              <w:rPr>
                <w:rFonts w:ascii="Arial" w:cs="Arial" w:eastAsia="Arial" w:hAnsi="Arial"/>
                <w:sz w:val="14"/>
                <w:szCs w:val="14"/>
                <w:b w:val="1"/>
                <w:bCs w:val="1"/>
                <w:color w:val="auto"/>
              </w:rPr>
              <w:t>ELECTRONIC DELIVERY OF FUTURE SHAREHOLDER COMMUNICATIONS</w:t>
            </w:r>
          </w:p>
        </w:tc>
        <w:tc>
          <w:tcPr>
            <w:tcW w:w="0" w:type="dxa"/>
            <w:vAlign w:val="bottom"/>
          </w:tcPr>
          <w:p>
            <w:pPr>
              <w:spacing w:after="0"/>
              <w:rPr>
                <w:sz w:val="1"/>
                <w:szCs w:val="1"/>
                <w:color w:val="auto"/>
              </w:rPr>
            </w:pPr>
          </w:p>
        </w:tc>
      </w:tr>
      <w:tr>
        <w:trPr>
          <w:trHeight w:val="151"/>
        </w:trPr>
        <w:tc>
          <w:tcPr>
            <w:tcW w:w="2960" w:type="dxa"/>
            <w:vAlign w:val="bottom"/>
          </w:tcPr>
          <w:p>
            <w:pPr>
              <w:spacing w:after="0" w:line="151" w:lineRule="exact"/>
              <w:rPr>
                <w:sz w:val="20"/>
                <w:szCs w:val="20"/>
                <w:color w:val="auto"/>
              </w:rPr>
            </w:pPr>
            <w:r>
              <w:rPr>
                <w:rFonts w:ascii="Arial" w:cs="Arial" w:eastAsia="Arial" w:hAnsi="Arial"/>
                <w:sz w:val="14"/>
                <w:szCs w:val="14"/>
                <w:b w:val="1"/>
                <w:bCs w:val="1"/>
                <w:color w:val="auto"/>
              </w:rPr>
              <w:t>INVESTOR COMM SERVICES</w:t>
            </w:r>
          </w:p>
        </w:tc>
        <w:tc>
          <w:tcPr>
            <w:tcW w:w="8460" w:type="dxa"/>
            <w:vAlign w:val="bottom"/>
          </w:tcPr>
          <w:p>
            <w:pPr>
              <w:ind w:left="1040"/>
              <w:spacing w:after="0" w:line="151" w:lineRule="exact"/>
              <w:rPr>
                <w:sz w:val="20"/>
                <w:szCs w:val="20"/>
                <w:color w:val="auto"/>
              </w:rPr>
            </w:pPr>
            <w:r>
              <w:rPr>
                <w:rFonts w:ascii="Arial" w:cs="Arial" w:eastAsia="Arial" w:hAnsi="Arial"/>
                <w:sz w:val="14"/>
                <w:szCs w:val="14"/>
                <w:color w:val="auto"/>
                <w:w w:val="89"/>
              </w:rPr>
              <w:t>If you would like to reduce the costs incurred by Ocwen Financial Corporation in mailing proxy materials, you can consent to receiving</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51 MERCEDES WAY</w:t>
            </w:r>
          </w:p>
        </w:tc>
        <w:tc>
          <w:tcPr>
            <w:tcW w:w="8460" w:type="dxa"/>
            <w:vAlign w:val="bottom"/>
          </w:tcPr>
          <w:p>
            <w:pPr>
              <w:ind w:left="1040"/>
              <w:spacing w:after="0" w:line="149" w:lineRule="exact"/>
              <w:rPr>
                <w:sz w:val="20"/>
                <w:szCs w:val="20"/>
                <w:color w:val="auto"/>
              </w:rPr>
            </w:pPr>
            <w:r>
              <w:rPr>
                <w:rFonts w:ascii="Arial" w:cs="Arial" w:eastAsia="Arial" w:hAnsi="Arial"/>
                <w:sz w:val="14"/>
                <w:szCs w:val="14"/>
                <w:color w:val="auto"/>
                <w:w w:val="90"/>
              </w:rPr>
              <w:t>all future proxy statements, proxy cards and annual reports electronically via e-mail or the Internet.  To sign up for electronic delivery,</w:t>
            </w:r>
          </w:p>
        </w:tc>
        <w:tc>
          <w:tcPr>
            <w:tcW w:w="0" w:type="dxa"/>
            <w:vAlign w:val="bottom"/>
          </w:tcPr>
          <w:p>
            <w:pPr>
              <w:spacing w:after="0"/>
              <w:rPr>
                <w:sz w:val="1"/>
                <w:szCs w:val="1"/>
                <w:color w:val="auto"/>
              </w:rPr>
            </w:pPr>
          </w:p>
        </w:tc>
      </w:tr>
      <w:tr>
        <w:trPr>
          <w:trHeight w:val="147"/>
        </w:trPr>
        <w:tc>
          <w:tcPr>
            <w:tcW w:w="2960" w:type="dxa"/>
            <w:vAlign w:val="bottom"/>
            <w:vMerge w:val="continue"/>
          </w:tcPr>
          <w:p>
            <w:pPr>
              <w:spacing w:after="0"/>
              <w:rPr>
                <w:sz w:val="12"/>
                <w:szCs w:val="12"/>
                <w:color w:val="auto"/>
              </w:rPr>
            </w:pPr>
          </w:p>
        </w:tc>
        <w:tc>
          <w:tcPr>
            <w:tcW w:w="8460" w:type="dxa"/>
            <w:vAlign w:val="bottom"/>
          </w:tcPr>
          <w:p>
            <w:pPr>
              <w:ind w:left="1040"/>
              <w:spacing w:after="0" w:line="147" w:lineRule="exact"/>
              <w:rPr>
                <w:sz w:val="20"/>
                <w:szCs w:val="20"/>
                <w:color w:val="auto"/>
              </w:rPr>
            </w:pPr>
            <w:r>
              <w:rPr>
                <w:rFonts w:ascii="Arial" w:cs="Arial" w:eastAsia="Arial" w:hAnsi="Arial"/>
                <w:sz w:val="14"/>
                <w:szCs w:val="14"/>
                <w:color w:val="auto"/>
                <w:w w:val="93"/>
              </w:rPr>
              <w:t>please follow the instructions above to vote using the Internet and, when prompted, indicate that you agree to receive or access</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EDGEWOOD, NY</w:t>
            </w:r>
          </w:p>
        </w:tc>
        <w:tc>
          <w:tcPr>
            <w:tcW w:w="8460" w:type="dxa"/>
            <w:vAlign w:val="bottom"/>
          </w:tcPr>
          <w:p>
            <w:pPr>
              <w:ind w:left="1040"/>
              <w:spacing w:after="0" w:line="149" w:lineRule="exact"/>
              <w:rPr>
                <w:sz w:val="20"/>
                <w:szCs w:val="20"/>
                <w:color w:val="auto"/>
              </w:rPr>
            </w:pPr>
            <w:r>
              <w:rPr>
                <w:rFonts w:ascii="Arial" w:cs="Arial" w:eastAsia="Arial" w:hAnsi="Arial"/>
                <w:sz w:val="14"/>
                <w:szCs w:val="14"/>
                <w:color w:val="auto"/>
              </w:rPr>
              <w:t>shareholder communications electronically in future years.</w:t>
            </w:r>
          </w:p>
        </w:tc>
        <w:tc>
          <w:tcPr>
            <w:tcW w:w="0" w:type="dxa"/>
            <w:vAlign w:val="bottom"/>
          </w:tcPr>
          <w:p>
            <w:pPr>
              <w:spacing w:after="0"/>
              <w:rPr>
                <w:sz w:val="1"/>
                <w:szCs w:val="1"/>
                <w:color w:val="auto"/>
              </w:rPr>
            </w:pPr>
          </w:p>
        </w:tc>
      </w:tr>
      <w:tr>
        <w:trPr>
          <w:trHeight w:val="174"/>
        </w:trPr>
        <w:tc>
          <w:tcPr>
            <w:tcW w:w="2960" w:type="dxa"/>
            <w:vAlign w:val="bottom"/>
          </w:tcPr>
          <w:p>
            <w:pPr>
              <w:spacing w:after="0"/>
              <w:rPr>
                <w:sz w:val="20"/>
                <w:szCs w:val="20"/>
                <w:color w:val="auto"/>
              </w:rPr>
            </w:pPr>
            <w:r>
              <w:rPr>
                <w:rFonts w:ascii="Arial" w:cs="Arial" w:eastAsia="Arial" w:hAnsi="Arial"/>
                <w:sz w:val="14"/>
                <w:szCs w:val="14"/>
                <w:b w:val="1"/>
                <w:bCs w:val="1"/>
                <w:color w:val="auto"/>
              </w:rPr>
              <w:t>11717</w:t>
            </w:r>
          </w:p>
        </w:tc>
        <w:tc>
          <w:tcPr>
            <w:tcW w:w="8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VOTE BY PHONE - 1-800-690-6903</w:t>
      </w:r>
    </w:p>
    <w:p>
      <w:pPr>
        <w:spacing w:after="0" w:line="17" w:lineRule="exact"/>
        <w:rPr>
          <w:sz w:val="20"/>
          <w:szCs w:val="20"/>
          <w:color w:val="auto"/>
        </w:rPr>
      </w:pPr>
    </w:p>
    <w:p>
      <w:pPr>
        <w:ind w:left="4000" w:right="20"/>
        <w:spacing w:after="0" w:line="239"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23"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Ocwen Financial</w:t>
      </w:r>
    </w:p>
    <w:p>
      <w:pPr>
        <w:spacing w:after="0" w:line="10"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Corporation, c/o ADP, 51 Mercedes Way, Edgewood, NY 11717.</w:t>
      </w:r>
    </w:p>
    <w:p>
      <w:pPr>
        <w:spacing w:after="0" w:line="339" w:lineRule="exact"/>
        <w:rPr>
          <w:sz w:val="20"/>
          <w:szCs w:val="20"/>
          <w:color w:val="auto"/>
        </w:rPr>
      </w:pPr>
    </w:p>
    <w:p>
      <w:pPr>
        <w:spacing w:after="0"/>
        <w:tabs>
          <w:tab w:leader="none" w:pos="4940" w:val="left"/>
          <w:tab w:leader="none" w:pos="5340" w:val="left"/>
          <w:tab w:leader="none" w:pos="6200" w:val="left"/>
        </w:tabs>
        <w:rPr>
          <w:sz w:val="20"/>
          <w:szCs w:val="20"/>
          <w:color w:val="auto"/>
        </w:rPr>
      </w:pPr>
      <w:r>
        <w:rPr>
          <w:rFonts w:ascii="Arial" w:cs="Arial" w:eastAsia="Arial" w:hAnsi="Arial"/>
          <w:sz w:val="14"/>
          <w:szCs w:val="14"/>
          <w:b w:val="1"/>
          <w:bCs w:val="1"/>
          <w:color w:val="auto"/>
        </w:rPr>
        <w:t>TO VOTE, MARK BLOCKS BELOW IN BLUE OR BLACK INK AS FOLLOWS</w:t>
        <w:tab/>
        <w:t>x</w:t>
      </w:r>
      <w:r>
        <w:rPr>
          <w:sz w:val="20"/>
          <w:szCs w:val="20"/>
          <w:color w:val="auto"/>
        </w:rPr>
        <w:tab/>
      </w:r>
      <w:r>
        <w:rPr>
          <w:rFonts w:ascii="Arial" w:cs="Arial" w:eastAsia="Arial" w:hAnsi="Arial"/>
          <w:sz w:val="14"/>
          <w:szCs w:val="14"/>
          <w:b w:val="1"/>
          <w:bCs w:val="1"/>
          <w:color w:val="auto"/>
        </w:rPr>
        <w:t>OCWEN1</w:t>
      </w:r>
      <w:r>
        <w:rPr>
          <w:sz w:val="20"/>
          <w:szCs w:val="20"/>
          <w:color w:val="auto"/>
        </w:rPr>
        <w:tab/>
      </w:r>
      <w:r>
        <w:rPr>
          <w:rFonts w:ascii="Arial" w:cs="Arial" w:eastAsia="Arial" w:hAnsi="Arial"/>
          <w:sz w:val="12"/>
          <w:szCs w:val="12"/>
          <w:b w:val="1"/>
          <w:bCs w:val="1"/>
          <w:color w:val="auto"/>
        </w:rPr>
        <w:t>KEEP THIS PORTION FOR YOUR RECORDS</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DETACH AND RETURN THlS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OCWEN FINANCIAL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DIRECTORS RECOMMEND A VOTE “FOR” ITEMS 1,2 AND 3</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on Directors</w:t>
      </w:r>
    </w:p>
    <w:p>
      <w:pPr>
        <w:spacing w:after="0" w:line="163" w:lineRule="exact"/>
        <w:rPr>
          <w:sz w:val="20"/>
          <w:szCs w:val="20"/>
          <w:color w:val="auto"/>
        </w:rPr>
      </w:pPr>
    </w:p>
    <w:p>
      <w:pPr>
        <w:spacing w:after="0"/>
        <w:tabs>
          <w:tab w:leader="none" w:pos="320" w:val="left"/>
          <w:tab w:leader="none" w:pos="6400" w:val="left"/>
          <w:tab w:leader="none" w:pos="7020" w:val="left"/>
          <w:tab w:leader="none" w:pos="8060" w:val="left"/>
          <w:tab w:leader="none" w:pos="8820" w:val="left"/>
          <w:tab w:leader="none" w:pos="9080" w:val="left"/>
          <w:tab w:leader="none" w:pos="9700" w:val="left"/>
          <w:tab w:leader="none" w:pos="10320" w:val="left"/>
          <w:tab w:leader="none" w:pos="10540" w:val="left"/>
          <w:tab w:leader="none" w:pos="10900" w:val="left"/>
          <w:tab w:leader="none" w:pos="112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To elect as Directors of Ocwen Financial Corporation the nominees listed below</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r>
        <w:rPr>
          <w:sz w:val="20"/>
          <w:szCs w:val="20"/>
          <w:color w:val="auto"/>
        </w:rPr>
        <w:tab/>
      </w:r>
      <w:r>
        <w:rPr>
          <w:rFonts w:ascii="Arial" w:cs="Arial" w:eastAsia="Arial" w:hAnsi="Arial"/>
          <w:sz w:val="14"/>
          <w:szCs w:val="14"/>
          <w:b w:val="1"/>
          <w:bCs w:val="1"/>
          <w:color w:val="auto"/>
        </w:rPr>
        <w:t>For All</w:t>
      </w:r>
      <w:r>
        <w:rPr>
          <w:sz w:val="20"/>
          <w:szCs w:val="20"/>
          <w:color w:val="auto"/>
        </w:rPr>
        <w:tab/>
      </w:r>
      <w:r>
        <w:rPr>
          <w:rFonts w:ascii="Arial" w:cs="Arial" w:eastAsia="Arial" w:hAnsi="Arial"/>
          <w:sz w:val="14"/>
          <w:szCs w:val="14"/>
          <w:color w:val="auto"/>
        </w:rPr>
        <w:t>To</w:t>
        <w:tab/>
        <w:t>withhold</w:t>
        <w:tab/>
        <w:t>authority</w:t>
        <w:tab/>
        <w:t>to</w:t>
        <w:tab/>
        <w:t>vote</w:t>
        <w:tab/>
        <w:t>for</w:t>
      </w:r>
      <w:r>
        <w:rPr>
          <w:sz w:val="20"/>
          <w:szCs w:val="20"/>
          <w:color w:val="auto"/>
        </w:rPr>
        <w:tab/>
      </w:r>
      <w:r>
        <w:rPr>
          <w:rFonts w:ascii="Arial" w:cs="Arial" w:eastAsia="Arial" w:hAnsi="Arial"/>
          <w:sz w:val="11"/>
          <w:szCs w:val="11"/>
          <w:color w:val="auto"/>
        </w:rPr>
        <w:t>any</w:t>
      </w:r>
    </w:p>
    <w:p>
      <w:pPr>
        <w:ind w:left="6440"/>
        <w:spacing w:after="0"/>
        <w:tabs>
          <w:tab w:leader="none" w:pos="7200" w:val="left"/>
          <w:tab w:leader="none" w:pos="8060" w:val="left"/>
          <w:tab w:leader="none" w:pos="882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Except</w:t>
      </w:r>
      <w:r>
        <w:rPr>
          <w:sz w:val="20"/>
          <w:szCs w:val="20"/>
          <w:color w:val="auto"/>
        </w:rPr>
        <w:tab/>
      </w:r>
      <w:r>
        <w:rPr>
          <w:rFonts w:ascii="Arial" w:cs="Arial" w:eastAsia="Arial" w:hAnsi="Arial"/>
          <w:sz w:val="12"/>
          <w:szCs w:val="12"/>
          <w:color w:val="auto"/>
        </w:rPr>
        <w:t>individual nominee(s), mark “For All Except”</w:t>
      </w:r>
    </w:p>
    <w:p>
      <w:pPr>
        <w:spacing w:after="0" w:line="1" w:lineRule="exact"/>
        <w:rPr>
          <w:sz w:val="20"/>
          <w:szCs w:val="20"/>
          <w:color w:val="auto"/>
        </w:rPr>
      </w:pPr>
    </w:p>
    <w:p>
      <w:pPr>
        <w:ind w:left="8840"/>
        <w:spacing w:after="0"/>
        <w:rPr>
          <w:sz w:val="20"/>
          <w:szCs w:val="20"/>
          <w:color w:val="auto"/>
        </w:rPr>
      </w:pPr>
      <w:r>
        <w:rPr>
          <w:rFonts w:ascii="Arial" w:cs="Arial" w:eastAsia="Arial" w:hAnsi="Arial"/>
          <w:sz w:val="12"/>
          <w:szCs w:val="12"/>
          <w:color w:val="auto"/>
        </w:rPr>
        <w:t>and write the number(s) of the nominee(s) on</w:t>
      </w:r>
    </w:p>
    <w:p>
      <w:pPr>
        <w:spacing w:after="0" w:line="10" w:lineRule="exact"/>
        <w:rPr>
          <w:sz w:val="20"/>
          <w:szCs w:val="20"/>
          <w:color w:val="auto"/>
        </w:rPr>
      </w:pPr>
    </w:p>
    <w:p>
      <w:pPr>
        <w:ind w:left="8840"/>
        <w:spacing w:after="0"/>
        <w:rPr>
          <w:sz w:val="20"/>
          <w:szCs w:val="20"/>
          <w:color w:val="auto"/>
        </w:rPr>
      </w:pPr>
      <w:r>
        <w:rPr>
          <w:rFonts w:ascii="Arial" w:cs="Arial" w:eastAsia="Arial" w:hAnsi="Arial"/>
          <w:sz w:val="14"/>
          <w:szCs w:val="14"/>
          <w:color w:val="auto"/>
        </w:rPr>
        <w:t>the line below.</w:t>
      </w:r>
    </w:p>
    <w:p>
      <w:pPr>
        <w:sectPr>
          <w:pgSz w:w="11900" w:h="16838" w:orient="portrait"/>
          <w:cols w:equalWidth="0" w:num="1">
            <w:col w:w="11420"/>
          </w:cols>
          <w:pgMar w:left="240" w:top="127" w:right="239" w:bottom="1440" w:gutter="0" w:footer="0" w:header="0"/>
        </w:sectPr>
      </w:pP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0" w:type="dxa"/>
            <w:vAlign w:val="bottom"/>
          </w:tcPr>
          <w:p>
            <w:pPr>
              <w:jc w:val="right"/>
              <w:ind w:right="132"/>
              <w:spacing w:after="0"/>
              <w:rPr>
                <w:sz w:val="20"/>
                <w:szCs w:val="20"/>
                <w:color w:val="auto"/>
              </w:rPr>
            </w:pPr>
            <w:r>
              <w:rPr>
                <w:rFonts w:ascii="Arial" w:cs="Arial" w:eastAsia="Arial" w:hAnsi="Arial"/>
                <w:sz w:val="14"/>
                <w:szCs w:val="14"/>
                <w:color w:val="auto"/>
                <w:w w:val="78"/>
              </w:rPr>
              <w:t>01)</w:t>
            </w:r>
          </w:p>
        </w:tc>
        <w:tc>
          <w:tcPr>
            <w:tcW w:w="1820" w:type="dxa"/>
            <w:vAlign w:val="bottom"/>
          </w:tcPr>
          <w:p>
            <w:pPr>
              <w:ind w:left="200"/>
              <w:spacing w:after="0"/>
              <w:rPr>
                <w:sz w:val="20"/>
                <w:szCs w:val="20"/>
                <w:color w:val="auto"/>
              </w:rPr>
            </w:pPr>
            <w:r>
              <w:rPr>
                <w:rFonts w:ascii="Arial" w:cs="Arial" w:eastAsia="Arial" w:hAnsi="Arial"/>
                <w:sz w:val="14"/>
                <w:szCs w:val="14"/>
                <w:color w:val="auto"/>
              </w:rPr>
              <w:t>William C. Erbey</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05)</w:t>
            </w:r>
          </w:p>
        </w:tc>
        <w:tc>
          <w:tcPr>
            <w:tcW w:w="1120" w:type="dxa"/>
            <w:vAlign w:val="bottom"/>
          </w:tcPr>
          <w:p>
            <w:pPr>
              <w:ind w:left="200"/>
              <w:spacing w:after="0"/>
              <w:rPr>
                <w:sz w:val="20"/>
                <w:szCs w:val="20"/>
                <w:color w:val="auto"/>
              </w:rPr>
            </w:pPr>
            <w:r>
              <w:rPr>
                <w:rFonts w:ascii="Arial" w:cs="Arial" w:eastAsia="Arial" w:hAnsi="Arial"/>
                <w:sz w:val="14"/>
                <w:szCs w:val="14"/>
                <w:color w:val="auto"/>
                <w:w w:val="93"/>
              </w:rPr>
              <w:t>William H. Lacy</w:t>
            </w:r>
          </w:p>
        </w:tc>
      </w:tr>
      <w:tr>
        <w:trPr>
          <w:trHeight w:val="149"/>
        </w:trPr>
        <w:tc>
          <w:tcPr>
            <w:tcW w:w="3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8"/>
              </w:rPr>
              <w:t>02)</w:t>
            </w: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Ronald M Faris</w:t>
            </w:r>
          </w:p>
        </w:tc>
        <w:tc>
          <w:tcPr>
            <w:tcW w:w="10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06)</w:t>
            </w:r>
          </w:p>
        </w:tc>
        <w:tc>
          <w:tcPr>
            <w:tcW w:w="1120" w:type="dxa"/>
            <w:vAlign w:val="bottom"/>
          </w:tcPr>
          <w:p>
            <w:pPr>
              <w:ind w:left="200"/>
              <w:spacing w:after="0" w:line="149" w:lineRule="exact"/>
              <w:rPr>
                <w:sz w:val="20"/>
                <w:szCs w:val="20"/>
                <w:color w:val="auto"/>
              </w:rPr>
            </w:pPr>
            <w:r>
              <w:rPr>
                <w:rFonts w:ascii="Arial" w:cs="Arial" w:eastAsia="Arial" w:hAnsi="Arial"/>
                <w:sz w:val="14"/>
                <w:szCs w:val="14"/>
                <w:color w:val="auto"/>
                <w:w w:val="90"/>
              </w:rPr>
              <w:t>W. Michael Linn</w:t>
            </w:r>
          </w:p>
        </w:tc>
      </w:tr>
      <w:tr>
        <w:trPr>
          <w:trHeight w:val="149"/>
        </w:trPr>
        <w:tc>
          <w:tcPr>
            <w:tcW w:w="38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78"/>
              </w:rPr>
              <w:t>03)</w:t>
            </w: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Martha C Goss</w:t>
            </w:r>
          </w:p>
        </w:tc>
        <w:tc>
          <w:tcPr>
            <w:tcW w:w="10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07)</w:t>
            </w:r>
          </w:p>
        </w:tc>
        <w:tc>
          <w:tcPr>
            <w:tcW w:w="1120" w:type="dxa"/>
            <w:vAlign w:val="bottom"/>
          </w:tcPr>
          <w:p>
            <w:pPr>
              <w:ind w:left="200"/>
              <w:spacing w:after="0" w:line="149" w:lineRule="exact"/>
              <w:rPr>
                <w:sz w:val="20"/>
                <w:szCs w:val="20"/>
                <w:color w:val="auto"/>
              </w:rPr>
            </w:pPr>
            <w:r>
              <w:rPr>
                <w:rFonts w:ascii="Arial" w:cs="Arial" w:eastAsia="Arial" w:hAnsi="Arial"/>
                <w:sz w:val="14"/>
                <w:szCs w:val="14"/>
                <w:color w:val="auto"/>
              </w:rPr>
              <w:t>W.C. Martin</w:t>
            </w:r>
          </w:p>
        </w:tc>
      </w:tr>
      <w:tr>
        <w:trPr>
          <w:trHeight w:val="172"/>
        </w:trPr>
        <w:tc>
          <w:tcPr>
            <w:tcW w:w="380" w:type="dxa"/>
            <w:vAlign w:val="bottom"/>
          </w:tcPr>
          <w:p>
            <w:pPr>
              <w:jc w:val="right"/>
              <w:ind w:right="132"/>
              <w:spacing w:after="0"/>
              <w:rPr>
                <w:sz w:val="20"/>
                <w:szCs w:val="20"/>
                <w:color w:val="auto"/>
              </w:rPr>
            </w:pPr>
            <w:r>
              <w:rPr>
                <w:rFonts w:ascii="Arial" w:cs="Arial" w:eastAsia="Arial" w:hAnsi="Arial"/>
                <w:sz w:val="14"/>
                <w:szCs w:val="14"/>
                <w:color w:val="auto"/>
                <w:w w:val="78"/>
              </w:rPr>
              <w:t>04)</w:t>
            </w:r>
          </w:p>
        </w:tc>
        <w:tc>
          <w:tcPr>
            <w:tcW w:w="1820" w:type="dxa"/>
            <w:vAlign w:val="bottom"/>
          </w:tcPr>
          <w:p>
            <w:pPr>
              <w:ind w:left="200"/>
              <w:spacing w:after="0"/>
              <w:rPr>
                <w:sz w:val="20"/>
                <w:szCs w:val="20"/>
                <w:color w:val="auto"/>
              </w:rPr>
            </w:pPr>
            <w:r>
              <w:rPr>
                <w:rFonts w:ascii="Arial" w:cs="Arial" w:eastAsia="Arial" w:hAnsi="Arial"/>
                <w:sz w:val="14"/>
                <w:szCs w:val="14"/>
                <w:color w:val="auto"/>
              </w:rPr>
              <w:t>Ronald J Korn</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08)</w:t>
            </w:r>
          </w:p>
        </w:tc>
        <w:tc>
          <w:tcPr>
            <w:tcW w:w="1120" w:type="dxa"/>
            <w:vAlign w:val="bottom"/>
          </w:tcPr>
          <w:p>
            <w:pPr>
              <w:ind w:left="200"/>
              <w:spacing w:after="0"/>
              <w:rPr>
                <w:sz w:val="20"/>
                <w:szCs w:val="20"/>
                <w:color w:val="auto"/>
              </w:rPr>
            </w:pPr>
            <w:r>
              <w:rPr>
                <w:rFonts w:ascii="Arial" w:cs="Arial" w:eastAsia="Arial" w:hAnsi="Arial"/>
                <w:sz w:val="14"/>
                <w:szCs w:val="14"/>
                <w:color w:val="auto"/>
              </w:rPr>
              <w:t>Barry N. Wish</w:t>
            </w: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780" w:val="left"/>
          <w:tab w:leader="none" w:pos="17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-40005</wp:posOffset>
            </wp:positionV>
            <wp:extent cx="16554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491" w:lineRule="exact"/>
        <w:rPr>
          <w:sz w:val="20"/>
          <w:szCs w:val="20"/>
          <w:color w:val="auto"/>
        </w:rPr>
      </w:pPr>
    </w:p>
    <w:p>
      <w:pPr>
        <w:sectPr>
          <w:pgSz w:w="11900" w:h="16838" w:orient="portrait"/>
          <w:cols w:equalWidth="0" w:num="2">
            <w:col w:w="5760" w:space="720"/>
            <w:col w:w="4940"/>
          </w:cols>
          <w:pgMar w:left="240" w:top="127" w:right="2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on Proposals</w:t>
      </w:r>
    </w:p>
    <w:p>
      <w:pPr>
        <w:spacing w:after="0" w:line="16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Proposal to approve the 2007 Equity Incentive Plan</w:t>
      </w:r>
    </w:p>
    <w:p>
      <w:pPr>
        <w:spacing w:after="0" w:line="136"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Proposal to ratify the appointment of PricewaterhouseCoopers LLP as our independent registered certified public accounting firm for the fiscal year ending December 31, 2007</w:t>
      </w:r>
    </w:p>
    <w:p>
      <w:pPr>
        <w:spacing w:after="0" w:line="12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 their discretion, upon such other matters that may properly come before the meeting or any adjournment or adjournments thereof</w:t>
      </w:r>
    </w:p>
    <w:p>
      <w:pPr>
        <w:spacing w:after="0" w:line="20" w:lineRule="exact"/>
        <w:rPr>
          <w:sz w:val="20"/>
          <w:szCs w:val="20"/>
          <w:color w:val="auto"/>
        </w:rPr>
      </w:pPr>
      <w:r>
        <w:rPr>
          <w:sz w:val="20"/>
          <w:szCs w:val="20"/>
          <w:color w:val="auto"/>
        </w:rPr>
        <w:br w:type="column"/>
      </w:r>
    </w:p>
    <w:p>
      <w:pPr>
        <w:spacing w:after="0"/>
        <w:tabs>
          <w:tab w:leader="none" w:pos="860" w:val="left"/>
          <w:tab w:leader="none" w:pos="18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235" w:lineRule="exact"/>
        <w:rPr>
          <w:sz w:val="20"/>
          <w:szCs w:val="20"/>
          <w:color w:val="auto"/>
        </w:rPr>
      </w:pPr>
    </w:p>
    <w:p>
      <w:pPr>
        <w:ind w:left="60"/>
        <w:spacing w:after="0"/>
        <w:tabs>
          <w:tab w:leader="none" w:pos="1040" w:val="left"/>
          <w:tab w:leader="none" w:pos="19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90" w:lineRule="exact"/>
        <w:rPr>
          <w:sz w:val="20"/>
          <w:szCs w:val="20"/>
          <w:color w:val="auto"/>
        </w:rPr>
      </w:pPr>
    </w:p>
    <w:p>
      <w:pPr>
        <w:ind w:left="60"/>
        <w:spacing w:after="0"/>
        <w:tabs>
          <w:tab w:leader="none" w:pos="1040" w:val="left"/>
          <w:tab w:leader="none" w:pos="19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533" w:lineRule="exact"/>
        <w:rPr>
          <w:sz w:val="20"/>
          <w:szCs w:val="20"/>
          <w:color w:val="auto"/>
        </w:rPr>
      </w:pPr>
    </w:p>
    <w:p>
      <w:pPr>
        <w:sectPr>
          <w:pgSz w:w="11900" w:h="16838" w:orient="portrait"/>
          <w:cols w:equalWidth="0" w:num="2">
            <w:col w:w="8360" w:space="720"/>
            <w:col w:w="2340"/>
          </w:cols>
          <w:pgMar w:left="240" w:top="127" w:right="239" w:bottom="1440" w:gutter="0" w:footer="0" w:header="0"/>
          <w:type w:val="continuous"/>
        </w:sectPr>
      </w:pPr>
    </w:p>
    <w:p>
      <w:pPr>
        <w:ind w:right="80"/>
        <w:spacing w:after="0" w:line="239"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items 1, 2 and 3. If any other matters properly come before the meeting, or if cumulative voting is required, the person named in this proxy will vote in their discretion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60" w:type="dxa"/>
            <w:vAlign w:val="bottom"/>
            <w:vMerge w:val="restart"/>
          </w:tcPr>
          <w:p>
            <w:pPr>
              <w:jc w:val="center"/>
              <w:ind w:left="39"/>
              <w:spacing w:after="0"/>
              <w:rPr>
                <w:sz w:val="20"/>
                <w:szCs w:val="20"/>
                <w:color w:val="auto"/>
              </w:rPr>
            </w:pPr>
            <w:r>
              <w:rPr>
                <w:rFonts w:ascii="Arial" w:cs="Arial" w:eastAsia="Arial" w:hAnsi="Arial"/>
                <w:sz w:val="18"/>
                <w:szCs w:val="18"/>
                <w:color w:val="auto"/>
                <w:w w:val="99"/>
              </w:rPr>
              <w:t>o</w:t>
            </w:r>
          </w:p>
        </w:tc>
        <w:tc>
          <w:tcPr>
            <w:tcW w:w="900" w:type="dxa"/>
            <w:vAlign w:val="bottom"/>
          </w:tcPr>
          <w:p>
            <w:pPr>
              <w:spacing w:after="0"/>
              <w:rPr>
                <w:sz w:val="14"/>
                <w:szCs w:val="14"/>
                <w:color w:val="auto"/>
              </w:rPr>
            </w:pPr>
          </w:p>
        </w:tc>
        <w:tc>
          <w:tcPr>
            <w:tcW w:w="5780" w:type="dxa"/>
            <w:vAlign w:val="bottom"/>
            <w:gridSpan w:val="3"/>
          </w:tcPr>
          <w:p>
            <w:pPr>
              <w:ind w:left="340"/>
              <w:spacing w:after="0"/>
              <w:rPr>
                <w:sz w:val="20"/>
                <w:szCs w:val="20"/>
                <w:color w:val="auto"/>
              </w:rPr>
            </w:pPr>
            <w:r>
              <w:rPr>
                <w:rFonts w:ascii="Arial" w:cs="Arial" w:eastAsia="Arial" w:hAnsi="Arial"/>
                <w:sz w:val="14"/>
                <w:szCs w:val="14"/>
                <w:color w:val="auto"/>
                <w:w w:val="89"/>
              </w:rPr>
              <w:t>Please sign exactly as your name or names appear(s) on this Proxy. When shares are held jointly,</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14"/>
                <w:szCs w:val="14"/>
                <w:color w:val="auto"/>
                <w:w w:val="95"/>
              </w:rPr>
              <w:t>For address changes and/or comments, please check this box and write</w:t>
            </w:r>
          </w:p>
        </w:tc>
        <w:tc>
          <w:tcPr>
            <w:tcW w:w="4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780" w:type="dxa"/>
            <w:vAlign w:val="bottom"/>
            <w:gridSpan w:val="3"/>
          </w:tcPr>
          <w:p>
            <w:pPr>
              <w:ind w:left="340"/>
              <w:spacing w:after="0"/>
              <w:rPr>
                <w:sz w:val="20"/>
                <w:szCs w:val="20"/>
                <w:color w:val="auto"/>
              </w:rPr>
            </w:pPr>
            <w:r>
              <w:rPr>
                <w:rFonts w:ascii="Arial" w:cs="Arial" w:eastAsia="Arial" w:hAnsi="Arial"/>
                <w:sz w:val="14"/>
                <w:szCs w:val="14"/>
                <w:color w:val="auto"/>
                <w:w w:val="90"/>
              </w:rPr>
              <w:t>each holder should sign.  When signing as executor, administrator, attorney, trustee or guardian,</w:t>
            </w:r>
          </w:p>
        </w:tc>
        <w:tc>
          <w:tcPr>
            <w:tcW w:w="0" w:type="dxa"/>
            <w:vAlign w:val="bottom"/>
          </w:tcPr>
          <w:p>
            <w:pPr>
              <w:spacing w:after="0"/>
              <w:rPr>
                <w:sz w:val="1"/>
                <w:szCs w:val="1"/>
                <w:color w:val="auto"/>
              </w:rPr>
            </w:pPr>
          </w:p>
        </w:tc>
      </w:tr>
      <w:tr>
        <w:trPr>
          <w:trHeight w:val="137"/>
        </w:trPr>
        <w:tc>
          <w:tcPr>
            <w:tcW w:w="4280" w:type="dxa"/>
            <w:vAlign w:val="bottom"/>
          </w:tcPr>
          <w:p>
            <w:pPr>
              <w:spacing w:after="0" w:line="137" w:lineRule="exact"/>
              <w:rPr>
                <w:sz w:val="20"/>
                <w:szCs w:val="20"/>
                <w:color w:val="auto"/>
              </w:rPr>
            </w:pPr>
            <w:r>
              <w:rPr>
                <w:rFonts w:ascii="Arial" w:cs="Arial" w:eastAsia="Arial" w:hAnsi="Arial"/>
                <w:sz w:val="14"/>
                <w:szCs w:val="14"/>
                <w:color w:val="auto"/>
              </w:rPr>
              <w:t>them on the back where indicated.</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780" w:type="dxa"/>
            <w:vAlign w:val="bottom"/>
            <w:gridSpan w:val="3"/>
          </w:tcPr>
          <w:p>
            <w:pPr>
              <w:ind w:left="340"/>
              <w:spacing w:after="0" w:line="137" w:lineRule="exact"/>
              <w:rPr>
                <w:sz w:val="20"/>
                <w:szCs w:val="20"/>
                <w:color w:val="auto"/>
              </w:rPr>
            </w:pPr>
            <w:r>
              <w:rPr>
                <w:rFonts w:ascii="Arial" w:cs="Arial" w:eastAsia="Arial" w:hAnsi="Arial"/>
                <w:sz w:val="14"/>
                <w:szCs w:val="14"/>
                <w:color w:val="auto"/>
                <w:w w:val="90"/>
              </w:rPr>
              <w:t>please give full title as such. If the signer is a corporation, please sign full corporate name by duly</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460" w:type="dxa"/>
            <w:vAlign w:val="bottom"/>
          </w:tcPr>
          <w:p>
            <w:pPr>
              <w:jc w:val="center"/>
              <w:ind w:left="19"/>
              <w:spacing w:after="0" w:line="149" w:lineRule="exact"/>
              <w:rPr>
                <w:sz w:val="20"/>
                <w:szCs w:val="20"/>
                <w:color w:val="auto"/>
              </w:rPr>
            </w:pPr>
            <w:r>
              <w:rPr>
                <w:rFonts w:ascii="Arial" w:cs="Arial" w:eastAsia="Arial" w:hAnsi="Arial"/>
                <w:sz w:val="14"/>
                <w:szCs w:val="14"/>
                <w:color w:val="auto"/>
                <w:w w:val="82"/>
              </w:rPr>
              <w:t>Yes</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2800" w:type="dxa"/>
            <w:vAlign w:val="bottom"/>
          </w:tcPr>
          <w:p>
            <w:pPr>
              <w:ind w:left="340"/>
              <w:spacing w:after="0" w:line="149" w:lineRule="exact"/>
              <w:rPr>
                <w:sz w:val="20"/>
                <w:szCs w:val="20"/>
                <w:color w:val="auto"/>
              </w:rPr>
            </w:pPr>
            <w:r>
              <w:rPr>
                <w:rFonts w:ascii="Arial" w:cs="Arial" w:eastAsia="Arial" w:hAnsi="Arial"/>
                <w:sz w:val="14"/>
                <w:szCs w:val="14"/>
                <w:color w:val="auto"/>
                <w:w w:val="95"/>
              </w:rPr>
              <w:t>authorized officer, giving full title as such.</w:t>
            </w:r>
          </w:p>
        </w:tc>
        <w:tc>
          <w:tcPr>
            <w:tcW w:w="29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If signer is a partnership, please sign in partnership</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460" w:type="dxa"/>
            <w:vAlign w:val="bottom"/>
            <w:vMerge w:val="restart"/>
          </w:tcPr>
          <w:p>
            <w:pPr>
              <w:jc w:val="center"/>
              <w:ind w:left="39"/>
              <w:spacing w:after="0"/>
              <w:rPr>
                <w:sz w:val="20"/>
                <w:szCs w:val="20"/>
                <w:color w:val="auto"/>
              </w:rPr>
            </w:pPr>
            <w:r>
              <w:rPr>
                <w:rFonts w:ascii="Arial" w:cs="Arial" w:eastAsia="Arial" w:hAnsi="Arial"/>
                <w:sz w:val="18"/>
                <w:szCs w:val="18"/>
                <w:color w:val="auto"/>
                <w:w w:val="99"/>
              </w:rPr>
              <w:t>o</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2800" w:type="dxa"/>
            <w:vAlign w:val="bottom"/>
          </w:tcPr>
          <w:p>
            <w:pPr>
              <w:ind w:left="340"/>
              <w:spacing w:after="0"/>
              <w:rPr>
                <w:sz w:val="20"/>
                <w:szCs w:val="20"/>
                <w:color w:val="auto"/>
              </w:rPr>
            </w:pPr>
            <w:r>
              <w:rPr>
                <w:rFonts w:ascii="Arial" w:cs="Arial" w:eastAsia="Arial" w:hAnsi="Arial"/>
                <w:sz w:val="14"/>
                <w:szCs w:val="14"/>
                <w:color w:val="auto"/>
              </w:rPr>
              <w:t>name by authorized person.</w:t>
            </w: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123,456,789,012</w:t>
            </w: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675746A99</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4"/>
                <w:szCs w:val="14"/>
                <w:color w:val="auto"/>
              </w:rPr>
              <w:t>Signature [PLEASE SIGN WITHIN BOX]  Date</w:t>
            </w:r>
          </w:p>
        </w:tc>
        <w:tc>
          <w:tcPr>
            <w:tcW w:w="46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P40365</w:t>
            </w:r>
          </w:p>
        </w:tc>
        <w:tc>
          <w:tcPr>
            <w:tcW w:w="2800" w:type="dxa"/>
            <w:vAlign w:val="bottom"/>
          </w:tcPr>
          <w:p>
            <w:pPr>
              <w:ind w:left="340"/>
              <w:spacing w:after="0"/>
              <w:rPr>
                <w:sz w:val="20"/>
                <w:szCs w:val="20"/>
                <w:color w:val="auto"/>
              </w:rPr>
            </w:pPr>
            <w:r>
              <w:rPr>
                <w:rFonts w:ascii="Arial" w:cs="Arial" w:eastAsia="Arial" w:hAnsi="Arial"/>
                <w:sz w:val="14"/>
                <w:szCs w:val="14"/>
                <w:color w:val="auto"/>
              </w:rPr>
              <w:t>Signature (Joint Owners)</w:t>
            </w:r>
          </w:p>
        </w:tc>
        <w:tc>
          <w:tcPr>
            <w:tcW w:w="1320" w:type="dxa"/>
            <w:vAlign w:val="bottom"/>
          </w:tcPr>
          <w:p>
            <w:pPr>
              <w:ind w:left="360"/>
              <w:spacing w:after="0"/>
              <w:rPr>
                <w:sz w:val="20"/>
                <w:szCs w:val="20"/>
                <w:color w:val="auto"/>
              </w:rPr>
            </w:pPr>
            <w:r>
              <w:rPr>
                <w:rFonts w:ascii="Arial" w:cs="Arial" w:eastAsia="Arial" w:hAnsi="Arial"/>
                <w:sz w:val="14"/>
                <w:szCs w:val="14"/>
                <w:color w:val="auto"/>
              </w:rPr>
              <w:t>Date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217805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78050" cy="27432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-376555</wp:posOffset>
            </wp:positionV>
            <wp:extent cx="2058035"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8035" cy="2743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1661 Worthington Road, Suite 100 – West Palm Beach, Florida 33409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REVOCABLE PROXY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THlS PROXY IS SOLICITED ON BEHALF OF THE BOARD OF DIRECTORS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10, 2007, AND AT ANY ADJOURNMENT THEREOF.</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hereby appoints William C. Erbey, Ronald M. Faris and Kevin J. Wilcox, or any of them, as proxy, with full powers of substitution, and hereby authorizes them to represent and vote, as designated on the reverse side, all the shares of Common Stock of Ocwen Financial Corporation (the “Company”) held of record by the undersigned on March 9, 2007, at the Annual Meeting of Shareholders to be held at the offices of the Company located at the offices of the Company located at 1661 Worthington Road, Suite 100, West Palm Beach, Florida 33409 on Thursday, May 10, 2007, at 9:00 a.m., Eastern Daylight Time and at any adjournment thereof.</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Shares of Common Stock of the Company will be voted as specified. If you execute and return this proxy without specific voting instructions, this proxy will be voted FOR the election of each of the Board of Directors’ nominees to the Board of Directors, FOR the approval of the 2007 Equity Incentive Plan and FOR the ratification of the appointment of PricewaterhouseCoopers LLP as independent registered certified public accounting firm. You may revoke this proxy at any time prior to the time it is voted at the Annual Meeting.</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acknowledges receipt of the Notice of Annual Meeting of Shareholders of Ocwen Financial Corporation to be held on May 10, 2007, or any adjournment thereof a Proxy Statement for the Annual Meeting and the 2006 Annual Report to Shareholders of the Company prior to the signing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272020" cy="6083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60833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any Address Changes/ Comments above, please mark corresponding box on the reverse side)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(Continued and to be dated and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x"/>
      <w:numFmt w:val="bullet"/>
      <w:start w:val="1"/>
    </w:lvl>
  </w:abstractNum>
  <w:abstractNum w:abstractNumId="2">
    <w:nsid w:val="431BD7B7"/>
    <w:multiLevelType w:val="hybridMultilevel"/>
    <w:lvl w:ilvl="0">
      <w:lvlJc w:val="left"/>
      <w:lvlText w:val="o"/>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6"/>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Roman"/>
      <w:start w:val="1"/>
    </w:lvl>
  </w:abstractNum>
  <w:abstractNum w:abstractNumId="27">
    <w:nsid w:val="1E7FF521"/>
    <w:multiLevelType w:val="hybridMultilevel"/>
    <w:lvl w:ilvl="0">
      <w:lvlJc w:val="left"/>
      <w:lvlText w:val="(%1)"/>
      <w:numFmt w:val="lowerRoman"/>
      <w:start w:val="4"/>
    </w:lvl>
  </w:abstractNum>
  <w:abstractNum w:abstractNumId="28">
    <w:nsid w:val="7C3DBD3D"/>
    <w:multiLevelType w:val="hybridMultilevel"/>
    <w:lvl w:ilvl="0">
      <w:lvlJc w:val="left"/>
      <w:lvlText w:val="(%1)"/>
      <w:numFmt w:val="lowerRoman"/>
      <w:start w:val="4"/>
    </w:lvl>
    <w:lvl w:ilvl="1">
      <w:lvlJc w:val="left"/>
      <w:lvlText w:val="(%2)"/>
      <w:numFmt w:val="upperLetter"/>
      <w:start w:val="1"/>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2019-12-20T06:46:22Z</dcterms:created>
  <dcterms:modified xsi:type="dcterms:W3CDTF">2019-12-20T06:46:22Z</dcterms:modified>
</cp:coreProperties>
</file>