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Wessel Aulene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WORTHINGTON ROAD,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ONITY GROUP INC.</w:t>
              </w:r>
            </w:hyperlink>
            <w:r>
              <w:rPr/>
              <w:t xml:space="preserve"> [ </w:t>
            </w:r>
            <w:r>
              <w:rPr>
                <w:rFonts w:ascii="Times;serif" w:hAnsi="Times;serif"/>
                <w:color w:val="0000FF"/>
                <w:sz w:val="24"/>
                <w:shd w:fill="FFFFFF" w:val="clear"/>
              </w:rPr>
              <w:t>ONIT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1,844</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23, 2026, the reporting person was granted 6,147 restricted stock units, of which 1,844 were scheduled to vest on August 23, 2026, 1,844 are scheduled to vest on August 23, 2027, and 2,459 are scheduled to vest on February 23, 2028, in each case subject to the reporting person's continued employment and certain other conditions. Each restricted stock unit represents a contingent right to receive a cash payment equal to the closing price of one share of ONIT common stock on the applicable vesting date. The transaction reported reflects the settlement in cash pursuant to the terms of the award of 1,844 restricted stock units that vested pursuant to the award on August 23, 2026. On August 21, 2026, the last trading day prior to the vesting date, the closing price of ONIT common stock was $36.03.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E. Hutton, Attorney-in-Fact for Aulene Wessel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851" TargetMode="External"/><Relationship Id="rId5" Type="http://schemas.openxmlformats.org/officeDocument/2006/relationships/hyperlink" Target="http://www.sec.gov/cgi-bin/browse-edgar?action=getcompany&amp;CIK=00008738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3888</Characters>
  <CharactersWithSpaces>4536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