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10-K/A</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640" w:right="199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December 31, 2004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For the transition period from: _____________ to _____________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1-13219</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OCWEN FINANCIAL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our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ind w:left="1280"/>
              <w:spacing w:after="0"/>
              <w:rPr>
                <w:sz w:val="20"/>
                <w:szCs w:val="20"/>
                <w:color w:val="auto"/>
              </w:rPr>
            </w:pPr>
            <w:r>
              <w:rPr>
                <w:rFonts w:ascii="Courier New" w:cs="Courier New" w:eastAsia="Courier New" w:hAnsi="Courier New"/>
                <w:sz w:val="18"/>
                <w:szCs w:val="18"/>
                <w:color w:val="auto"/>
              </w:rPr>
              <w:t>Florida</w:t>
            </w:r>
          </w:p>
        </w:tc>
        <w:tc>
          <w:tcPr>
            <w:tcW w:w="312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8"/>
              </w:rPr>
              <w:t>65-0039856</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12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1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5320" w:type="dxa"/>
            <w:vAlign w:val="bottom"/>
          </w:tcPr>
          <w:p>
            <w:pPr>
              <w:ind w:left="220"/>
              <w:spacing w:after="0"/>
              <w:rPr>
                <w:sz w:val="20"/>
                <w:szCs w:val="20"/>
                <w:color w:val="auto"/>
              </w:rPr>
            </w:pPr>
            <w:r>
              <w:rPr>
                <w:rFonts w:ascii="Courier New" w:cs="Courier New" w:eastAsia="Courier New" w:hAnsi="Courier New"/>
                <w:sz w:val="18"/>
                <w:szCs w:val="18"/>
                <w:color w:val="auto"/>
              </w:rPr>
              <w:t>1661 Worthington Road, Suite 100</w:t>
            </w:r>
          </w:p>
        </w:tc>
        <w:tc>
          <w:tcPr>
            <w:tcW w:w="3120" w:type="dxa"/>
            <w:vAlign w:val="bottom"/>
          </w:tcPr>
          <w:p>
            <w:pPr>
              <w:spacing w:after="0"/>
              <w:rPr>
                <w:sz w:val="24"/>
                <w:szCs w:val="24"/>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West Palm Beach, Florida</w:t>
            </w:r>
          </w:p>
        </w:tc>
        <w:tc>
          <w:tcPr>
            <w:tcW w:w="312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33409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2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w:t>
            </w:r>
          </w:p>
        </w:tc>
        <w:tc>
          <w:tcPr>
            <w:tcW w:w="312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(561) 682-8000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38" w:orient="portrait"/>
          <w:cols w:equalWidth="0" w:num="1">
            <w:col w:w="10219"/>
          </w:cols>
          <w:pgMar w:left="240" w:top="250" w:right="1440" w:bottom="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New York Stock Exchange (NYSE)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 registered)</w:t>
      </w:r>
    </w:p>
    <w:p>
      <w:pPr>
        <w:spacing w:after="0" w:line="216" w:lineRule="exact"/>
        <w:rPr>
          <w:sz w:val="24"/>
          <w:szCs w:val="24"/>
          <w:color w:val="auto"/>
        </w:rPr>
      </w:pPr>
    </w:p>
    <w:p>
      <w:pPr>
        <w:sectPr>
          <w:pgSz w:w="11900" w:h="16838" w:orient="portrait"/>
          <w:cols w:equalWidth="0" w:num="2">
            <w:col w:w="3180" w:space="720"/>
            <w:col w:w="6319"/>
          </w:cols>
          <w:pgMar w:left="240" w:top="250"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registered pursuant to Section 12 (g) of the Act: Not applicable.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 ]</w:t>
      </w:r>
    </w:p>
    <w:p>
      <w:pPr>
        <w:spacing w:after="0" w:line="208"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Aggregate market value of the Common Stock, $0.01 par value, held by nonaffiliates of the registrant, computed by reference to the closing price as reported on the NYSE as of the close of business on June 30, 2004: $489,840,417 (for purposes of this calculation affiliates include only directors and executive officers of the registrant).</w:t>
      </w:r>
    </w:p>
    <w:p>
      <w:pPr>
        <w:spacing w:after="0" w:line="209"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Number of shares of Common Stock, $0.01 par value, outstanding as of March 10, 2005: 62,750,904 shares</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tabs>
          <w:tab w:leader="none" w:pos="4000" w:val="left"/>
        </w:tabs>
        <w:rPr>
          <w:sz w:val="20"/>
          <w:szCs w:val="20"/>
          <w:color w:val="auto"/>
        </w:rPr>
      </w:pPr>
      <w:r>
        <w:rPr>
          <w:rFonts w:ascii="Courier New" w:cs="Courier New" w:eastAsia="Courier New" w:hAnsi="Courier New"/>
          <w:sz w:val="18"/>
          <w:szCs w:val="18"/>
          <w:color w:val="auto"/>
        </w:rPr>
        <w:t>DOCUMENTS INCORPORATED BY REFERENCE:</w:t>
      </w:r>
      <w:r>
        <w:rPr>
          <w:sz w:val="20"/>
          <w:szCs w:val="20"/>
          <w:color w:val="auto"/>
        </w:rPr>
        <w:tab/>
      </w:r>
      <w:r>
        <w:rPr>
          <w:rFonts w:ascii="Courier New" w:cs="Courier New" w:eastAsia="Courier New" w:hAnsi="Courier New"/>
          <w:sz w:val="16"/>
          <w:szCs w:val="16"/>
          <w:color w:val="auto"/>
        </w:rPr>
        <w:t>None.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OCWEN FINANCIAL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2004 FORM 10-K/A ANNUAL REPORT</w:t>
      </w:r>
    </w:p>
    <w:p>
      <w:pPr>
        <w:jc w:val="center"/>
        <w:ind w:right="1679"/>
        <w:spacing w:after="0"/>
        <w:rPr>
          <w:sz w:val="20"/>
          <w:szCs w:val="20"/>
          <w:color w:val="auto"/>
        </w:rPr>
      </w:pPr>
      <w:r>
        <w:rPr>
          <w:rFonts w:ascii="Courier New" w:cs="Courier New" w:eastAsia="Courier New" w:hAnsi="Courier New"/>
          <w:sz w:val="18"/>
          <w:szCs w:val="18"/>
          <w:color w:val="auto"/>
        </w:rPr>
        <w:t>TABLE OF CONTENTS</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9A</w:t>
            </w:r>
          </w:p>
        </w:tc>
        <w:tc>
          <w:tcPr>
            <w:tcW w:w="2420" w:type="dxa"/>
            <w:vAlign w:val="bottom"/>
          </w:tcPr>
          <w:p>
            <w:pPr>
              <w:spacing w:after="0"/>
              <w:rPr>
                <w:sz w:val="20"/>
                <w:szCs w:val="20"/>
                <w:color w:val="auto"/>
              </w:rPr>
            </w:pPr>
            <w:r>
              <w:rPr>
                <w:rFonts w:ascii="Courier New" w:cs="Courier New" w:eastAsia="Courier New" w:hAnsi="Courier New"/>
                <w:sz w:val="18"/>
                <w:szCs w:val="18"/>
                <w:color w:val="auto"/>
                <w:w w:val="96"/>
              </w:rPr>
              <w:t>Controls and Procedures</w:t>
            </w:r>
          </w:p>
        </w:tc>
        <w:tc>
          <w:tcPr>
            <w:tcW w:w="4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 2</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Signatures</w:t>
            </w:r>
          </w:p>
        </w:tc>
        <w:tc>
          <w:tcPr>
            <w:tcW w:w="2420" w:type="dxa"/>
            <w:vAlign w:val="bottom"/>
          </w:tcPr>
          <w:p>
            <w:pPr>
              <w:spacing w:after="0"/>
              <w:rPr>
                <w:sz w:val="20"/>
                <w:szCs w:val="20"/>
                <w:color w:val="auto"/>
              </w:rPr>
            </w:pPr>
            <w:r>
              <w:rPr>
                <w:rFonts w:ascii="Courier New" w:cs="Courier New" w:eastAsia="Courier New" w:hAnsi="Courier New"/>
                <w:sz w:val="8"/>
                <w:szCs w:val="8"/>
                <w:color w:val="auto"/>
                <w:w w:val="74"/>
              </w:rPr>
              <w:t>...................................................................</w:t>
            </w:r>
          </w:p>
        </w:tc>
        <w:tc>
          <w:tcPr>
            <w:tcW w:w="4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15.</w:t>
            </w:r>
          </w:p>
        </w:tc>
        <w:tc>
          <w:tcPr>
            <w:tcW w:w="2420" w:type="dxa"/>
            <w:vAlign w:val="bottom"/>
          </w:tcPr>
          <w:p>
            <w:pPr>
              <w:spacing w:after="0"/>
              <w:rPr>
                <w:sz w:val="20"/>
                <w:szCs w:val="20"/>
                <w:color w:val="auto"/>
              </w:rPr>
            </w:pPr>
            <w:r>
              <w:rPr>
                <w:rFonts w:ascii="Courier New" w:cs="Courier New" w:eastAsia="Courier New" w:hAnsi="Courier New"/>
                <w:sz w:val="8"/>
                <w:szCs w:val="8"/>
                <w:color w:val="auto"/>
                <w:w w:val="74"/>
              </w:rPr>
              <w:t>Exhibits ..........................................................</w:t>
            </w:r>
          </w:p>
        </w:tc>
        <w:tc>
          <w:tcPr>
            <w:tcW w:w="4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Ocwen Financial Corporation (the "Company") is filing this Amendment No. 1 on Form 10-K/A to our Annual Report on Form 10-K for the fiscal year ended December 31, 2004 to amend Item 9A (Controls and Procedures) pursuant to Securities and Exchange Commission ("SEC") Release No. 34-50754. SEC Release No. 34-50754, subject to certain conditions, provides up to forty-five additional days beyond the due date of the original Form 10-K filing for the filing of Management's Report on Internal Control Over Financial Reporting and the related report of the Company's independent registered certified public accounting firm. In addition, the certifications pursuant to Section 302 of the Sarbanes-Oxley Act of 2002 and the consent of the Company's independent registered certified public accounting firm, filed as exhibits to our original filing, have been updated and re-filed in this Form 10-K/A.</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Except for the amendments described above, this Form 10-K/A does not modify or update disclosures in, or exhibits to, the original Form 10-K filing.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9A 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Evaluation of Disclosure Controls and Procedures</w:t>
      </w:r>
    </w:p>
    <w:p>
      <w:pPr>
        <w:spacing w:after="0" w:line="207"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The Company's management, under the supervision of and with the participation of the Company's Chief Executive Officer and Acting Chief Financial Officer, has evaluated the effectiveness of the Company's disclosure controls and procedures, as such term is defined in Rules 13a-15(e) and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15d-15(e) under the Securities Exchange Act of 1934, as amended (the "Exchange Act"), as of the end of the period covered by this report. Based on such evaluation, the Company's Chief Executive Officer and Acting Chief Financial Officer have concluded that, as of the end of such period, the Company's disclosure controls and procedures are effective and are reasonably designed to ensure that all material information relating to the Company required to be included in the Company's reports filed or submitted under the Exchange Act is recorded, processed, summarized and reported within the time periods specified in the rules and forms of the SEC.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Report on Internal Control over Financial Reporting</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Company's management is responsible for establishing and maintaining adequate internal control over financial reporting, as that term is defined in Exchange Act Rules 13a-15(f) and 15d-15(f).</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Under the supervision of and with the participation of the Company's management, including the Company's Chief Executive Officer and Acting Chief Financial Officer, the Company has conducted an evaluation of its internal control over financial reporting as of December 31, 2004, based on the framework set forth by the Committee of Sponsoring Organizations of the Treadway Commission ("COSO") in Internal Control-Integrated Framework. Based on that evaluation, the Company's management concluded that, as of December 31, 2004, its internal control over financial reporting is effective based on criteria established in Internal Control-Integrated Framework issued by the COSO.</w:t>
      </w:r>
    </w:p>
    <w:p>
      <w:pPr>
        <w:spacing w:after="0" w:line="18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Management has excluded Bankhaus Oswald Kruber KG ("BOK") and Ocwen Fulfillment Operations LLC ("OFO") from its assessment of internal control over financial reporting as of December 31, 2004 because they were acquired through purchase business combinations during 2004. BOK and OFO are wholly-owned subsidiaries whose combined total assets and total revenues represent 1.8% and 0.07%, respectively, of the related consolidated financial statement amounts as of and for the year ended December 31, 2004.</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Management's assessment of the effectiveness of its internal control over financial reporting as of December 31, 2004, has been audited by PricewaterhouseCoopers, LLP, an independent registered certified public accounting firm, as stated in their report which appears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Limitations on the Effectiveness of Controls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management, including the Chief Executive Officer and Acting Chief Financial Officer, does not expect that the Company's disclosure controls or the Company's internal control over financial reporting will prevent all errors and all fraud.</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w:t>
      </w:r>
    </w:p>
    <w:p>
      <w:pPr>
        <w:sectPr>
          <w:pgSz w:w="11900" w:h="16838" w:orient="portrait"/>
          <w:cols w:equalWidth="0" w:num="1">
            <w:col w:w="10219"/>
          </w:cols>
          <w:pgMar w:left="24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fairly reflect the transactions and dispositions of the assets of the company;</w:t>
      </w:r>
    </w:p>
    <w:p>
      <w:pPr>
        <w:spacing w:after="0" w:line="4" w:lineRule="exact"/>
        <w:rPr>
          <w:sz w:val="20"/>
          <w:szCs w:val="20"/>
          <w:color w:val="auto"/>
        </w:rPr>
      </w:pPr>
    </w:p>
    <w:p>
      <w:pPr>
        <w:ind w:right="1779" w:firstLine="8"/>
        <w:spacing w:after="0" w:line="275"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4" w:name="page5"/>
    <w:bookmarkEnd w:id="4"/>
    <w:p>
      <w:pPr>
        <w:ind w:right="1879"/>
        <w:spacing w:after="0" w:line="279" w:lineRule="auto"/>
        <w:rPr>
          <w:sz w:val="20"/>
          <w:szCs w:val="20"/>
          <w:color w:val="auto"/>
        </w:rPr>
      </w:pPr>
      <w:r>
        <w:rPr>
          <w:rFonts w:ascii="Courier New" w:cs="Courier New" w:eastAsia="Courier New" w:hAnsi="Courier New"/>
          <w:sz w:val="16"/>
          <w:szCs w:val="16"/>
          <w:color w:val="auto"/>
        </w:rPr>
        <w:t>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Further, the design of disclosure controls and internal control over financial reporting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Internal Control over Financial Reporting</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Company's fiscal quarter ended December 31, 2004 that have materially affected, or are reasonable likely to materially affect, the Company's internal control over financial reporting.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[GRAPHIC OMITTED]</w:t>
      </w:r>
    </w:p>
    <w:p>
      <w:pPr>
        <w:spacing w:after="0" w:line="238" w:lineRule="auto"/>
        <w:rPr>
          <w:sz w:val="20"/>
          <w:szCs w:val="20"/>
          <w:color w:val="auto"/>
        </w:rPr>
      </w:pPr>
      <w:r>
        <w:rPr>
          <w:rFonts w:ascii="Courier New" w:cs="Courier New" w:eastAsia="Courier New" w:hAnsi="Courier New"/>
          <w:sz w:val="18"/>
          <w:szCs w:val="18"/>
          <w:color w:val="auto"/>
        </w:rPr>
        <w:t>PricewaterhouseCoopers</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280"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PricewaterhouseCoopers LLP 222 Lakeview Avenue Suite 360</w:t>
      </w:r>
    </w:p>
    <w:p>
      <w:pPr>
        <w:spacing w:after="0" w:line="6" w:lineRule="exact"/>
        <w:rPr>
          <w:rFonts w:ascii="Courier New" w:cs="Courier New" w:eastAsia="Courier New" w:hAnsi="Courier New"/>
          <w:sz w:val="16"/>
          <w:szCs w:val="16"/>
          <w:color w:val="auto"/>
        </w:rPr>
      </w:pPr>
    </w:p>
    <w:p>
      <w:pPr>
        <w:ind w:left="528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West Palm Beach, FL 33401-6136 Telephone (561) 832 0038 Facsimile (561) 805 8181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Registered Certified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 of Ocwen Financial Corporation: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our opinion, management's assessment, included in Management's Report on Internal Control over Financial Reporting appearing under Item 9A, that Ocwen Financial Corporation (the "Company") maintained effective internal control over financial reporting as of December 31, 2004 based on criteria established in Internal Control - Integrated Framework issued by the Committee of Sponsoring Organizations of the Treadway Commission (COSO), is fairly stated, in all material respects, based on those criteria. Also, in our opinion, the Company maintained, in all material respects, effective internal control over financial reporting as of December 31, 2004,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described in Management's Report on Internal Control over Financial Reporting, management has excluded Bankhaus Oswald Kruber KG ("BOK") and Ocwen Fulfillment Operations LLC ("OFO") from its assessment of internal control over financial reporting as of December 31, 2004 because BOK and OFO were acquired by the Company in purchase business combinations during 2004. We have also excluded BOK and OFO from our audit of internal control over financial reporting. BOK and OFO are wholly-owned subsidiaries whose total combined assets and total revenues represent 1.8% and 0.07%, respectively, of the related consolidated financial statement amounts as of and for the year ended December 31, 2004.</w:t>
      </w:r>
    </w:p>
    <w:p>
      <w:pPr>
        <w:spacing w:after="0" w:line="18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also audited, in accordance with the standards of the Public Company Accounting Oversight Board (United States), the consolidated financial statements of Ocwen Financial Corporation at December 31, 2004 and 2003 and for each of the three years in the period ended December 31, 2004, and in our report, which contains an explanatory paragraph relating to the Company's change in its method of accounting for goodwill and intangible assets and its classification of Capital Securities as described in Note 1 to the consolidated financial statements, dated March 15, 2005, we expressed an unqualified opinion</w:t>
      </w:r>
    </w:p>
    <w:p>
      <w:pPr>
        <w:sectPr>
          <w:pgSz w:w="11900" w:h="16838" w:orient="portrait"/>
          <w:cols w:equalWidth="0" w:num="1">
            <w:col w:w="10219"/>
          </w:cols>
          <w:pgMar w:left="240" w:top="51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thereon.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West Palm Beach, Florida</w:t>
      </w:r>
    </w:p>
    <w:p>
      <w:pPr>
        <w:spacing w:after="0"/>
        <w:rPr>
          <w:sz w:val="20"/>
          <w:szCs w:val="20"/>
          <w:color w:val="auto"/>
        </w:rPr>
      </w:pPr>
      <w:r>
        <w:rPr>
          <w:rFonts w:ascii="Courier New" w:cs="Courier New" w:eastAsia="Courier New" w:hAnsi="Courier New"/>
          <w:sz w:val="18"/>
          <w:szCs w:val="18"/>
          <w:color w:val="auto"/>
        </w:rPr>
        <w:t>May 2, 2005</w:t>
      </w:r>
    </w:p>
    <w:p>
      <w:pPr>
        <w:spacing w:after="0" w:line="200"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OCWEN FINANCIAL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WILLIAM C. ERBEY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William C. Erbey</w:t>
      </w:r>
    </w:p>
    <w:p>
      <w:pPr>
        <w:ind w:left="454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4540"/>
        <w:spacing w:after="0"/>
        <w:rPr>
          <w:sz w:val="20"/>
          <w:szCs w:val="20"/>
          <w:color w:val="auto"/>
        </w:rPr>
      </w:pPr>
      <w:r>
        <w:rPr>
          <w:rFonts w:ascii="Courier New" w:cs="Courier New" w:eastAsia="Courier New" w:hAnsi="Courier New"/>
          <w:sz w:val="18"/>
          <w:szCs w:val="18"/>
          <w:color w:val="auto"/>
        </w:rPr>
        <w:t>Chief Executive Officer</w:t>
      </w:r>
    </w:p>
    <w:p>
      <w:pPr>
        <w:ind w:left="4540"/>
        <w:spacing w:after="0" w:line="237" w:lineRule="auto"/>
        <w:rPr>
          <w:sz w:val="20"/>
          <w:szCs w:val="20"/>
          <w:color w:val="auto"/>
        </w:rPr>
      </w:pPr>
      <w:r>
        <w:rPr>
          <w:rFonts w:ascii="Courier New" w:cs="Courier New" w:eastAsia="Courier New" w:hAnsi="Courier New"/>
          <w:sz w:val="18"/>
          <w:szCs w:val="18"/>
          <w:color w:val="auto"/>
        </w:rPr>
        <w:t>(Duly authorized representative)</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 2005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tcPr>
          <w:p>
            <w:pPr>
              <w:ind w:left="194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23.0</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Consent of PricewaterhouseCoopers LLP</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31.1</w:t>
            </w: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Certification of the Chief Executive Officer pursuant to Section</w:t>
            </w:r>
          </w:p>
        </w:tc>
      </w:tr>
      <w:tr>
        <w:trPr>
          <w:trHeight w:val="203"/>
        </w:trPr>
        <w:tc>
          <w:tcPr>
            <w:tcW w:w="1540" w:type="dxa"/>
            <w:vAlign w:val="bottom"/>
          </w:tcPr>
          <w:p>
            <w:pPr>
              <w:spacing w:after="0"/>
              <w:rPr>
                <w:sz w:val="17"/>
                <w:szCs w:val="17"/>
                <w:color w:val="auto"/>
              </w:rPr>
            </w:pP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31.2</w:t>
            </w: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Certification of the Chief Financial Officer pursuant to Section</w:t>
            </w:r>
          </w:p>
        </w:tc>
      </w:tr>
      <w:tr>
        <w:trPr>
          <w:trHeight w:val="203"/>
        </w:trPr>
        <w:tc>
          <w:tcPr>
            <w:tcW w:w="1540" w:type="dxa"/>
            <w:vAlign w:val="bottom"/>
          </w:tcPr>
          <w:p>
            <w:pPr>
              <w:spacing w:after="0"/>
              <w:rPr>
                <w:sz w:val="17"/>
                <w:szCs w:val="17"/>
                <w:color w:val="auto"/>
              </w:rPr>
            </w:pP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405"/>
        </w:trPr>
        <w:tc>
          <w:tcPr>
            <w:tcW w:w="1540" w:type="dxa"/>
            <w:vAlign w:val="bottom"/>
          </w:tcPr>
          <w:p>
            <w:pPr>
              <w:spacing w:after="0"/>
              <w:rPr>
                <w:sz w:val="24"/>
                <w:szCs w:val="24"/>
                <w:color w:val="auto"/>
              </w:rPr>
            </w:pPr>
          </w:p>
        </w:tc>
        <w:tc>
          <w:tcPr>
            <w:tcW w:w="6900" w:type="dxa"/>
            <w:vAlign w:val="bottom"/>
          </w:tcPr>
          <w:p>
            <w:pPr>
              <w:ind w:left="2580"/>
              <w:spacing w:after="0"/>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514" w:right="1440" w:bottom="1440" w:gutter="0" w:footer="0" w:header="0"/>
        </w:sectPr>
      </w:pPr>
    </w:p>
    <w:bookmarkStart w:id="9" w:name="page10"/>
    <w:bookmarkEnd w:id="9"/>
    <w:p>
      <w:pPr>
        <w:ind w:left="7180"/>
        <w:spacing w:after="0"/>
        <w:rPr>
          <w:sz w:val="20"/>
          <w:szCs w:val="20"/>
          <w:color w:val="auto"/>
        </w:rPr>
      </w:pPr>
      <w:r>
        <w:rPr>
          <w:rFonts w:ascii="Courier New" w:cs="Courier New" w:eastAsia="Courier New" w:hAnsi="Courier New"/>
          <w:sz w:val="16"/>
          <w:szCs w:val="16"/>
          <w:color w:val="auto"/>
        </w:rPr>
        <w:t>Exhibit 23.0</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 OF INDEPENDENT REGISTERED CERTIFIED PUBLIC ACCOUNTING FIRM</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(Nos. 333-44999 and 333-62217) and on Form S-3 (Nos.</w:t>
      </w:r>
    </w:p>
    <w:p>
      <w:pPr>
        <w:ind w:right="1779"/>
        <w:spacing w:after="0" w:line="237" w:lineRule="auto"/>
        <w:rPr>
          <w:sz w:val="20"/>
          <w:szCs w:val="20"/>
          <w:color w:val="auto"/>
        </w:rPr>
      </w:pPr>
      <w:r>
        <w:rPr>
          <w:rFonts w:ascii="Courier New" w:cs="Courier New" w:eastAsia="Courier New" w:hAnsi="Courier New"/>
          <w:sz w:val="18"/>
          <w:szCs w:val="18"/>
          <w:color w:val="auto"/>
        </w:rPr>
        <w:t>333-64915 and 333-119698) of Ocwen Financial Corporation of our report dated May 2, 2005 relating to management's assessment of the effectiveness of internal control over financial reporting and the effectiveness of internal control over financial reporting, which appears in this Form 10-K/A.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West Palm Beach, Florida</w:t>
      </w:r>
    </w:p>
    <w:p>
      <w:pPr>
        <w:spacing w:after="0"/>
        <w:rPr>
          <w:sz w:val="20"/>
          <w:szCs w:val="20"/>
          <w:color w:val="auto"/>
        </w:rPr>
      </w:pPr>
      <w:r>
        <w:rPr>
          <w:rFonts w:ascii="Courier New" w:cs="Courier New" w:eastAsia="Courier New" w:hAnsi="Courier New"/>
          <w:sz w:val="18"/>
          <w:szCs w:val="18"/>
          <w:color w:val="auto"/>
        </w:rPr>
        <w:t>May 2, 2005</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C. Erbey, certify that:</w:t>
      </w:r>
    </w:p>
    <w:p>
      <w:pPr>
        <w:spacing w:after="0" w:line="207" w:lineRule="exact"/>
        <w:rPr>
          <w:sz w:val="20"/>
          <w:szCs w:val="20"/>
          <w:color w:val="auto"/>
        </w:rPr>
      </w:pPr>
    </w:p>
    <w:p>
      <w:pPr>
        <w:ind w:left="540" w:right="283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Form 10-K/A of Ocwen Financial Corporation;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540" w:right="1779" w:hanging="532"/>
        <w:spacing w:after="0" w:line="268"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 - 15(f)) for the registrant and have:</w:t>
      </w:r>
    </w:p>
    <w:p>
      <w:pPr>
        <w:spacing w:after="0" w:line="207"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779" w:hanging="425"/>
        <w:spacing w:after="0" w:line="275" w:lineRule="auto"/>
        <w:tabs>
          <w:tab w:leader="none" w:pos="9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 May 2, 2005</w:t>
      </w:r>
      <w:r>
        <w:rPr>
          <w:sz w:val="20"/>
          <w:szCs w:val="20"/>
          <w:color w:val="auto"/>
        </w:rPr>
        <w:tab/>
      </w:r>
      <w:r>
        <w:rPr>
          <w:rFonts w:ascii="Courier New" w:cs="Courier New" w:eastAsia="Courier New" w:hAnsi="Courier New"/>
          <w:sz w:val="16"/>
          <w:szCs w:val="16"/>
          <w:color w:val="auto"/>
        </w:rPr>
        <w:t>/s/ WILLIAM C. ERBEY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William C. Erbey</w:t>
      </w:r>
    </w:p>
    <w:p>
      <w:pPr>
        <w:ind w:left="412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36"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J. Leist, Jr., certify that:</w:t>
      </w:r>
    </w:p>
    <w:p>
      <w:pPr>
        <w:spacing w:after="0" w:line="207" w:lineRule="exact"/>
        <w:rPr>
          <w:sz w:val="20"/>
          <w:szCs w:val="20"/>
          <w:color w:val="auto"/>
        </w:rPr>
      </w:pPr>
    </w:p>
    <w:p>
      <w:pPr>
        <w:ind w:left="540" w:right="24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10-K/A, of Ocwen Financial Corporation;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540" w:right="1779" w:hanging="532"/>
        <w:spacing w:after="0" w:line="268"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 - 15(f)) for the registrant and have:</w:t>
      </w:r>
    </w:p>
    <w:p>
      <w:pPr>
        <w:spacing w:after="0" w:line="207"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779" w:hanging="425"/>
        <w:spacing w:after="0" w:line="275" w:lineRule="auto"/>
        <w:tabs>
          <w:tab w:leader="none" w:pos="9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 May 2, 2005</w:t>
      </w:r>
      <w:r>
        <w:rPr>
          <w:sz w:val="20"/>
          <w:szCs w:val="20"/>
          <w:color w:val="auto"/>
        </w:rPr>
        <w:tab/>
      </w:r>
      <w:r>
        <w:rPr>
          <w:rFonts w:ascii="Courier New" w:cs="Courier New" w:eastAsia="Courier New" w:hAnsi="Courier New"/>
          <w:sz w:val="16"/>
          <w:szCs w:val="16"/>
          <w:color w:val="auto"/>
        </w:rPr>
        <w:t>/s/ ROBERT J. LEIST, JR.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Robert J. Leist, Jr., Vice President &amp;</w:t>
      </w:r>
    </w:p>
    <w:p>
      <w:pPr>
        <w:ind w:left="4120"/>
        <w:spacing w:after="0" w:line="238" w:lineRule="auto"/>
        <w:rPr>
          <w:sz w:val="20"/>
          <w:szCs w:val="20"/>
          <w:color w:val="auto"/>
        </w:rPr>
      </w:pPr>
      <w:r>
        <w:rPr>
          <w:rFonts w:ascii="Courier New" w:cs="Courier New" w:eastAsia="Courier New" w:hAnsi="Courier New"/>
          <w:sz w:val="18"/>
          <w:szCs w:val="18"/>
          <w:color w:val="auto"/>
        </w:rPr>
        <w:t>Chief Accounting Officer and</w:t>
      </w:r>
    </w:p>
    <w:p>
      <w:pPr>
        <w:ind w:left="4120"/>
        <w:spacing w:after="0"/>
        <w:rPr>
          <w:sz w:val="20"/>
          <w:szCs w:val="20"/>
          <w:color w:val="auto"/>
        </w:rPr>
      </w:pPr>
      <w:r>
        <w:rPr>
          <w:rFonts w:ascii="Courier New" w:cs="Courier New" w:eastAsia="Courier New" w:hAnsi="Courier New"/>
          <w:sz w:val="18"/>
          <w:szCs w:val="18"/>
          <w:color w:val="auto"/>
        </w:rPr>
        <w:t>Acting Chief Financial Officer</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2019-12-20T07:23:00Z</dcterms:created>
  <dcterms:modified xsi:type="dcterms:W3CDTF">2019-12-20T07:23:00Z</dcterms:modified>
</cp:coreProperties>
</file>