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right="3419" w:hanging="4"/>
        <w:spacing w:after="0" w:line="216" w:lineRule="exact"/>
        <w:tabs>
          <w:tab w:leader="none" w:pos="8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ss.240.14a-12</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380365</wp:posOffset>
            </wp:positionV>
            <wp:extent cx="1431290" cy="1680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behalf of the Board of Directors, I cordially invite you to participate in the Annual Meeting of Shareholders of Ocwen Financial Corporation, which will be held on Tuesday, May 23, 2023, at 9:00 a.m., Eastern Daylight Time. Because our experience conducting virtual-format shareholder meetings over the past three years has demonstrated that virtual meetings allow far more shareholders to participate online than would be able to travel to the meeting to attend in person, we will be hosting this year’s Annual Meeting in a virtual format only via live audiocast on the Internet at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of the business to be conducted at the Annual Meeting and instructions for how to participate in the Annual Meeting are set forth in the accompanying Notice of 2023 Annual Meeting of Stockholders and Proxy Statement. Only stockholders of record and beneficial owners at the close of business on March 23, 2023 are entitled to notice of and to vote at the Annual Meeting and any adjournments or postponements thereof.</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5417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 A. Messina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1661 Worthington Road, Suite 100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 Palm Beach, Florida 33409</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SHAREHOLDERS AND IMPORTANT NOTICE REGARDING THE AVAILABILITY OF PROXY MATERIALS FOR THE SHAREHOLDER MEETING TO BE HELD ON MAY 23,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Meeting of Shareholders will be held:</w:t>
      </w:r>
    </w:p>
    <w:p>
      <w:pPr>
        <w:spacing w:after="0" w:line="22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Tuesday, May 23, 2023</w:t>
      </w:r>
    </w:p>
    <w:p>
      <w:pPr>
        <w:spacing w:after="0" w:line="3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Eastern Daylight Time</w:t>
      </w:r>
    </w:p>
    <w:p>
      <w:pPr>
        <w:spacing w:after="0" w:line="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Location:</w:t>
      </w:r>
      <w:r>
        <w:rPr>
          <w:sz w:val="20"/>
          <w:szCs w:val="20"/>
          <w:color w:val="auto"/>
        </w:rPr>
        <w:tab/>
      </w:r>
      <w:r>
        <w:rPr>
          <w:rFonts w:ascii="Times New Roman" w:cs="Times New Roman" w:eastAsia="Times New Roman" w:hAnsi="Times New Roman"/>
          <w:sz w:val="18"/>
          <w:szCs w:val="18"/>
          <w:color w:val="auto"/>
        </w:rPr>
        <w:t>Virtual Meeting Only via Live Audiocast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review the instructions contained in this Proxy Statement if you wish to participate in the virtual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listed in the accompanying proxy statement for one-year terms or until their successors are elected and qualified;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our Board of Directors of Deloitte &amp; Touche LLP as the independent registered public accounting firm of Ocwen Financial Corporation for the fiscal year ending December 31,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our named executive officer compensation (“Say-on-Pay”);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named executive officer compensation (“Say-on-Frequency”);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Ocwen Financial Corporation 2021 Equity Incentive Plan to increase the number of available shares;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postponement or adjournment of the meeting. Management is not aware of any such other business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Board of Directors has fixed March 23, 2023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xml:space="preserve"> by using the control number on your proxy card or voting instruction form.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would like to attend the virtual meeting and you have your control number, please go to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800-586-1548 (US) or 303-562-9288 (International).</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wish to submit a question during the Annual Meeting, log into the virtual meeting platform at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type your question into the “Ask a Question” field, and click “Submit.”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for our 2023 Annual Meeting of Shareholders and our Annual Report to shareholders on Form 10-K for the year ended December 31, 2022 will be available on or about April 17, 2023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 The approximate date on which this proxy statement, the proxy card and other accompanying materials are first being sent or given to shareholders is April 17, 2023. Additionally, and in accordance with Securities and Exchange Commission rules, you may access our annual report and proxy materials at </w:t>
      </w:r>
      <w:r>
        <w:rPr>
          <w:rFonts w:ascii="Times New Roman" w:cs="Times New Roman" w:eastAsia="Times New Roman" w:hAnsi="Times New Roman"/>
          <w:sz w:val="18"/>
          <w:szCs w:val="18"/>
          <w:u w:val="single" w:color="auto"/>
          <w:color w:val="auto"/>
        </w:rPr>
        <w:t>http://shareholders.ocwen.com/sec.cfm</w:t>
      </w:r>
      <w:r>
        <w:rPr>
          <w:rFonts w:ascii="Times New Roman" w:cs="Times New Roman" w:eastAsia="Times New Roman" w:hAnsi="Times New Roman"/>
          <w:sz w:val="18"/>
          <w:szCs w:val="18"/>
          <w:color w:val="auto"/>
        </w:rPr>
        <w:t>, a website that does not identify or track visitors of the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for Ocwen Financial Corporation regarding this virtual Annual Meeting, please contact our shareholder relations department at </w:t>
      </w:r>
      <w:r>
        <w:rPr>
          <w:rFonts w:ascii="Times New Roman" w:cs="Times New Roman" w:eastAsia="Times New Roman" w:hAnsi="Times New Roman"/>
          <w:sz w:val="18"/>
          <w:szCs w:val="18"/>
          <w:u w:val="single" w:color="auto"/>
          <w:color w:val="auto"/>
        </w:rPr>
        <w:t>shareholderrelations@ocwen.com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Samarias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being furnished to you in connection with the solicitation of proxies by the Board of Directors of Ocwen Financial Corporation (“Ocwen,” the “Company,” “we,” “us,” or “our”) for use at our 2023 Annual Meeting of Shareholders (the “Annual Meeting”) and at any postponement or adjournment of this meeting. The approximate date on which this proxy statement, the proxy card and other accompanying materials are first being sent or given to shareholders is April 17, 2023. The Annual Meeting will be held on Tuesday, May 23, 2023, at 9:00 a.m., Eastern Daylight Time, for the purposes listed in the Notice of Annual Meeting of Shareholders. We will be hosting this year’s Annual Meeting via live audiocast on the Internet at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 Proxy Works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appointed Glen A. Messina, Chair of the Board, President and Chief Executive Officer, and Joseph J. Samarias, Executive Vice President, Chief Legal Officer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(Election of Directors) - “FOR ALL” of the seven nominees for Director listed herein;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(Ratification of Appointment of Independent Registered Public Accounting Firm) - “FOR” ratification of the appointment of Deloitte &amp; Touche LLP as our independent registered public accounting firm for 2023;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(Advisory Resolution on Named Executive Officer Compensation) - “FOR” approval, on an advisory basis, of the compensation of Ocwen’s executive officers whose compensation is disclosed in this proxy statement (“named executive officers”) (“Say-on-Pay”);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Four (Advisory Resolution on Frequency of Future Advisory Votes on Named Executive Officer Compensation) - Every “ONE” year, on an advisory basis, for the frequency of future Say-on-Pay votes (“Say-on-Frequency”);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Five (Approval of the amendment to the Ocwen Financial Corporation 2021 Equity Incentive Plan (the “2021 Plan Amendment”)) - “FOR” approval of an amendment to the Ocwen Financial Corporation 2021 Equity Incentive Plan to increase the number of shares available for awards;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to Revoke a Proxy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written notice of revocation with our Secretary at the following address:</w:t>
      </w:r>
    </w:p>
    <w:p>
      <w:pPr>
        <w:spacing w:after="0" w:line="225" w:lineRule="exact"/>
        <w:rPr>
          <w:rFonts w:ascii="Times New Roman" w:cs="Times New Roman" w:eastAsia="Times New Roman" w:hAnsi="Times New Roman"/>
          <w:sz w:val="18"/>
          <w:szCs w:val="18"/>
          <w:color w:val="auto"/>
        </w:rPr>
      </w:pPr>
    </w:p>
    <w:p>
      <w:pPr>
        <w:ind w:left="660" w:right="80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Joseph J. Samarias, Secretary c/o Ocwen Financial Corporation 1661 Worthington Road, Suite 100 West Palm Beach, Florida 33409</w:t>
      </w:r>
    </w:p>
    <w:p>
      <w:pPr>
        <w:spacing w:after="0" w:line="16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executed proxy card bearing a later date or submitting another proxy using the Internet or by telephone (your latest Internet or telephone voting instructions will be followed),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virtual Annual Meeting and giving the Secretary notice of your intention to vote at that time.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interested in participating in the virtual Annual Meeting, voting or submitting questions at that time, please see “Annual Meeting Participation” below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all matters properly presented at the Annual Meeting, each share of our common stock is entitled to one vote. All shareholders who owned our common stock as of the close of business on March 23, 2023 (the “Record Date”) are cordially invited to participate in the 2023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Computershare,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7,640,333 shares of common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if you are a Shareholder of Record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approve Say-on-Pay, indicate frequency on Say-on-Frequency, and approve the 2021 Plan Amendment, then Brokers are not permitted to vote your shares without instruction from you. If you do not submit voting instructions to your Broker and your Broker exercises its discretion to vote your shares on Proposal Two to ratify the appointment of Deloitte &amp; Touche LLP as our independent registered public accounting firm for 2023, your shares will constitute broker “non-votes” on each of the other proposals at the Annual Meeting. Therefore, it is important that you provide instructions to your Broker if your shares are held by a Broker so that your votes with respect to election of directors, Say-on-Pay, Say-on-Frequency, and the 2021 Plan Amendment are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2023, Proposal Three to approve Say-on-Pay, and Proposal Five to approve the 2021 Plan Amendment, the proposal will be approved if the votes cast by the holders of the shares represented at the Annual Meeting and entitled to vote in favor of the action exceed the votes cast opposing the action. Shareholder choices for Proposal Four to approve the Say-on-Frequency are limited to “1 year,” “2 years,” “3 years,” and “abstain.” If no frequency option receives the affirmative vote of a majority of the votes cast at the Annual Meeting, the Board of Directors will consider the option receiving the highest number of votes as the preferred option of the Company’s shareholders. Because Proposal Two to ratify the appointment of Deloitte &amp; Touche LLP as our independent registered public accounting firm for 2023, Proposal Three to approve Say-on-Pay, and Proposal Four to approve Say-on-Frequency are advisory in nature, there is no specific requirement for approval for these proposals. It will be up to the Audit Committee with respect to Proposal Two and the Compensation and Human Capital Committee with respect to Proposals Three and Four, as well as the Board of Directors, to determine whether and how to implement the advisory votes on the ratification of the appointment of our independent registered public accounting firm, Say-on-Pay, and Say-on-Frequency.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2023, Proposal Three to approve Say-on-Pay, Proposal Four to approve Say-on-Frequency, or Proposal Five to approve the 2021 Plan Amendment.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Three to approve Say-on-Pay, Proposal Four to approve Say-on-Frequency, or Proposal Five to approve the 2021 Plan Amendment and therefore will not be counted in determining the outcome of those proposals presented for your vote.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Annual Meeting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experience conducting virtual-format shareholder meetings over the past three years has demonstrated that virtual meetings allow far more shareholders to participate online than would be able to travel to the meeting to attend in person. Accordingly, we will again be hosting our Annual Meeting via live audiocast on the Internet at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hareholders of record will be able to vote and ask questions online during the meeting. If you would like to attend the virtual Annual Meeting and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have your control number, please go to </w:t>
      </w:r>
      <w:r>
        <w:rPr>
          <w:rFonts w:ascii="Times New Roman" w:cs="Times New Roman" w:eastAsia="Times New Roman" w:hAnsi="Times New Roman"/>
          <w:sz w:val="18"/>
          <w:szCs w:val="18"/>
          <w:u w:val="single" w:color="auto"/>
          <w:color w:val="auto"/>
        </w:rPr>
        <w:t>www.virtualshareholdermeeting.com/OCN2023</w:t>
      </w:r>
      <w:r>
        <w:rPr>
          <w:rFonts w:ascii="Times New Roman" w:cs="Times New Roman" w:eastAsia="Times New Roman" w:hAnsi="Times New Roman"/>
          <w:sz w:val="18"/>
          <w:szCs w:val="18"/>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 w:cs="Times New Roman" w:eastAsia="Times New Roman" w:hAnsi="Times New Roman"/>
          <w:sz w:val="18"/>
          <w:szCs w:val="18"/>
          <w:u w:val="single" w:color="auto"/>
          <w:color w:val="auto"/>
        </w:rPr>
        <w:t>http://www.ocwen.com</w:t>
      </w:r>
      <w:r>
        <w:rPr>
          <w:rFonts w:ascii="Times New Roman" w:cs="Times New Roman" w:eastAsia="Times New Roman" w:hAnsi="Times New Roman"/>
          <w:sz w:val="18"/>
          <w:szCs w:val="18"/>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technical assistance when logging into the virtual Annual Meeting, please call 800-586-1548 (US) or 303-562-9288 (International).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2022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include, but are not limited to, the risks discussed above and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failures and re-organization of banking institutions and continued uncertainty in the banking industry;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ongoing disruption in the financial markets and in commercial activity generally related to changes in monetary and fiscal policy, international events including the conflict in Ukraine and other sources of instability;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employment disruption, and other financial difficulties facing our borrowers;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reduce operating costs, or generate offsetting revenue, in proportion to the recent industry-wide decrease in originations activity and the impact of cost-reduction initiatives on our business and operations;</w:t>
      </w: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that we may repurchase under any future stock repurchase programs, the timing of such repurchases, and the long-term impact, if any, of repurchases on the trading price of our stock;</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borrowers who enter into forbearance plans, the financial ability of borrowers to resume repayment and their timing for doing so;</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MSR Asset Vehicle LLC (MAV), to bid competitively for, and close acquisitions of, MSRs on terms that will enable us to achieve our growth objectives and a favorable return on our investment in MAV;</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ownership stake in MAV’s holding company may be diluted, resulting in a reduced ability for us to participate in certain routine management decisions;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servicing costs based on rising borrower delinquency levels or other factors, including an increase in severe weather events resulting in property damage and financial hardship to our borrowers;</w:t>
      </w:r>
    </w:p>
    <w:p>
      <w:pPr>
        <w:ind w:left="660" w:right="2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collection of servicing fees and ancillary income and delayed collection of servicing revenue as a result of forbearance plans and moratoria on evictions and foreclosure proceedings;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financial performance through cost re-engineering initiatives and other actions, transform our operations in response to changing business needs, and do so without unanticipated adverse tax consequences;</w:t>
      </w: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market share in our target markets, including in forward and reverse servicing;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long-term relationship with Rithm Capital Corp. (Rithm), our largest subservicing client as of December 31, 2022;</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MAV’s continued ownership of its MSR portfolio following the end of MAV’s investment commitment period, and any impact on our subservicing income as a result of the sale of MAV’s MSRs;</w:t>
      </w:r>
    </w:p>
    <w:p>
      <w:pPr>
        <w:jc w:val="both"/>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as a result of regulatory investigations, litigation, cease and desist orders or settlements and the reactions of key counterparties, including lenders, the GSEs and Ginnie Mae;</w:t>
      </w: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complying with the terms of our settlements with regulatory agencies and disputes as to whether we have fully complied;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manage our regulatory and contractual compliance obligations and fully comply with all applicable requirements;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changes in legislation, regulations, government programs and policies, industry initiatives, best servicing and lending practices, and media scrutiny of our business and industry;</w:t>
      </w:r>
    </w:p>
    <w:p>
      <w:pPr>
        <w:ind w:left="328" w:right="20"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changes in the law as well as changes in the interpretation of law may require us to modify our business practices and expose us to increased expense and litigation risk;</w:t>
      </w:r>
    </w:p>
    <w:p>
      <w:pPr>
        <w:jc w:val="both"/>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risk-based capital requirements that take effect in late 2024;</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the GSEs and Ginnie Mae and maintain our seller/servicer and other statuses with them;</w:t>
      </w: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or our vendors’, information technology or other security systems or breach of our, or our vendors’, privacy protections, including any failure to protect customers’ data;</w:t>
      </w:r>
    </w:p>
    <w:p>
      <w:pPr>
        <w:jc w:val="both"/>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senior managers and key employees;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compensation and benefits expense as a result of rising inflation and labor market trends;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GSEs, Ginnie Mae and trustees regarding loan put-backs, penalties and legal actions;</w:t>
      </w:r>
    </w:p>
    <w:p>
      <w:pPr>
        <w:jc w:val="both"/>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and maintain real estate owned (REO) properties and vacant properties collateralizing loans that we service;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frequent and costly disruptions to our operations as a result of severe weather events;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the United States and of the foreign countries in which we have operations.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71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One)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our Board of Directors shall consist of no less than three and no more than eleven members with the exact number to be fixed by our Board of Directors. Effective May 27, 2020, our Board of Directors fixed the number of directors at seven.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leadership of our Board, the Company demonstrated strong execution on our key strategic initiatives throughout 2022. Ocwen achieved full-year net income of $26 million in 2022, an increase of 42% from 2021, and delivered continuing growth with $88.8 billion in total servicing additions. Ocwen’s total servicing portfolio UPB grew to approximately $290 billion by year-end and operating performance continued to exceed industry benchmarks in several key areas, demonstrating the strength and quality of our servicing platform. The Company once again earned Fannie Mae and Freddie Mac recognition for top servicing performance and achieved HUD’s Tier 1 servicer ranking. During 2022, Ocwen completed a $250 million upsize of MAV and continued to strengthen our long-term strategic relationship with Oaktree, repurchased $50 million of common stock and $25 million of senior corporate debt, and increased book value per share by 17% over year-end 2021. In addition, the Board supported management’s continued focus on driving cost improvement and voted to cut its own compensation while the Company as a whole achieved significant cost reductions in servicing, originations and corporate overhead. Throughout, the Board provided management with the guidance and oversight to ensure we continued to fulfil our regulatory commitments, work toward the resolution of remaining legacy matters, and respond with speed and agility to disruption in the financial markets.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about the attributes of our Board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jc w:val="center"/>
        <w:spacing w:after="0" w:line="207" w:lineRule="auto"/>
        <w:rPr>
          <w:sz w:val="20"/>
          <w:szCs w:val="20"/>
          <w:color w:val="auto"/>
        </w:rPr>
      </w:pPr>
      <w:r>
        <w:rPr>
          <w:rFonts w:ascii="Times New Roman" w:cs="Times New Roman" w:eastAsia="Times New Roman" w:hAnsi="Times New Roman"/>
          <w:sz w:val="18"/>
          <w:szCs w:val="18"/>
          <w:b w:val="1"/>
          <w:bCs w:val="1"/>
          <w:color w:val="auto"/>
        </w:rPr>
        <w:t>Board of Directors Skills and Experiences</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30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Glen A.</w:t>
            </w: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Alan J.</w:t>
            </w:r>
          </w:p>
        </w:tc>
        <w:tc>
          <w:tcPr>
            <w:tcW w:w="11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Jenne</w:t>
            </w:r>
          </w:p>
        </w:tc>
        <w:tc>
          <w:tcPr>
            <w:tcW w:w="144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Jacques J.</w:t>
            </w: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Phyllis R.</w:t>
            </w:r>
          </w:p>
        </w:tc>
        <w:tc>
          <w:tcPr>
            <w:tcW w:w="13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DeForest B.</w:t>
            </w:r>
          </w:p>
        </w:tc>
        <w:tc>
          <w:tcPr>
            <w:tcW w:w="9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Kevin</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Messina</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Bowers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Britell</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Busquet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Caldwell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Soaries, Jr.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Stein</w:t>
            </w:r>
          </w:p>
        </w:tc>
        <w:tc>
          <w:tcPr>
            <w:tcW w:w="0" w:type="dxa"/>
            <w:vAlign w:val="bottom"/>
          </w:tcPr>
          <w:p>
            <w:pPr>
              <w:spacing w:after="0"/>
              <w:rPr>
                <w:sz w:val="1"/>
                <w:szCs w:val="1"/>
                <w:color w:val="auto"/>
              </w:rPr>
            </w:pP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Company Board Experience</w:t>
            </w:r>
          </w:p>
        </w:tc>
        <w:tc>
          <w:tcPr>
            <w:tcW w:w="9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Pr>
          <w:p>
            <w:pPr>
              <w:spacing w:after="0"/>
              <w:rPr>
                <w:sz w:val="17"/>
                <w:szCs w:val="17"/>
                <w:color w:val="auto"/>
              </w:rPr>
            </w:pPr>
          </w:p>
        </w:tc>
        <w:tc>
          <w:tcPr>
            <w:tcW w:w="9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0" w:type="dxa"/>
            <w:vAlign w:val="bottom"/>
          </w:tcPr>
          <w:p>
            <w:pPr>
              <w:spacing w:after="0"/>
              <w:rPr>
                <w:sz w:val="17"/>
                <w:szCs w:val="17"/>
                <w:color w:val="auto"/>
              </w:rPr>
            </w:pPr>
          </w:p>
        </w:tc>
        <w:tc>
          <w:tcPr>
            <w:tcW w:w="9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Served as a Chief Executive Officer or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Head of Comparably Sized</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11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 Industry</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7"/>
        </w:trPr>
        <w:tc>
          <w:tcPr>
            <w:tcW w:w="30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Experience</w:t>
            </w:r>
          </w:p>
        </w:tc>
        <w:tc>
          <w:tcPr>
            <w:tcW w:w="11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1140" w:type="dxa"/>
            <w:vAlign w:val="bottom"/>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Regulatory Compliance and Risk</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gridSpan w:val="2"/>
            <w:vMerge w:val="restart"/>
          </w:tcPr>
          <w:p>
            <w:pPr>
              <w:jc w:val="center"/>
              <w:ind w:right="200"/>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Management Experience</w:t>
            </w:r>
          </w:p>
        </w:tc>
        <w:tc>
          <w:tcPr>
            <w:tcW w:w="11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Lending, or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Community Housing Organization</w:t>
            </w:r>
          </w:p>
        </w:tc>
        <w:tc>
          <w:tcPr>
            <w:tcW w:w="1140" w:type="dxa"/>
            <w:vAlign w:val="bottom"/>
            <w:gridSpan w:val="2"/>
            <w:vMerge w:val="restart"/>
          </w:tcPr>
          <w:p>
            <w:pPr>
              <w:jc w:val="center"/>
              <w:ind w:right="240"/>
              <w:spacing w:after="0" w:line="181" w:lineRule="exact"/>
              <w:rPr>
                <w:sz w:val="20"/>
                <w:szCs w:val="20"/>
                <w:color w:val="auto"/>
              </w:rPr>
            </w:pPr>
            <w:r>
              <w:rPr>
                <w:rFonts w:ascii="MS PGothic" w:cs="MS PGothic" w:eastAsia="MS PGothic" w:hAnsi="MS PGothic"/>
                <w:sz w:val="18"/>
                <w:szCs w:val="18"/>
                <w:color w:val="auto"/>
                <w:w w:val="77"/>
              </w:rPr>
              <w:t>✓</w:t>
            </w: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1320" w:type="dxa"/>
            <w:vAlign w:val="bottom"/>
            <w:gridSpan w:val="2"/>
            <w:vMerge w:val="restart"/>
          </w:tcPr>
          <w:p>
            <w:pPr>
              <w:jc w:val="center"/>
              <w:ind w:right="220"/>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14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left="5580" w:right="1700" w:hanging="3871"/>
        <w:spacing w:after="0"/>
        <w:tabs>
          <w:tab w:leader="none" w:pos="1922"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outside managerial and director experience only (i.e., does not include Ocwen-based experience)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448945</wp:posOffset>
            </wp:positionV>
            <wp:extent cx="5400675" cy="4954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0675"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62" w:lineRule="exact"/>
        <w:rPr>
          <w:sz w:val="20"/>
          <w:szCs w:val="20"/>
          <w:color w:val="auto"/>
        </w:rPr>
      </w:pPr>
    </w:p>
    <w:p>
      <w:pPr>
        <w:jc w:val="both"/>
        <w:ind w:left="2720"/>
        <w:spacing w:after="0" w:line="255" w:lineRule="auto"/>
        <w:rPr>
          <w:sz w:val="20"/>
          <w:szCs w:val="20"/>
          <w:color w:val="auto"/>
        </w:rPr>
      </w:pPr>
      <w:r>
        <w:rPr>
          <w:rFonts w:ascii="Times New Roman" w:cs="Times New Roman" w:eastAsia="Times New Roman" w:hAnsi="Times New Roman"/>
          <w:sz w:val="18"/>
          <w:szCs w:val="18"/>
          <w:color w:val="auto"/>
        </w:rPr>
        <w:t>Mr. Messina has served as Chair of the Board of Directors since January 2023 and as President and Chief Executive Officer and a director of Ocwen since October 2018. He previously served as 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-965200</wp:posOffset>
            </wp:positionV>
            <wp:extent cx="1285875" cy="1706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1706245"/>
                    </a:xfrm>
                    <a:prstGeom prst="rect">
                      <a:avLst/>
                    </a:prstGeom>
                    <a:noFill/>
                  </pic:spPr>
                </pic:pic>
              </a:graphicData>
            </a:graphic>
          </wp:anchor>
        </w:drawing>
      </w:r>
    </w:p>
    <w:p>
      <w:pPr>
        <w:spacing w:after="0" w:line="169" w:lineRule="exact"/>
        <w:rPr>
          <w:sz w:val="20"/>
          <w:szCs w:val="20"/>
          <w:color w:val="auto"/>
        </w:rPr>
      </w:pPr>
    </w:p>
    <w:p>
      <w:pPr>
        <w:jc w:val="both"/>
        <w:ind w:left="2720"/>
        <w:spacing w:after="0" w:line="266" w:lineRule="auto"/>
        <w:rPr>
          <w:sz w:val="20"/>
          <w:szCs w:val="20"/>
          <w:color w:val="auto"/>
        </w:rPr>
      </w:pPr>
      <w:r>
        <w:rPr>
          <w:rFonts w:ascii="Times New Roman" w:cs="Times New Roman" w:eastAsia="Times New Roman" w:hAnsi="Times New Roman"/>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294005</wp:posOffset>
            </wp:positionV>
            <wp:extent cx="1285875" cy="128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Alan J. Bowers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Mr. Bowers has served as a director of Ocwen since May 2015. In March 2023, Mr. Bowers was appointed as a director of Selina Hospitality PLC (Nasdaq GS: SLNA) and serves as Chair of the Audit Committee and a member of the Finance &amp; Capital Allocation Committee. In December 2021, Mr. Bowers was appointed as a Director, the Audit</w:t>
      </w:r>
    </w:p>
    <w:p>
      <w:pPr>
        <w:spacing w:after="0" w:line="1" w:lineRule="exact"/>
        <w:rPr>
          <w:sz w:val="20"/>
          <w:szCs w:val="20"/>
          <w:color w:val="auto"/>
        </w:rPr>
      </w:pPr>
    </w:p>
    <w:p>
      <w:pPr>
        <w:jc w:val="both"/>
        <w:ind w:firstLine="1"/>
        <w:spacing w:after="0" w:line="251"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Committee Chair and a member of the Compensation Committee of CWT Travel Holdings, Inc., a private business-to-business-for-employees (B2B4E) travel management platform. Mr. Bowers also previously served as a Director of Walker &amp; Dunlop, Inc., a publicly traded commercial real estate finance company, from December 2010 until May, 2022, served as its Lead Director, and served on its Nominating and Corporate Governance Committee and as Chair of its Audit Committee. Mr. Bowers also served on the board and as Audit Committee Chair of CorePoint Lodging Inc., a publicly traded lodging REIT, from April 2018 until March 2022, when the company became a privately held company in a merger transaction. From July 2013 to May 2018, Mr. Bowers served as a Director of La Quinta Inns &amp; Suites, a publicly traded hotel chain.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720"/>
            <w:col w:w="8520"/>
          </w:cols>
          <w:pgMar w:left="320" w:top="688"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466090</wp:posOffset>
            </wp:positionV>
            <wp:extent cx="1285875" cy="1594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Jenne K. Britell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756920</wp:posOffset>
            </wp:positionV>
            <wp:extent cx="1517015" cy="1705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01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Jacques J. Busquet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Britell has served as a director of Ocwen since February 2019. Dr. Britell served as a director of United Rentals, Inc. from 2006 to 2019, including as its non-executive Chair from 2008 to 2019. Dr. Britell also served as a director of Quest Diagnostics Inc., including as a member of its Audit and Finance Committee, from 2005 to 2019. From 2000 through 2017, Dr. Britell served as a director of Crown Holdings, Inc.,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Busquet has served as a director of Ocwen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440" w:space="700"/>
            <w:col w:w="8520"/>
          </w:cols>
          <w:pgMar w:left="900" w:top="715"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466090</wp:posOffset>
            </wp:positionV>
            <wp:extent cx="1423035" cy="142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Phyllis R.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2025650</wp:posOffset>
            </wp:positionV>
            <wp:extent cx="1285875" cy="1449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DeForest B. Soaries, Jr.</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color w:val="auto"/>
        </w:rPr>
        <w:t>Ms. Caldwell served as Chair of the Board of Directors from March 2016 until January 2023 and has served as a director of Ocwen since January 2015. In December 2021, Ms. Caldwell was appointed as a director of Oaktree Specialty Lending Corporation (Nasdaq:OCSL), a specialty finance business development company (BDC), and serves on its Audit Committee. In June 2021, Ms. Caldwell was appointed as a director of OneMain Holdings, Inc. (NYSE:OMF), a financial services holding company serving nonprime consumers. In March 2021, Ms. Caldwell was appointed as a member of the Board of Trustees of JBG SMITH Properties (NYSE:JBGS), an owner and developer of mixed-use properties in the Washington, D.C. market. From December 2020 through July 2021, Ms. Caldwell served on the Board of Directors of Revolution Acceleration Acquisition Corp (Nasdaq:RAAC), a special purpose acquisition company. Ms. Caldwell is founder and has served since 2012 as the managing member of Wroxton Civic Ventures,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In addition, Ms. Caldwell held various leadership roles during eleven years at Bank of America, including serving as President of Community Development Banking. From January 2014 to March 2021, Ms. Caldwell served as a director of City First Bank, National Association (formerly City First Bank of D.C., National Association, now a subsidiary of Broadway Financial Corporation (Nasdaq: BYFC) since April 1, 2021). From January 2014 through September 2018, Ms. Caldwell served as a director of American Capital Senior Floating, Ltd. (Nasdaq:ACSF), a business development company (BDC). Ms. Caldwell also serves or has served on the boards of other public and private businesses and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Soaries has served as a director of Ocwen since January 2015. Dr. Soaries is Pastor Emeritus at First Baptist Church of Lincoln Gardens, where he served as Senior Pastor from 1990 through 2021.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Vice Chair of the Compensation and Human Resources Committee and also serves as a member of the Affordable Housing, Governance and Executive Committees. He also previously served as a director of New Era Bank. Dr. Soaries earned a Bachelor of Arts from Fordham University, a Master of Divinity from Princeton Theological Seminary and a Doctor of Ministry from United Theological Seminary.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780" w:space="520"/>
            <w:col w:w="8520"/>
          </w:cols>
          <w:pgMar w:left="740" w:top="715" w:right="339" w:bottom="1440" w:gutter="0" w:footer="0" w:header="0"/>
        </w:sectPr>
      </w:pPr>
    </w:p>
    <w:bookmarkStart w:id="15" w:name="page16"/>
    <w:bookmarkEnd w:id="15"/>
    <w:p>
      <w:pPr>
        <w:jc w:val="both"/>
        <w:ind w:left="1840"/>
        <w:spacing w:after="0" w:line="252" w:lineRule="auto"/>
        <w:rPr>
          <w:sz w:val="20"/>
          <w:szCs w:val="20"/>
          <w:color w:val="auto"/>
        </w:rPr>
      </w:pPr>
      <w:r>
        <w:rPr>
          <w:rFonts w:ascii="Times New Roman" w:cs="Times New Roman" w:eastAsia="Times New Roman" w:hAnsi="Times New Roman"/>
          <w:sz w:val="18"/>
          <w:szCs w:val="18"/>
          <w:color w:val="auto"/>
        </w:rPr>
        <w:t>Mr. Stein has served as Lead Independent Director since January 2023 and as a director of Ocwen since February 2019. Mr. Stein is an independent consultant and was previously Chief Executive Officer and a director of EJF Acquisition Corp. which merged with Pagaya Technologies Ltd. in 2022. Prior to joining EJF Capital, Mr. Stein served as Chief Executive Officer of Resolution Analytica Corp. since co-founding the business in 2017 with KCK US, Inc., a family-controlled private equity firm. Mr. Stein was previously a Managing Director in the Financial Institutions Group of Barclays, a Partner and Group Head of Depository Investment Banking at FBR &amp; Co., a member of the leadership team of GreenPoint Financial Corporation, a bank holding company, and an Associate Director of the Federal Deposit Insurance Corporation (FDIC). Mr. Stein is Audit Committee Chair of Dime Community Bancshares, Inc. (Nasdaq: DCOM) and a director of Pagaya Technologies Ltd (Nasdaq: PGY). Mr. Stein also served as a director of PHH Corporation from June 2017 until its acquisition by Ocwen in October 2018. Mr. Stein is Audit Committee Chair and, since 1996, a Director of Bedford Stuyvesant Restoration Corporation. Mr.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-1505585</wp:posOffset>
            </wp:positionV>
            <wp:extent cx="1285875" cy="1440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1440180"/>
                    </a:xfrm>
                    <a:prstGeom prst="rect">
                      <a:avLst/>
                    </a:prstGeom>
                    <a:noFill/>
                  </pic:spPr>
                </pic:pic>
              </a:graphicData>
            </a:graphic>
          </wp:anchor>
        </w:drawing>
      </w:r>
    </w:p>
    <w:p>
      <w:pPr>
        <w:ind w:left="1840" w:hanging="1844"/>
        <w:spacing w:after="0" w:line="260" w:lineRule="auto"/>
        <w:tabs>
          <w:tab w:leader="none" w:pos="1820" w:val="left"/>
        </w:tabs>
        <w:rPr>
          <w:sz w:val="20"/>
          <w:szCs w:val="20"/>
          <w:color w:val="auto"/>
        </w:rPr>
      </w:pPr>
      <w:r>
        <w:rPr>
          <w:rFonts w:ascii="Times New Roman" w:cs="Times New Roman" w:eastAsia="Times New Roman" w:hAnsi="Times New Roman"/>
          <w:sz w:val="35"/>
          <w:szCs w:val="35"/>
          <w:b w:val="1"/>
          <w:bCs w:val="1"/>
          <w:i w:val="1"/>
          <w:iCs w:val="1"/>
          <w:color w:val="auto"/>
          <w:vertAlign w:val="subscript"/>
        </w:rPr>
        <w:t>Kevin Stein</w:t>
      </w:r>
      <w:r>
        <w:rPr>
          <w:sz w:val="20"/>
          <w:szCs w:val="20"/>
          <w:color w:val="auto"/>
        </w:rPr>
        <w:tab/>
      </w:r>
      <w:r>
        <w:rPr>
          <w:rFonts w:ascii="Times New Roman" w:cs="Times New Roman" w:eastAsia="Times New Roman" w:hAnsi="Times New Roman"/>
          <w:sz w:val="18"/>
          <w:szCs w:val="18"/>
          <w:color w:val="auto"/>
        </w:rPr>
        <w:t>received his undergraduate degree from Syracuse University and his Master of Business Administration from Carnegie Mellon University.</w:t>
      </w:r>
    </w:p>
    <w:p>
      <w:pPr>
        <w:spacing w:after="0" w:line="181" w:lineRule="exact"/>
        <w:rPr>
          <w:sz w:val="20"/>
          <w:szCs w:val="20"/>
          <w:color w:val="auto"/>
        </w:rPr>
      </w:pPr>
    </w:p>
    <w:p>
      <w:pPr>
        <w:ind w:left="1840"/>
        <w:spacing w:after="0" w:line="282" w:lineRule="auto"/>
        <w:rPr>
          <w:sz w:val="20"/>
          <w:szCs w:val="20"/>
          <w:color w:val="auto"/>
        </w:rPr>
      </w:pPr>
      <w:r>
        <w:rPr>
          <w:rFonts w:ascii="Times New Roman" w:cs="Times New Roman" w:eastAsia="Times New Roman" w:hAnsi="Times New Roman"/>
          <w:sz w:val="18"/>
          <w:szCs w:val="18"/>
          <w:color w:val="auto"/>
        </w:rPr>
        <w:t>Mr. Stein was selected to serve as a member of our Board of Directors due to his knowledge regarding the financial services industry and his mortgage servicing experience, including his prior service as a director of PHH.</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THAT YOU VOTE “FOR ALL” OF THE NOMINEES FOR DIRECTOR.</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71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14 meetings and acted by unanimous written consent six times in 2022. Each incumbent director who served as a director during 2022 attended at least 75% of the aggregate of these meetings and all meetings held by all committees of our Board of Directors on which he or she served during 2022. Directors are expected to attend the annual meeting of shareholders (including via electronic participation) and a director who is unable to attend is expected to notify the Company Secretary in advance of such meeting. Our virtual 2022 Annual Meeting of Shareholders was attended by six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a private placement of $199.5 million aggregate principal amount of Ocwen senior secured second lien notes (the “Second Lien Notes”) to funds managed by Oaktree Capital Management, L.P. (the “Oaktree Investors”) on March 4, 2021, Messrs. Jason Keller and Brian Laibow, who serve in management roles with the Oaktree Investors, joined the Company in the role of non-voting observers to our Board of Directors. Under their agreement with the Company,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a majority of our Board of Directors must be independent in accordance with the listing standards of the New York Stock Exchange.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 Caldwell, Messrs. Bowers, Busquet, and Stein, and Drs. Britell and Soaries are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2022 performance self-assessments were conducted in the first quarter of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as part of its regular self-evaluation and succession planning activities, the Board of Directors determined that combining the positions of Chief Executive Officer and Chair of the Board of Directors, together with the appointment of a Lead Independent Director, is the best structure to fit the Company’s needs at this time and helps provide strong and consistent leadership for the management team and the Board. The Board believes that Mr. Messina’s knowledge and background with the Company, deep industry experience, demonstrated leadership capability and track record of delivering results benefits Ocwen’s shareholders, customers and employees uniquely positions him to lead the Board and continue to oversee the Company’s strategic initiatives. As Chair of the Board, Mr. Messina leads the Board of Directors and oversees Board meetings and the delivery of information necessary for the Board’s informed decision-making. In his capacity as President and Chief Executive Officer, Mr. Messina continues to be responsible for our day-to-day operations and for formulating and executing our long-term strategies in collaboration with the Board.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Board appointed Mr. Stein as Lead Independent Director. In this role, Mr. Stein is responsible for leading the Board’s independent oversight function and for addressing any corporate governance considerations arising from the service of the same individual as Chair and Chief Executive Officer. Mr. Stein presides at all executive sessions of the independent directors and serves as principal liaison between the Chair and the independent directors, meeting regularly with the Chair to exchange feedback and discuss critical issues. In addition, he works to optimize Board performance by fostering a climate of constructive candor in which diverse viewpoints are heard and frank and thoughtful discussion occurs.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duties of the Lead Independent Director are further set forth in a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Human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Nomination/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Risk and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Age</w:t>
            </w:r>
            <w:r>
              <w:rPr>
                <w:rFonts w:ascii="Times New Roman" w:cs="Times New Roman" w:eastAsia="Times New Roman" w:hAnsi="Times New Roman"/>
                <w:sz w:val="29"/>
                <w:szCs w:val="29"/>
                <w:b w:val="1"/>
                <w:bCs w:val="1"/>
                <w:color w:val="auto"/>
                <w:w w:val="87"/>
                <w:vertAlign w:val="superscript"/>
              </w:rPr>
              <w:t>(1)</w:t>
            </w:r>
          </w:p>
        </w:tc>
        <w:tc>
          <w:tcPr>
            <w:tcW w:w="320" w:type="dxa"/>
            <w:vAlign w:val="bottom"/>
            <w:vMerge w:val="restart"/>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Compliance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0" w:type="dxa"/>
            <w:vAlign w:val="bottom"/>
          </w:tcPr>
          <w:p>
            <w:pPr>
              <w:spacing w:after="0"/>
              <w:rPr>
                <w:sz w:val="1"/>
                <w:szCs w:val="1"/>
                <w:color w:val="auto"/>
              </w:rPr>
            </w:pPr>
          </w:p>
        </w:tc>
      </w:tr>
      <w:tr>
        <w:trPr>
          <w:trHeight w:val="24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3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8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ind w:left="480"/>
              <w:spacing w:after="0" w:line="283" w:lineRule="exact"/>
              <w:rPr>
                <w:sz w:val="20"/>
                <w:szCs w:val="20"/>
                <w:color w:val="auto"/>
              </w:rPr>
            </w:pPr>
            <w:r>
              <w:rPr>
                <w:rFonts w:ascii="Times New Roman" w:cs="Times New Roman" w:eastAsia="Times New Roman" w:hAnsi="Times New Roman"/>
                <w:sz w:val="32"/>
                <w:szCs w:val="32"/>
                <w:color w:val="auto"/>
                <w:vertAlign w:val="subscript"/>
              </w:rPr>
              <w:t>X</w:t>
            </w: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3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gridSpan w:val="2"/>
          </w:tcPr>
          <w:p>
            <w:pPr>
              <w:jc w:val="center"/>
              <w:ind w:right="220"/>
              <w:spacing w:after="0" w:line="283" w:lineRule="exact"/>
              <w:rPr>
                <w:sz w:val="20"/>
                <w:szCs w:val="20"/>
                <w:color w:val="auto"/>
              </w:rPr>
            </w:pPr>
            <w:r>
              <w:rPr>
                <w:rFonts w:ascii="Times New Roman" w:cs="Times New Roman" w:eastAsia="Times New Roman" w:hAnsi="Times New Roman"/>
                <w:sz w:val="32"/>
                <w:szCs w:val="32"/>
                <w:color w:val="auto"/>
                <w:w w:val="94"/>
                <w:vertAlign w:val="subscript"/>
              </w:rPr>
              <w:t>X</w:t>
            </w:r>
            <w:r>
              <w:rPr>
                <w:rFonts w:ascii="Times New Roman" w:cs="Times New Roman" w:eastAsia="Times New Roman" w:hAnsi="Times New Roman"/>
                <w:sz w:val="14"/>
                <w:szCs w:val="14"/>
                <w:color w:val="auto"/>
                <w:w w:val="94"/>
              </w:rPr>
              <w:t>(2)</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3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460"/>
              <w:spacing w:after="0" w:line="283" w:lineRule="exact"/>
              <w:rPr>
                <w:sz w:val="20"/>
                <w:szCs w:val="20"/>
                <w:color w:val="auto"/>
              </w:rPr>
            </w:pPr>
            <w:r>
              <w:rPr>
                <w:rFonts w:ascii="Times New Roman" w:cs="Times New Roman" w:eastAsia="Times New Roman" w:hAnsi="Times New Roman"/>
                <w:sz w:val="32"/>
                <w:szCs w:val="32"/>
                <w:color w:val="auto"/>
                <w:vertAlign w:val="subscript"/>
              </w:rPr>
              <w:t>X</w:t>
            </w:r>
            <w:r>
              <w:rPr>
                <w:rFonts w:ascii="Times New Roman" w:cs="Times New Roman" w:eastAsia="Times New Roman" w:hAnsi="Times New Roman"/>
                <w:sz w:val="14"/>
                <w:szCs w:val="14"/>
                <w:color w:val="auto"/>
              </w:rPr>
              <w:t>(2)</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ind w:left="480"/>
              <w:spacing w:after="0" w:line="283" w:lineRule="exact"/>
              <w:rPr>
                <w:sz w:val="20"/>
                <w:szCs w:val="20"/>
                <w:color w:val="auto"/>
              </w:rPr>
            </w:pPr>
            <w:r>
              <w:rPr>
                <w:rFonts w:ascii="Times New Roman" w:cs="Times New Roman" w:eastAsia="Times New Roman" w:hAnsi="Times New Roman"/>
                <w:sz w:val="32"/>
                <w:szCs w:val="32"/>
                <w:color w:val="auto"/>
                <w:vertAlign w:val="subscript"/>
              </w:rPr>
              <w:t>X</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center"/>
              <w:ind w:right="80"/>
              <w:spacing w:after="0" w:line="283" w:lineRule="exact"/>
              <w:rPr>
                <w:sz w:val="20"/>
                <w:szCs w:val="20"/>
                <w:color w:val="auto"/>
              </w:rPr>
            </w:pPr>
            <w:r>
              <w:rPr>
                <w:rFonts w:ascii="Times New Roman" w:cs="Times New Roman" w:eastAsia="Times New Roman" w:hAnsi="Times New Roman"/>
                <w:sz w:val="32"/>
                <w:szCs w:val="32"/>
                <w:color w:val="auto"/>
                <w:vertAlign w:val="subscript"/>
              </w:rPr>
              <w:t>X</w:t>
            </w:r>
            <w:r>
              <w:rPr>
                <w:rFonts w:ascii="Times New Roman" w:cs="Times New Roman" w:eastAsia="Times New Roman" w:hAnsi="Times New Roman"/>
                <w:sz w:val="14"/>
                <w:szCs w:val="14"/>
                <w:color w:val="auto"/>
              </w:rPr>
              <w:t>(2)</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April 11, 2023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Committee Chair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of our Board of Directors oversees the relationship with our independent registered public accounting firm,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members of the Audit Committee are Messrs. Bowers (Chair) and Busquet, and Dr. Britell.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ten times in 2022.</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Human Capital Committee. </w:t>
      </w:r>
      <w:r>
        <w:rPr>
          <w:rFonts w:ascii="Times New Roman" w:cs="Times New Roman" w:eastAsia="Times New Roman" w:hAnsi="Times New Roman"/>
          <w:sz w:val="18"/>
          <w:szCs w:val="18"/>
          <w:color w:val="auto"/>
        </w:rPr>
        <w:t>The Compensation and Human Capital Committee (“Compensation Committee”)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oversees our compensation and employee benefit plans and practices as well as the Company’s human capital initiatives and executive management development, evaluation, retention and succession planning.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as amended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members of the Compensation Committee are Mr. Busquet (Chair), Dr. Soaries and Mr. 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ten times in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Busquet, Dr. Soaries and Mr. Stein served as members of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during 2022. None of such members were, at any time during the 2022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2022 fiscal year. No member of the Compensation Committee had any relationship with us requiring disclosure under Item 404 of Securities and Exchange Commission Regulation S-K.</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of our Board of Directors makes recommendations to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Nomination/Governance Committee are Ms. Caldwell (Chair) and Drs. Britell and Soaries. Each member of our Nomination/Governance Committee is independent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Nomination/Governance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Compliance Committee. </w:t>
      </w:r>
      <w:r>
        <w:rPr>
          <w:rFonts w:ascii="Times New Roman" w:cs="Times New Roman" w:eastAsia="Times New Roman" w:hAnsi="Times New Roman"/>
          <w:sz w:val="18"/>
          <w:szCs w:val="18"/>
          <w:color w:val="auto"/>
        </w:rPr>
        <w:t>The Risk and Compliance Committee of our Board of Directors provides assistance to the Board of Directors with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Risk and Compliance Committee are Messrs. Stein (Chair), Bowers and Busquet, all of whom are independent directors as defined in the listing standards of the New York Stock Exchange.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Risk and Compliance Committee operates under a written charter approved by our Board of Directors, a copy of which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five times in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when requested by the Board of Directors, the Risk and Compliance Committee provides oversight of the Company’s exploration of potential business combinations and other transformative transactions.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Our Executive Committee is generally responsible to act on behalf of our Board of Directors during the intervals between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if necessary. The current members of the Executive Committee are Ms. Caldwell (Chair) and Messrs. Messina and Busquet.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Committees. </w:t>
      </w:r>
      <w:r>
        <w:rPr>
          <w:rFonts w:ascii="Times New Roman" w:cs="Times New Roman" w:eastAsia="Times New Roman" w:hAnsi="Times New Roman"/>
          <w:sz w:val="18"/>
          <w:szCs w:val="18"/>
          <w:color w:val="auto"/>
        </w:rPr>
        <w:t>Our Board of Directors has the authority to form additional standing or temporary committees, and delegate appropriate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May 27, 2020, our Board of Directors has fixed the number of directors at seven.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2024 Annual Meeting,” below for additional information about this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 The Corporate Governance Guidelines also provide that within five years of their appointment, directors are generally expected to own shares in the Company worth at least five times the base annual cash retainer for service as a director.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are available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also adopted a Clawback Policy as further described under “Clawback Policy” in the “Executive Compensation” section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Messina chairs executive sessions of the full Board of Directors. Mr. Stein presides at the executive sessions of non-management directors, succeeding Ms. Caldwell, who presided prior to our January 2023 Board leadership transition. Our non-management directors met in executive sessions of the full Board without management during six meetings in 2022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Independent Director,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Chief Legal Officer from time to time and the chair of the Risk and Compliance Committee meets independently with the Chief Risk and Compliance Officer and the Chief Legal Officer from time to time. In prior years, our directors have also visited various of our U.S. and international sites to meet generally with employees and senior management in those locations.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 w:cs="Times New Roman" w:eastAsia="Times New Roman" w:hAnsi="Times New Roman"/>
          <w:sz w:val="18"/>
          <w:szCs w:val="18"/>
          <w:u w:val="single" w:color="auto"/>
          <w:color w:val="auto"/>
        </w:rPr>
        <w:t>http://shareholders.ocwen.com/contactBoard.cfm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received in writing are distributed to our Board of Directors or to individual directors, as the Chief Legal Officer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complaints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or product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service or product suggestions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solicitations or advertisements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Oversight Process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r>
        <w:rPr>
          <w:rFonts w:ascii="Times New Roman" w:cs="Times New Roman" w:eastAsia="Times New Roman" w:hAnsi="Times New Roman"/>
          <w:sz w:val="18"/>
          <w:szCs w:val="18"/>
          <w:color w:val="auto"/>
        </w:rPr>
        <w:t>. As discussed above, this committee is responsible for monitoring the Company’s enterprise risk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and regularly meets with the Chief Risk and Compliance Officer to discuss risk exposures and mitigation plans. This committee monitors the Company’s evaluation and management of risks, including, but not limited to,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The Audit Committee monitors the Company’s financial risks through regular reviews of the Company’s financial activities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internal and external auditors. This committee also receives reports from the management-level Disclosure Review Committee, which works to reduce the risk of inaccurate financial reporting through its review of the Company’s quarterly and annual financial reports and disclosure controls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Nomination/Governance Committee. </w:t>
      </w:r>
      <w:r>
        <w:rPr>
          <w:rFonts w:ascii="Times New Roman" w:cs="Times New Roman" w:eastAsia="Times New Roman" w:hAnsi="Times New Roman"/>
          <w:sz w:val="18"/>
          <w:szCs w:val="18"/>
          <w:color w:val="auto"/>
        </w:rPr>
        <w:t>The Nomination/Governance Committee monitors the Company’s governance risk by regular reviews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monitoring any circumstances that could potentially jeopardize the independence of directors or objectivity of management.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monitors potential risks created by the Company’s compensation policies and practices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 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(“ESG”) and Corporate Sustainability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and our management are committed to ensuring Ocwen has responsible practices to address the needs of its customers, employees and the communities it serves. While the Board has delegated oversight of management’s ESG initiatives to the Compensation Committee, the full Board is briefed regularly on the Company’s ESG-related activities and metrics. Our comprehensive approach to ESG and corporate sustainability is detailed in our report “Environmental, Social and Corporate Governance (ESG) and Corporate Sustainability” on our website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“Shareholders” section under “Corporate Governance.” Our approach is represented by the following policies and programs: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on non-discrimination. </w:t>
      </w:r>
      <w:r>
        <w:rPr>
          <w:rFonts w:ascii="Times New Roman" w:cs="Times New Roman" w:eastAsia="Times New Roman" w:hAnsi="Times New Roman"/>
          <w:sz w:val="18"/>
          <w:szCs w:val="18"/>
          <w:color w:val="auto"/>
        </w:rPr>
        <w:t>Ocwen’s non-discrimination policy provides equal employment opportunities for all qualified individuals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Promoting equal opportunity and diversity. </w:t>
      </w:r>
      <w:r>
        <w:rPr>
          <w:rFonts w:ascii="Times New Roman" w:cs="Times New Roman" w:eastAsia="Times New Roman" w:hAnsi="Times New Roman"/>
          <w:sz w:val="18"/>
          <w:szCs w:val="18"/>
          <w:color w:val="auto"/>
        </w:rPr>
        <w:t>Ocwen is committed to providing equal opportunity in all areas of employment, compensation, training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 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meets quarterly to review progress related to the Ocwen’s Diversity, Equity and Inclusion Roadmap. Diversity, Equity and Inclusion updates are provided to the Executive Leadership Team on a monthly basis and to the Board of Directors as necessary. Ocwen’s Global Diversity, Equity and Inclusion Policy is reviewed on an annual basis and diversity training is mandatory for all employees globally. Additionally, all leaders are required to complete a training course on Unconscious Bias, and Diversity and Inclusion goals are incorporated into annual performance evaluations for all managers.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2017, Ocwen formed the Ocwen Global Women’s Network (OGWN), an affinity group whose mission is to support recruitment, development and retention initiatives for women across the organization. This affinity group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 More than 2,400 employees are OGWN members. In 2021, Ocwen launched two new affinity groups, LEAP and FREE, that respectively foster a safe place, promote belonging and drive inclusion for Black and LGBTQ+ employees. </w:t>
      </w:r>
      <w:r>
        <w:rPr>
          <w:rFonts w:ascii="Times New Roman" w:cs="Times New Roman" w:eastAsia="Times New Roman" w:hAnsi="Times New Roman"/>
          <w:sz w:val="18"/>
          <w:szCs w:val="18"/>
          <w:b w:val="1"/>
          <w:bCs w:val="1"/>
          <w:color w:val="auto"/>
        </w:rPr>
        <w:t>LEAP</w:t>
      </w:r>
      <w:r>
        <w:rPr>
          <w:rFonts w:ascii="Times New Roman" w:cs="Times New Roman" w:eastAsia="Times New Roman" w:hAnsi="Times New Roman"/>
          <w:sz w:val="18"/>
          <w:szCs w:val="18"/>
          <w:color w:val="auto"/>
        </w:rPr>
        <w:t xml:space="preserve"> stands for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eading with</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ducation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8"/>
          <w:szCs w:val="18"/>
          <w:color w:val="auto"/>
        </w:rPr>
        <w:t>ction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8"/>
          <w:szCs w:val="18"/>
          <w:color w:val="auto"/>
        </w:rPr>
        <w:t>urpose and its mission is to educate Ocwen employees globally about Black culture and the Black experience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 inclusion across the organization. LEAP also enhances the professional development of Black employees through formal and informal mentoring, networking, learning opportunities and leadership development. The mission of </w:t>
      </w:r>
      <w:r>
        <w:rPr>
          <w:rFonts w:ascii="Times New Roman" w:cs="Times New Roman" w:eastAsia="Times New Roman" w:hAnsi="Times New Roman"/>
          <w:sz w:val="18"/>
          <w:szCs w:val="18"/>
          <w:b w:val="1"/>
          <w:bCs w:val="1"/>
          <w:color w:val="auto"/>
        </w:rPr>
        <w:t>FREE</w:t>
      </w:r>
      <w:r>
        <w:rPr>
          <w:rFonts w:ascii="Times New Roman" w:cs="Times New Roman" w:eastAsia="Times New Roman" w:hAnsi="Times New Roman"/>
          <w:sz w:val="18"/>
          <w:szCs w:val="18"/>
          <w:color w:val="auto"/>
        </w:rPr>
        <w:t xml:space="preserve">, which stands for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reedom,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espect,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xpression and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tracks and monitors representation of women and people of color across the organization. As of December 31, 2022, 48% of our global workforce is made up of women. In the U.S., women make up 64% of our workforce and 33% of our leadership team at the Director level and above. Additionally, in the U.S., people of color make up 49% of our workforce and 21% of our leadership team at the Director level and above. We also take action to support the recruitment, development and retention of our diverse talent. These programs include requiring diverse candidates as part of our hiring process, tracking minority hiring, promotion, retention and representation at all levels, and assessing diverse talent as part of our succession planning.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Ocwen sponsors several organizations focused on under-represented groups, including the American Mortgage Diversity Council, Florida Association of Women Lawyers and the National Association of Minority Mortgage Bankers of America. We are also committed to hiring graduates from historically black colleges and universities through the HomeFree-USA Center for Financial Advancement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 equity is an important component of Ocwen’s employment value proposition, commitment to diversity, equity and inclusion and legal and regulatory compliance. We regularly evaluate our performance management, merit increase incentive award and promotion processes for race and gender equality, and remediate any identified compensation gaps.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Ethics. </w:t>
      </w:r>
      <w:r>
        <w:rPr>
          <w:rFonts w:ascii="Times New Roman" w:cs="Times New Roman" w:eastAsia="Times New Roman" w:hAnsi="Times New Roman"/>
          <w:sz w:val="18"/>
          <w:szCs w:val="18"/>
          <w:color w:val="auto"/>
        </w:rPr>
        <w:t>We have adopted a robust Code of Business Conduct and Ethics that applies to all employees and our Board of Directors,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Chief Legal Officer serves as our Chief Ethics Officer and works with members of our Internal Audit function to ensure every ethics complaint and communication to our Board is addressed in accordance with our company policies.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Dependent care and special leave. </w:t>
      </w:r>
      <w:r>
        <w:rPr>
          <w:rFonts w:ascii="Times New Roman" w:cs="Times New Roman" w:eastAsia="Times New Roman" w:hAnsi="Times New Roman"/>
          <w:sz w:val="18"/>
          <w:szCs w:val="18"/>
          <w:color w:val="auto"/>
        </w:rPr>
        <w:t>Ocwen’s benefits programs strive to keep employees productive and engaged at work by serving the total well-being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their families’ physical, mental and financial health.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chronic conditions, diabetes and ergonomics,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Training and development. </w:t>
      </w:r>
      <w:r>
        <w:rPr>
          <w:rFonts w:ascii="Times New Roman" w:cs="Times New Roman" w:eastAsia="Times New Roman" w:hAnsi="Times New Roman"/>
          <w:sz w:val="18"/>
          <w:szCs w:val="18"/>
          <w:color w:val="auto"/>
        </w:rPr>
        <w:t>Ocwen is committed to providing our employees with high quality training and learning experiences targeted to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development. </w:t>
      </w:r>
      <w:r>
        <w:rPr>
          <w:rFonts w:ascii="Times New Roman" w:cs="Times New Roman" w:eastAsia="Times New Roman" w:hAnsi="Times New Roman"/>
          <w:sz w:val="18"/>
          <w:szCs w:val="18"/>
          <w:color w:val="auto"/>
        </w:rPr>
        <w:t>At Ocwen, we believe homeownership is an important part of achieving financial independence, and our philosophy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In 2022, in partnership with the NAACP, we hosted 55 borrower outreach events across the country. In recognition of our efforts, Ocwen was named the 2021 External Partner of the Year by Neighborhood Housing Services of New York City for our focus on helping New York homeowners stay in their homes.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better serve our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a number of local and national nonprofit organizations each year, in support of the work they do to help distressed communities and homeowners. Since 2012, Ocwen has contributed approximately $27 million to these organizations.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Charitable activity. </w:t>
      </w:r>
      <w:r>
        <w:rPr>
          <w:rFonts w:ascii="Times New Roman" w:cs="Times New Roman" w:eastAsia="Times New Roman" w:hAnsi="Times New Roman"/>
          <w:sz w:val="18"/>
          <w:szCs w:val="18"/>
          <w:color w:val="auto"/>
        </w:rPr>
        <w:t>Ocwen continues to find meaningful ways to give back to the communities where we live and work. The charitable events at our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Responsible information security management. </w:t>
      </w:r>
      <w:r>
        <w:rPr>
          <w:rFonts w:ascii="Times New Roman" w:cs="Times New Roman" w:eastAsia="Times New Roman" w:hAnsi="Times New Roman"/>
          <w:sz w:val="18"/>
          <w:szCs w:val="18"/>
          <w:color w:val="auto"/>
        </w:rPr>
        <w:t>We believe Ocwen has a robust information security program in place to ensure the confidentiality,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and availability of data and information systems. Ocwen’s Board of Directors is briefed regularly on information security risks, which are managed by a combination of strong policies, appropriate tools and technologies and continuous people awareness. Ocwen’s cyber security controls utilize a layered defense-in-depth approach to thwart any attempts to compromise the integrity of the network. Our employees are provided regular training to identify, prevent and report cyber security risks and incidents. Our third-party risk management program evaluates and monitors our vendors’ information security practices, and all third-party vendors that process data on our behalf are required to maintain a documented information security program that meets our stringent security requirements. Ocwen’s cyber security preparedness is tested on a regular basis through a variety of assessments conducted both internally and by third-party independent firms, including vulnerability assessments, penetration tests, incident response table top tests, breach readiness and response tests, among others.</w:t>
      </w:r>
    </w:p>
    <w:p>
      <w:pPr>
        <w:spacing w:after="0" w:line="1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Impact. </w:t>
      </w:r>
      <w:r>
        <w:rPr>
          <w:rFonts w:ascii="Times New Roman" w:cs="Times New Roman" w:eastAsia="Times New Roman" w:hAnsi="Times New Roman"/>
          <w:sz w:val="18"/>
          <w:szCs w:val="18"/>
          <w:color w:val="auto"/>
        </w:rPr>
        <w:t>Ocwen is committed to operating through a primarily remote working model for a significant majority of our workforce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only a small percentage of employees to commute to work on a daily basis. Fewer associates in the offices afforded the opportunity to reduce our office footprint in several markets. As office space footprints were reduced, improvements were made to retrofit lighting and equipment to lower our use of natural resources. We continue to recycle office and paper supplies at all U.S. facilities, which reduces our imprint on the local landfills. We have also implemented a digital mailroom process reducing the need for envelopes and shipping of documents between locations. With the implementation and enhancement of our digital mailing service and the continued success of our electronic notice delivery and process automations, we have eliminated approximately 4.9 million paper mailings leading to a reduction of approximately 142 tons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pollution.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discloses compensation received for fiscal year 2022 by each member of our Board of Directors who was not employed by us or one of our subsidiaries and who served as a director during fiscal year 2022 (our “non-management directors”).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 Cash</w:t>
            </w:r>
          </w:p>
        </w:tc>
        <w:tc>
          <w:tcPr>
            <w:tcW w:w="1800" w:type="dxa"/>
            <w:vAlign w:val="bottom"/>
            <w:gridSpan w:val="2"/>
          </w:tcPr>
          <w:p>
            <w:pPr>
              <w:jc w:val="center"/>
              <w:ind w:right="300"/>
              <w:spacing w:after="0" w:line="221" w:lineRule="exact"/>
              <w:rPr>
                <w:sz w:val="20"/>
                <w:szCs w:val="20"/>
                <w:color w:val="auto"/>
              </w:rPr>
            </w:pPr>
            <w:r>
              <w:rPr>
                <w:rFonts w:ascii="Times New Roman" w:cs="Times New Roman" w:eastAsia="Times New Roman" w:hAnsi="Times New Roman"/>
                <w:sz w:val="25"/>
                <w:szCs w:val="25"/>
                <w:b w:val="1"/>
                <w:bCs w:val="1"/>
                <w:color w:val="auto"/>
                <w:vertAlign w:val="subscript"/>
              </w:rPr>
              <w:t>Awards</w:t>
            </w:r>
            <w:r>
              <w:rPr>
                <w:rFonts w:ascii="Times New Roman" w:cs="Times New Roman" w:eastAsia="Times New Roman" w:hAnsi="Times New Roman"/>
                <w:sz w:val="12"/>
                <w:szCs w:val="12"/>
                <w:b w:val="1"/>
                <w:bCs w:val="1"/>
                <w:color w:val="auto"/>
              </w:rPr>
              <w:t>(1)(2)(3)</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2"/>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106,500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226,500</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121,500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241,500</w:t>
            </w:r>
          </w:p>
        </w:tc>
      </w:tr>
      <w:tr>
        <w:trPr>
          <w:trHeight w:val="243"/>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133,500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253,500</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184,000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304,000</w:t>
            </w:r>
          </w:p>
        </w:tc>
      </w:tr>
      <w:tr>
        <w:trPr>
          <w:trHeight w:val="243"/>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105,250</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225,250</w:t>
            </w:r>
          </w:p>
        </w:tc>
      </w:tr>
      <w:tr>
        <w:trPr>
          <w:trHeight w:val="24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120,250</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240,250</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reported for stock awards represent the aggregate grant date fair value of awards granted during fiscal year 2022 under the 2021 Equity Incentive Plan, as amended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9"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May 25, 2022, our non-management directors received equity awards under the 2021 Plan for their service for the 2022-2023 term. Each award had a grant date fair value totaling $120,000 (with immaterial incremental value resulting from rounding to the next whole share). Each director received 4,766 restricted stock units (“RSUs”) vesting May 25, 2023, in the event each director attends at least 75% of applicable Board and committee meetings.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Our non-management directors have no shares subject to option awards or other equity awards outstanding as of December 31, 2022, other than the RSUs issued May 25, 2022, except the following issued in prior service years to directors deferring their equity compensation pursuant to the Deferral Plan for Directors: Dr. Soaries holds 4,981 RSUs deliverable six months following the termination of his service.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support of the Company’s cost-cutting initiatives, the Board determined to reduce the fees payable for Board service, including reductions in the retainers payable for service as Chair or member of the Board, the Chair or member of the Compensation Committee and member of the Nomination/Governance Committee. As a result of these reductions, which were effective July 1, 2022, our non-management directors received the following cash compensation in 2022, payable in quarterly installments (except as noted below):</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retainer of $76,000;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$87,500 to the Chair of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to the Audit Committee and Risk and Compliance Committee Chairs;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$22,500 to the Compensation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to the Nomination/Governance Committee Chair;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$12,500 to all Audit Committee and Risk and Compliance Committee members (other than the Chairs);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$11,250 to all Compensation Committee members (other than the Chair);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$10,000 to all Nomination/Governance Committee members (other than the Chair).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non-management directors received fees of $1,000 per meeting for each meeting in excess of eight meetings of the Board of Directors and each applicable committee per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reductions in director compensation and the resulting aggregate cost savings for the Company are shown in further detail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Annual Compensation</w:t>
            </w:r>
          </w:p>
        </w:tc>
        <w:tc>
          <w:tcPr>
            <w:tcW w:w="22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Prior to July 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After July 1,</w:t>
            </w: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Prorated 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Annualized Savings</w:t>
            </w:r>
          </w:p>
        </w:tc>
      </w:tr>
      <w:tr>
        <w:trPr>
          <w:trHeight w:val="245"/>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Rates (per Director)</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Directors)</w:t>
            </w:r>
          </w:p>
        </w:tc>
        <w:tc>
          <w:tcPr>
            <w:tcW w:w="100" w:type="dxa"/>
            <w:vAlign w:val="bottom"/>
            <w:tcBorders>
              <w:bottom w:val="single" w:sz="8" w:color="CCEEFF"/>
            </w:tcBorders>
          </w:tcPr>
          <w:p>
            <w:pPr>
              <w:spacing w:after="0"/>
              <w:rPr>
                <w:sz w:val="21"/>
                <w:szCs w:val="21"/>
                <w:color w:val="auto"/>
              </w:rPr>
            </w:pPr>
          </w:p>
        </w:tc>
      </w:tr>
      <w:tr>
        <w:trPr>
          <w:trHeight w:val="243"/>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Board Chair (1)</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Board Member (6)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r>
      <w:tr>
        <w:trPr>
          <w:trHeight w:val="198"/>
        </w:trPr>
        <w:tc>
          <w:tcPr>
            <w:tcW w:w="250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Compensation Committee</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Chair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198"/>
        </w:trPr>
        <w:tc>
          <w:tcPr>
            <w:tcW w:w="25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Compensation Committee</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Member (2)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198"/>
        </w:trPr>
        <w:tc>
          <w:tcPr>
            <w:tcW w:w="250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Nomination/Governance</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2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Member (2)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Annualized Savings (all Directors)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93,000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Messina does not receive additional compensation for Board service. Accordingly, he will not receive compensation for serving as Board Chair following his appointment in January 2023. In connection with Mr. Stein’s appointment as Lead Independent Director in January 2023, he will receive a retainer of $75,000 annually in lieu of fees for his service as Chair or member of the Risk and Compliance Committee and he will not receive excess meeting fees for either the Board or any committee on which he serves.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2022 Annual Shareholder Meeting, our shareholders approved Amendment No. 1 to the 2021 Equity Incentive Plan (as amended, the “2021 Plan”). Following the 2022 Annual Shareholder Meeting, each non-management member of the Board of Directors was granted an award of restricted stock units (“RSUs”) under the 2021 Plan with a grant date fair value of $120,000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our 2023 Annual Shareholder Meeting on May 23, 2023, each non-management member of the Board of Directors will be granted an equity award under the 2021 Plan with a grant date fair value of $120,000 (rounded to the next whole share), subject to their election to defer, as described further below. This grant is not dependent on approval of the 2021 Plan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Alignment with Shareholder Value Creation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April 11, 2023, including shares of common stock beneficially owned and vested and unvested restricted stock units. The table provides the value of those shares and restricted stock units based on the closing price of our stock on April 11, 2023 and an illustrative diluted book value per share based on our publicly reported book value as of December 31,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Value of Total Equity Held by Non-Management Directors </w:t>
      </w:r>
      <w:r>
        <w:rPr>
          <w:rFonts w:ascii="Times New Roman" w:cs="Times New Roman" w:eastAsia="Times New Roman" w:hAnsi="Times New Roman"/>
          <w:sz w:val="29"/>
          <w:szCs w:val="29"/>
          <w:b w:val="1"/>
          <w:bCs w:val="1"/>
          <w:i w:val="1"/>
          <w:iCs w:val="1"/>
          <w:color w:val="auto"/>
          <w:vertAlign w:val="superscript"/>
        </w:rPr>
        <w:t>(1),(2)</w:t>
      </w:r>
    </w:p>
    <w:p>
      <w:pPr>
        <w:spacing w:after="0" w:line="1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Total Shares Vested</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8"/>
                <w:szCs w:val="18"/>
                <w:b w:val="1"/>
                <w:bCs w:val="1"/>
                <w:color w:val="auto"/>
                <w:w w:val="95"/>
              </w:rPr>
              <w:t xml:space="preserve"> and</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 at $28.88 Share Price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Value at $55.72 Fully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(closing price on 4/11/2023)</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Diluted Book Value Per</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Unvested (as of 4/11/2023)</w:t>
            </w:r>
          </w:p>
        </w:tc>
        <w:tc>
          <w:tcPr>
            <w:tcW w:w="2180" w:type="dxa"/>
            <w:vAlign w:val="bottom"/>
          </w:tcPr>
          <w:p>
            <w:pPr>
              <w:jc w:val="right"/>
              <w:ind w:right="931"/>
              <w:spacing w:after="0"/>
              <w:rPr>
                <w:sz w:val="20"/>
                <w:szCs w:val="20"/>
                <w:color w:val="auto"/>
              </w:rPr>
            </w:pPr>
            <w:r>
              <w:rPr>
                <w:rFonts w:ascii="Times New Roman" w:cs="Times New Roman" w:eastAsia="Times New Roman" w:hAnsi="Times New Roman"/>
                <w:sz w:val="15"/>
                <w:szCs w:val="15"/>
                <w:b w:val="1"/>
                <w:bCs w:val="1"/>
                <w:color w:val="auto"/>
              </w:rPr>
              <w:t>(3)</w:t>
            </w:r>
          </w:p>
        </w:tc>
        <w:tc>
          <w:tcPr>
            <w:tcW w:w="280" w:type="dxa"/>
            <w:vAlign w:val="bottom"/>
          </w:tcPr>
          <w:p>
            <w:pPr>
              <w:spacing w:after="0"/>
              <w:rPr>
                <w:sz w:val="20"/>
                <w:szCs w:val="20"/>
                <w:color w:val="auto"/>
              </w:rPr>
            </w:pPr>
          </w:p>
        </w:tc>
        <w:tc>
          <w:tcPr>
            <w:tcW w:w="2280" w:type="dxa"/>
            <w:vAlign w:val="bottom"/>
            <w:gridSpan w:val="2"/>
          </w:tcPr>
          <w:p>
            <w:pPr>
              <w:jc w:val="center"/>
              <w:ind w:right="100"/>
              <w:spacing w:after="0" w:line="235" w:lineRule="exact"/>
              <w:rPr>
                <w:sz w:val="20"/>
                <w:szCs w:val="20"/>
                <w:color w:val="auto"/>
              </w:rPr>
            </w:pPr>
            <w:r>
              <w:rPr>
                <w:rFonts w:ascii="Times New Roman" w:cs="Times New Roman" w:eastAsia="Times New Roman" w:hAnsi="Times New Roman"/>
                <w:sz w:val="17"/>
                <w:szCs w:val="17"/>
                <w:b w:val="1"/>
                <w:bCs w:val="1"/>
                <w:color w:val="auto"/>
                <w:w w:val="97"/>
              </w:rPr>
              <w:t>Share</w:t>
            </w:r>
            <w:r>
              <w:rPr>
                <w:rFonts w:ascii="Times New Roman" w:cs="Times New Roman" w:eastAsia="Times New Roman" w:hAnsi="Times New Roman"/>
                <w:sz w:val="27"/>
                <w:szCs w:val="27"/>
                <w:b w:val="1"/>
                <w:bCs w:val="1"/>
                <w:color w:val="auto"/>
                <w:w w:val="97"/>
                <w:vertAlign w:val="superscript"/>
              </w:rPr>
              <w:t>(4)</w:t>
            </w:r>
          </w:p>
        </w:tc>
        <w:tc>
          <w:tcPr>
            <w:tcW w:w="0" w:type="dxa"/>
            <w:vAlign w:val="bottom"/>
          </w:tcPr>
          <w:p>
            <w:pPr>
              <w:spacing w:after="0"/>
              <w:rPr>
                <w:sz w:val="1"/>
                <w:szCs w:val="1"/>
                <w:color w:val="auto"/>
              </w:rPr>
            </w:pPr>
          </w:p>
        </w:tc>
      </w:tr>
      <w:tr>
        <w:trPr>
          <w:trHeight w:val="245"/>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1"/>
                <w:szCs w:val="21"/>
                <w:color w:val="auto"/>
              </w:rPr>
            </w:pPr>
          </w:p>
        </w:tc>
        <w:tc>
          <w:tcPr>
            <w:tcW w:w="2180" w:type="dxa"/>
            <w:vAlign w:val="bottom"/>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2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3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778,634</w:t>
            </w:r>
          </w:p>
        </w:tc>
        <w:tc>
          <w:tcPr>
            <w:tcW w:w="2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716,166</w:t>
            </w:r>
          </w:p>
        </w:tc>
        <w:tc>
          <w:tcPr>
            <w:tcW w:w="2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1,033,731</w:t>
            </w: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36,390</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1,050,943</w:t>
            </w:r>
          </w:p>
        </w:tc>
        <w:tc>
          <w:tcPr>
            <w:tcW w:w="2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32,183</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929,445</w:t>
            </w: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Stein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716,166</w:t>
            </w:r>
          </w:p>
        </w:tc>
        <w:tc>
          <w:tcPr>
            <w:tcW w:w="2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180,924</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5,225,085</w:t>
            </w:r>
          </w:p>
        </w:tc>
        <w:tc>
          <w:tcPr>
            <w:tcW w:w="28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10,081,087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24"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by each director plus the unvested restricted stock units. As noted above, restricted stock units valued at $120,000 (or $100,000 in the case of grants prior to 2022) are granted each year to our directors and vest on the first anniversary of the grant date, unless the director attended less than 75% of all meetings of the Board of Directors during that year, in which case the restricted stock units will be pro-rated based on the director’s actual attendance percentage, with the remainder forfeited. Accordingly, it is possible that all of the restricted stock units shown in the table above may not fully vest.</w:t>
      </w:r>
    </w:p>
    <w:p>
      <w:pPr>
        <w:spacing w:after="0" w:line="3"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Vested” represents shares beneficially owned and shares underlying restricted stock units that have vested and are subject to deferred delivery under our Deferral Plan for Directors, described above. “Shares Unvested” represent restricted stock units granted to a director that have not vested as of April 11, 2023. As of April 11, 2023, each of our directors held 4,766 unvested restricted stock units.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April 11, 2023 share price and equity holdings. Our future stock price may vary materially from the closing price shown in the table. The closing price per share of our common stock on April 11, 2023 was $28.88 per share.</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April 11, 2023 equity holdings and fully diluted book value per share. Fully diluted book value per share is calculated based on the Company’s most recent publicly reported book value of $456.7 million at December 31, 2022 and 9,086,349 shares, comprised of 7,640,333 shares outstanding and 1,446,016 warrants held by Oaktree as of April 11, 2023. See “Business Relationships and Related Transactions – Relationship with Oaktree”, below. Assumes cashless exercise of Oaktree warrants using 10-day average of Volume Weighted Average Price (10 days ending on preceding day of exercise) on April 11, 2023 of $26.95. Does not give effect to issuance of shares underlying vested and unvested restricted stock units shown in table or stock options with strike prices above current trading prices.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shares owned and outstanding units granted to non-management directors as of April 11, 2023 represents 2.0% of the diluted weighted average number (8,997,306) of shares of the Company’s common stock issued and outstanding in the 2022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Deferral Plan for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9"/>
                <w:szCs w:val="29"/>
                <w:b w:val="1"/>
                <w:bCs w:val="1"/>
                <w:color w:val="auto"/>
                <w:w w:val="91"/>
                <w:vertAlign w:val="superscript"/>
              </w:rPr>
              <w:t>(1)</w:t>
            </w: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9"/>
                <w:szCs w:val="29"/>
                <w:b w:val="1"/>
                <w:bCs w:val="1"/>
                <w:color w:val="auto"/>
                <w:vertAlign w:val="superscript"/>
              </w:rPr>
              <w:t>(1)</w:t>
            </w:r>
          </w:p>
        </w:tc>
      </w:tr>
      <w:tr>
        <w:trPr>
          <w:trHeight w:val="225"/>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9"/>
                <w:szCs w:val="19"/>
                <w:color w:val="auto"/>
              </w:rPr>
            </w:pPr>
          </w:p>
        </w:tc>
        <w:tc>
          <w:tcPr>
            <w:tcW w:w="6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Jenna D. Evans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Risk and Compliance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Francois Grunenwald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O’Neil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J. Samarias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Company Secretary</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D. Wade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Investment Officer</w:t>
            </w:r>
          </w:p>
        </w:tc>
      </w:tr>
      <w:tr>
        <w:trPr>
          <w:trHeight w:val="26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22"/>
                <w:szCs w:val="2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bl>
    <w:p>
      <w:pPr>
        <w:spacing w:after="0" w:line="162"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All age and position information set forth herein is as of April 11, 2023.</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occupation for at least the last five years, as well as certain other biographical information, for each of our executive officers who is not a director is set forth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W. Anderson. </w:t>
      </w:r>
      <w:r>
        <w:rPr>
          <w:rFonts w:ascii="Times New Roman" w:cs="Times New Roman" w:eastAsia="Times New Roman" w:hAnsi="Times New Roman"/>
          <w:sz w:val="18"/>
          <w:szCs w:val="18"/>
          <w:color w:val="auto"/>
        </w:rPr>
        <w:t>Mr. Anderson has served as Executive Vice President and Chief Servicing Officer since 2009, and his career with Ocwen has spanned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Jenna D. Evans</w:t>
      </w:r>
      <w:r>
        <w:rPr>
          <w:rFonts w:ascii="Times New Roman" w:cs="Times New Roman" w:eastAsia="Times New Roman" w:hAnsi="Times New Roman"/>
          <w:sz w:val="18"/>
          <w:szCs w:val="18"/>
          <w:color w:val="auto"/>
        </w:rPr>
        <w:t>. Ms. Evans has served as Executive Vice President and Chief Risk and Compliance Officer since October 2022. She also continues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as Deputy General Counsel in charge of Regulatory Affairs, a role she has held since October 2016. Prior to joining Ocwen in February 2013, Ms. Evans served as in-house regulatory compliance counsel at GMAC Mortgage, LLC. Earlier in her career, she spent six years in private practice, during which she represented regional banks and other financial services companies. Ms. Evans also serves as the Executive Sponsor of the Ocwen Global Women’s Network, an affinity group aimed at supporting the development of female employees. She holds a Bachelor of Arts degree in Public Relations from Pennsylvania State University, a Juris Doctor from Temple University, and is licensed to practice law in both Pennsylvania and New Jersey.</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Francois Grunenwald</w:t>
      </w:r>
      <w:r>
        <w:rPr>
          <w:rFonts w:ascii="Times New Roman" w:cs="Times New Roman" w:eastAsia="Times New Roman" w:hAnsi="Times New Roman"/>
          <w:sz w:val="18"/>
          <w:szCs w:val="18"/>
          <w:color w:val="auto"/>
        </w:rPr>
        <w:t>. Mr. Grunenwald has served as our Senior Vice President and Chief Accounting Officer since August 2019. Prior to joining Ocwen,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spent 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George T. Henley</w:t>
      </w:r>
      <w:r>
        <w:rPr>
          <w:rFonts w:ascii="Times New Roman" w:cs="Times New Roman" w:eastAsia="Times New Roman" w:hAnsi="Times New Roman"/>
          <w:sz w:val="18"/>
          <w:szCs w:val="18"/>
          <w:color w:val="auto"/>
        </w:rPr>
        <w:t>. Mr. Henley has served as Executive Vice President and Chief Growth Officer since February 15, 2021. In this role, Mr. Henley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growth and development of our originations business and operations. From 2012 through the time he joined Ocwen, Mr. Henley served as an executive of Freedom Mortgage Corporation. He most recently served as Executive Vice President, Retail Lending of Freedom Mortgage responsible for sales, operations and originations channel expansion. Prior to that role, he was Executive Vice President, Capital Markets and Correspondent Lending responsible for the growth and development of Freedom Mortgage’s correspondent lending channel. He holds a Bachelor of Arts degree from Delta State University.</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Sean B. O’Neil</w:t>
      </w:r>
      <w:r>
        <w:rPr>
          <w:rFonts w:ascii="Times New Roman" w:cs="Times New Roman" w:eastAsia="Times New Roman" w:hAnsi="Times New Roman"/>
          <w:sz w:val="18"/>
          <w:szCs w:val="18"/>
          <w:color w:val="auto"/>
        </w:rPr>
        <w:t>. Mr. O’Neil has served as Executive Vice President and Chief Financial Officer since June 2022. From 2015 until joining Ocwen,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O’Neil served as Chief Financial Officer of Bayview Asset Management, LLC. Prior to 2015, he held a number of senior positions at financial institutions, including serving as Group Financial Officer for Wells Fargo, Eastern Community Bank and as Chief Financial Officer for Wachovia’s Wealth Management Group. Mr. O’Neil began his career as a submarine officer in the U.S. Navy. He holds a Master of Business Administration degree from Harvard University and a Bachelor of Science degree in Mechanical Engineering from Pennsylvania State University.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Joseph J. Samarias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Samarias has served as Executive Vice President and Chief Legal Officer since April 2019. He previously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Aaron D. Wade</w:t>
      </w:r>
      <w:r>
        <w:rPr>
          <w:rFonts w:ascii="Times New Roman" w:cs="Times New Roman" w:eastAsia="Times New Roman" w:hAnsi="Times New Roman"/>
          <w:sz w:val="18"/>
          <w:szCs w:val="18"/>
          <w:color w:val="auto"/>
        </w:rPr>
        <w:t>. Mr. Wade has served as Executive Vice President, Chief Investment Officer since December 2022. Previously he served as Ocwen’s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Capital Markets since April 2022. From October 2018 until joining Ocwen, Mr. Wade 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Dennis Zeleny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Zeleny has served as Executive Vice President and Chief Administrative Officer since August 2019. In that capacity, he oversees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Ocwen’s human resources, communications, information technologies, international operations, facilities, sourcing, enterprise project management office and diversity and inclusion programs. From January through August 2019, Mr. Zeleny served Ocwen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Bachelor of Science from Cornell University and a Master of Science from the Graduate School of Business at Columbia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SHAREHOLDER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April 11, 2023 by:</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Ocwen’s directors, director nominees and named executive officers may be reached through Ocwen Corporate Headquarters at 1661 Worthington Road, Suite 100, West Palm Beach, Florida 33409.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also sets forth information with respect to each person known by Ocwen to beneficially own more than five percent of the outstanding shares of its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is based upon information supplied to us by directors and executive officers and filings under the Securities Exchange Act of 1934, as amended, except where noted. We have based our calculation of the percentage of beneficial ownership on 7,640,333 shares of our common stock outstanding as of April 11, 2023.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Beneficially Owned</w:t>
      </w:r>
      <w:r>
        <w:rPr>
          <w:rFonts w:ascii="Times New Roman" w:cs="Times New Roman" w:eastAsia="Times New Roman" w:hAnsi="Times New Roman"/>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6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Amount of Beneficial</w:t>
            </w:r>
          </w:p>
        </w:tc>
        <w:tc>
          <w:tcPr>
            <w:tcW w:w="2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r>
      <w:tr>
        <w:trPr>
          <w:trHeight w:val="245"/>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8"/>
        </w:trPr>
        <w:tc>
          <w:tcPr>
            <w:tcW w:w="6300" w:type="dxa"/>
            <w:vAlign w:val="bottom"/>
            <w:tcBorders>
              <w:top w:val="single" w:sz="8" w:color="auto"/>
            </w:tcBorders>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Oaktree Holdings, LLC</w:t>
            </w:r>
            <w:r>
              <w:rPr>
                <w:rFonts w:ascii="Times New Roman" w:cs="Times New Roman" w:eastAsia="Times New Roman" w:hAnsi="Times New Roman"/>
                <w:sz w:val="27"/>
                <w:szCs w:val="27"/>
                <w:color w:val="auto"/>
                <w:vertAlign w:val="superscript"/>
              </w:rPr>
              <w:t>(2)</w:t>
            </w:r>
          </w:p>
        </w:tc>
        <w:tc>
          <w:tcPr>
            <w:tcW w:w="22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333 S. Grand Avenue, 28th Floor</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1"/>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90071</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839,504</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652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Deer Park Road Management Company, LP</w:t>
            </w:r>
            <w:r>
              <w:rPr>
                <w:rFonts w:ascii="Times New Roman" w:cs="Times New Roman" w:eastAsia="Times New Roman" w:hAnsi="Times New Roman"/>
                <w:sz w:val="27"/>
                <w:szCs w:val="27"/>
                <w:color w:val="auto"/>
                <w:vertAlign w:val="superscript"/>
              </w:rPr>
              <w:t>(3)</w:t>
            </w: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1195 Bangtail Way</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1"/>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Steamboat Springs, CO 80487</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683,858</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38"/>
        </w:trPr>
        <w:tc>
          <w:tcPr>
            <w:tcW w:w="65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Long Focus Capital Management, LLC</w:t>
            </w:r>
            <w:r>
              <w:rPr>
                <w:rFonts w:ascii="Times New Roman" w:cs="Times New Roman" w:eastAsia="Times New Roman" w:hAnsi="Times New Roman"/>
                <w:sz w:val="27"/>
                <w:szCs w:val="27"/>
                <w:color w:val="auto"/>
                <w:vertAlign w:val="superscript"/>
              </w:rPr>
              <w:t>(4)</w:t>
            </w:r>
          </w:p>
        </w:tc>
        <w:tc>
          <w:tcPr>
            <w:tcW w:w="2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207 Calle Del Parque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A&amp;M Tower, 8th Floor</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1"/>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Juan, PR 00912</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625,088</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38"/>
        </w:trPr>
        <w:tc>
          <w:tcPr>
            <w:tcW w:w="652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Howard Amster</w:t>
            </w:r>
            <w:r>
              <w:rPr>
                <w:rFonts w:ascii="Times New Roman" w:cs="Times New Roman" w:eastAsia="Times New Roman" w:hAnsi="Times New Roman"/>
                <w:sz w:val="27"/>
                <w:szCs w:val="27"/>
                <w:color w:val="auto"/>
                <w:vertAlign w:val="superscript"/>
              </w:rPr>
              <w:t>(5)</w:t>
            </w: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7681 Olympia Drive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1"/>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Palm Beach, FL 33411</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616,706</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38"/>
        </w:trPr>
        <w:tc>
          <w:tcPr>
            <w:tcW w:w="65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Roberto Marco Sella</w:t>
            </w:r>
            <w:r>
              <w:rPr>
                <w:rFonts w:ascii="Times New Roman" w:cs="Times New Roman" w:eastAsia="Times New Roman" w:hAnsi="Times New Roman"/>
                <w:sz w:val="27"/>
                <w:szCs w:val="27"/>
                <w:color w:val="auto"/>
                <w:vertAlign w:val="superscript"/>
              </w:rPr>
              <w:t>(6)</w:t>
            </w:r>
          </w:p>
        </w:tc>
        <w:tc>
          <w:tcPr>
            <w:tcW w:w="2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2400 Market Street, Suite 3022</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1"/>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Philadelphia, PA 19103</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454,767</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48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3"/>
        </w:trPr>
        <w:tc>
          <w:tcPr>
            <w:tcW w:w="6300" w:type="dxa"/>
            <w:vAlign w:val="bottom"/>
            <w:tcBorders>
              <w:top w:val="single" w:sz="8" w:color="auto"/>
            </w:tcBorders>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Scott W. Anderson</w:t>
            </w:r>
            <w:r>
              <w:rPr>
                <w:rFonts w:ascii="Times New Roman" w:cs="Times New Roman" w:eastAsia="Times New Roman" w:hAnsi="Times New Roman"/>
                <w:sz w:val="29"/>
                <w:szCs w:val="29"/>
                <w:color w:val="auto"/>
                <w:vertAlign w:val="superscript"/>
              </w:rPr>
              <w:t>(7)</w:t>
            </w:r>
          </w:p>
        </w:tc>
        <w:tc>
          <w:tcPr>
            <w:tcW w:w="220" w:type="dxa"/>
            <w:vAlign w:val="bottom"/>
            <w:tcBorders>
              <w:top w:val="single" w:sz="8" w:color="CCEEFF"/>
            </w:tcBorders>
            <w:shd w:val="clear" w:color="auto" w:fill="CCEEFF"/>
          </w:tcPr>
          <w:p>
            <w:pPr>
              <w:spacing w:after="0"/>
              <w:rPr>
                <w:sz w:val="24"/>
                <w:szCs w:val="24"/>
                <w:color w:val="auto"/>
              </w:rPr>
            </w:pPr>
          </w:p>
        </w:tc>
        <w:tc>
          <w:tcPr>
            <w:tcW w:w="244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21,277</w:t>
            </w:r>
          </w:p>
        </w:tc>
        <w:tc>
          <w:tcPr>
            <w:tcW w:w="22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Alan J. Bowers</w:t>
            </w:r>
            <w:r>
              <w:rPr>
                <w:rFonts w:ascii="Times New Roman" w:cs="Times New Roman" w:eastAsia="Times New Roman" w:hAnsi="Times New Roman"/>
                <w:sz w:val="29"/>
                <w:szCs w:val="29"/>
                <w:color w:val="auto"/>
                <w:vertAlign w:val="superscript"/>
              </w:rPr>
              <w:t>(8)</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26,961</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Jenne K. Britell</w:t>
            </w:r>
            <w:r>
              <w:rPr>
                <w:rFonts w:ascii="Times New Roman" w:cs="Times New Roman" w:eastAsia="Times New Roman" w:hAnsi="Times New Roman"/>
                <w:sz w:val="29"/>
                <w:szCs w:val="29"/>
                <w:color w:val="auto"/>
                <w:vertAlign w:val="superscript"/>
              </w:rPr>
              <w:t>(9)</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24,798</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Jacques J. Busquet</w:t>
            </w:r>
            <w:r>
              <w:rPr>
                <w:rFonts w:ascii="Times New Roman" w:cs="Times New Roman" w:eastAsia="Times New Roman" w:hAnsi="Times New Roman"/>
                <w:sz w:val="29"/>
                <w:szCs w:val="29"/>
                <w:color w:val="auto"/>
                <w:vertAlign w:val="superscript"/>
              </w:rPr>
              <w:t>(10)</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35,794</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Phyllis R. Caldwell</w:t>
            </w:r>
            <w:r>
              <w:rPr>
                <w:rFonts w:ascii="Times New Roman" w:cs="Times New Roman" w:eastAsia="Times New Roman" w:hAnsi="Times New Roman"/>
                <w:sz w:val="29"/>
                <w:szCs w:val="29"/>
                <w:color w:val="auto"/>
                <w:vertAlign w:val="superscript"/>
              </w:rPr>
              <w:t>(11)</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34,007</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June C. Campbell</w:t>
            </w:r>
            <w:r>
              <w:rPr>
                <w:rFonts w:ascii="Times New Roman" w:cs="Times New Roman" w:eastAsia="Times New Roman" w:hAnsi="Times New Roman"/>
                <w:sz w:val="29"/>
                <w:szCs w:val="29"/>
                <w:color w:val="auto"/>
                <w:vertAlign w:val="superscript"/>
              </w:rPr>
              <w:t>(12)</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6,305</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Albert J. Celini</w:t>
            </w:r>
            <w:r>
              <w:rPr>
                <w:rFonts w:ascii="Times New Roman" w:cs="Times New Roman" w:eastAsia="Times New Roman" w:hAnsi="Times New Roman"/>
                <w:sz w:val="29"/>
                <w:szCs w:val="29"/>
                <w:color w:val="auto"/>
                <w:vertAlign w:val="superscript"/>
              </w:rPr>
              <w:t>(13)</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1,604</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George T. Henley</w:t>
            </w:r>
            <w:r>
              <w:rPr>
                <w:rFonts w:ascii="Times New Roman" w:cs="Times New Roman" w:eastAsia="Times New Roman" w:hAnsi="Times New Roman"/>
                <w:sz w:val="29"/>
                <w:szCs w:val="29"/>
                <w:color w:val="auto"/>
                <w:vertAlign w:val="superscript"/>
              </w:rPr>
              <w:t>(14)</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7,211</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(15)</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228,839</w:t>
            </w: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Sean B. O’Neil</w:t>
            </w:r>
            <w:r>
              <w:rPr>
                <w:rFonts w:ascii="Times New Roman" w:cs="Times New Roman" w:eastAsia="Times New Roman" w:hAnsi="Times New Roman"/>
                <w:sz w:val="29"/>
                <w:szCs w:val="29"/>
                <w:color w:val="auto"/>
                <w:vertAlign w:val="superscript"/>
              </w:rPr>
              <w:t>(16)</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DeForest B. Soaries, Jr.</w:t>
            </w:r>
            <w:r>
              <w:rPr>
                <w:rFonts w:ascii="Times New Roman" w:cs="Times New Roman" w:eastAsia="Times New Roman" w:hAnsi="Times New Roman"/>
                <w:sz w:val="29"/>
                <w:szCs w:val="29"/>
                <w:color w:val="auto"/>
                <w:vertAlign w:val="superscript"/>
              </w:rPr>
              <w:t>(17)</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27,202</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Kevin Stein</w:t>
            </w:r>
            <w:r>
              <w:rPr>
                <w:rFonts w:ascii="Times New Roman" w:cs="Times New Roman" w:eastAsia="Times New Roman" w:hAnsi="Times New Roman"/>
                <w:sz w:val="29"/>
                <w:szCs w:val="29"/>
                <w:color w:val="auto"/>
                <w:vertAlign w:val="superscript"/>
              </w:rPr>
              <w:t>(18)</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24,798</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5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(19)</w:t>
            </w: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4,116</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(15 persons)</w:t>
            </w:r>
            <w:r>
              <w:rPr>
                <w:rFonts w:ascii="Times New Roman" w:cs="Times New Roman" w:eastAsia="Times New Roman" w:hAnsi="Times New Roman"/>
                <w:sz w:val="29"/>
                <w:szCs w:val="29"/>
                <w:color w:val="auto"/>
                <w:vertAlign w:val="superscript"/>
              </w:rPr>
              <w:t>(20)</w:t>
            </w: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445,500</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1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163" w:gutter="0" w:footer="0" w:header="0"/>
        </w:sectPr>
      </w:pPr>
    </w:p>
    <w:bookmarkStart w:id="33" w:name="page34"/>
    <w:bookmarkEnd w:id="33"/>
    <w:p>
      <w:pPr>
        <w:jc w:val="both"/>
        <w:ind w:left="340" w:hanging="332"/>
        <w:spacing w:after="0" w:line="219"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this table, an individual is considered the beneficial owner of shares of common stock if he or she has the right to acquire such common stock within 60 days of April 11, 2023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44"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Oaktree Holdings, LLC (“Oaktree”): On March 4, 2021, the Company issued 1,184,768 warrants to affiliates of Oaktree, and on May 3, 2021, the Company issued an additional 261,248 warrants to affiliates of Oaktree, pursuant to agreements between the Company and affiliates of Oaktree which provide that the warrants cannot be exercised to the extent that affiliates of Oaktree would beneficially own in excess of 9.9% of the Company’s outstanding stock following such issuance (the “Ownership Cap”) without 61 days advance notice. Oaktree’s beneficial ownership is reported in the table above as the Ownership Cap as of April 11, 2023, which is based on an aggregate of 8,479,837 shares of the Company, consisting of (i) 7,640,333 of the Company’s shares outstanding as of April 11, 2023 and (ii) warrants to purchase 839,504 of the Company’s shares. Oaktree Holdings, LLC jointly filed a Schedule 13G/A with the Securities and Exchange Commission on February 14, 2023, reporting securities deemed to be beneficially owned as of December 31, 2022, representing the number of shares it would own under the Ownership Cap based on the number of shares of common stock of the Company outstanding as of December 31, 2022, with the following Reporting Persons: Opps OCW Holdings, LLC, a Delaware limited liability company (“Opps OCW Holdings”), in its capacity as the direct owner of an aggregate of shares and warrants exercisable to the extent of the Ownership Cap; ROF8 OCW MAV PT, LLC, a Delaware limited partnership (“ROF8”), in its capacity as the direct owner of an aggregate of shares and warrants exercisable to the extent of the Ownership Cap; Oaktree Fund GP, LLC, a Delaware limited liability company (“Fund GP”), in its capacity as the manager of Opps OCW Holdings and ROF8; Oaktree Fund GP I, L.P., a Delaware limited partnership (“GP I”), in its capacity as the managing member of Fund GP;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Group, LLC, a Delaware limited liability company (“OCG”), in its capacity as the managing member of Holdings; Oaktree Capital Group Holdings GP, LLC, a Delaware limited liability company (“OCGH GP”), in its capacity as the indirect owner of the class B units of OCG; Brookfield Asset Management Inc., an Ontario corporation (“BAM”), in its capacity as the indirect owner of the class A units of OCG; and BAM Partners Trust, a trust established under the laws of Ontario (the “BAM Partnership”), in its capacity as the sole owner of Class B Limited Voting Shares of BAM. BAM Class B Partners Inc. (“BAM Partners”), an Ontario corporation, is the trustee of the BAM Partnership. The principal business address of each of the Reporting Persons other than BAM, BAM Partnership and BAM Partners is 333 S. Grand Avenue, 28th Floor, Los Angeles, CA 90071. The principal business address of BAM, BAM Partnership and BAM Partners is Brookfield Place, Suite 300, 181 Bay Street, P.O. Box 762, Toronto, Ontario, Canada M5J 2T3.</w:t>
      </w:r>
    </w:p>
    <w:p>
      <w:pPr>
        <w:spacing w:after="0" w:line="209"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Deer Park Road Management Company, LP: Based solely on information contained in a Schedule 13G/A filed with the Securities and Exchange Commission on February 28, 2023, reporting securities deemed to be beneficially owned as of March 1, 2023, by Deer Park Road Management Company, LP (“Deer Park”); Deer Park Road Management GP, LLC (“DPRM”); Deer Park Road Corporation (“DPRC”); Michael Craig-Scheckman (“Mr. Craig-Scheckman”); AgateCreek LLC (“AgateCreek”); and Scott Edward Burg (“Mr. Burg”), each of which reports shared voting and dispositive power of 683,858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31"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Long Focus Capital Management, LLC: Based solely on information contained in a Schedule 13G/A filed with the Securities and Exchange Commission on February 14, 2023 reporting securities beneficially owned as of December 31, 2022, by Long Focus Capital Management, LLC (“LFCM LLC”), a Delaware single member limited liability company; Long Focus Capital Master, LTD. (“LFCM LTD”), a Cayman Islands limited company; Condagua, LLC, a Delaware single member limited liability company; John B. Helmers, a United States citizen; and A. Glenn Helmers, a United States citizen, each of LFCM LLC and John B. Helmers reports shared voting and dispositive power of 652,088 shares, LFCM LTD reports shared voting and dispositive power of 309,964 shares, and each of Condagua, LLC and A. Glenn Helmers reports shared voting and dispositive power of 342,124 shares.</w:t>
      </w:r>
    </w:p>
    <w:p>
      <w:pPr>
        <w:spacing w:after="0" w:line="200" w:lineRule="exact"/>
        <w:rPr>
          <w:rFonts w:ascii="Times New Roman" w:cs="Times New Roman" w:eastAsia="Times New Roman" w:hAnsi="Times New Roman"/>
          <w:sz w:val="30"/>
          <w:szCs w:val="30"/>
          <w:color w:val="auto"/>
          <w:vertAlign w:val="superscript"/>
        </w:rPr>
      </w:pPr>
    </w:p>
    <w:p>
      <w:pPr>
        <w:jc w:val="both"/>
        <w:ind w:left="340" w:hanging="332"/>
        <w:spacing w:after="0" w:line="241"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Amster: Based solely on information contained in a Schedule 13D/A filed with the Securities and Exchange Commission on January 25, 2023 reporting securities beneficially owned as of January 17, 2023, Mr. Amster reports sole voting and dispositive power of 282,920 shares and shared voting and dispositive power of 333,786 shares, Pleasant Lake Skoien Investments LLC reports sole voting and dispositive power of 8,818 shares and shared voting and dispositive power of 607,888 shares; Pleasant Lake Apts. Limited Partnership reports sole voting and dispositive power of 31,700 shares and shared voting and dispositive power of 585,006 shares; Howard Amster 2019 Charitable Remainder Unitrust #1 reports sole voting and dispositive power of 1,692 shares and shared voting and dispositive power of 615,014 shares; Howard Amster 2019 Charitable Remainder Unitrust #2 reports sole voting and dispositive power of 439 shares and shared voting and dispositive power of 616,267 shares; Howard Amster 2019 Charitable Remainder Unitrust #5 reports sole voting and dispositive power of 5,635 shares and shared voting and dispositive power of 611,071 shares; Amster Limited Partnership reports sole voting and dispositive power of 13,650 shares and shared voting and dispositive power of 603,056 shares; Laughlin Holdings LLC reports sole voting and dispositive power of 38,377 shares and shared voting and dispositive power of 578,329 shares; Ramat Securities Ltd. reports sole voting and dispositive power of 199,007 shares and shared voting and dispositive power of 417,699 shares; Pleasant Lakes Apartments Corp. reports sole voting and dispositive power of 157 shares and shared voting and dispositive power of 616,549 shares; Howard Amster 2019 Charitable Remainder Unitrust #3 reports sole voting and dispositive power of 34,262 shares and shared voting and dispositive power of 582,444 shares; and Howard Amster Charitable Remainder Unitrust U/A DTD 04/22/1998 reports sole voting and dispositive power of 49 shares and shared voting and dispositive power of 616,657 shares.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left="340" w:hanging="332"/>
        <w:spacing w:after="0" w:line="231"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Sella: Based solely on information contained in a Schedule 13G/A filed with the Securities and Exchange Commission on February 6, 2020 reporting securities beneficially owned as of December 31, 2019, Mr. Sella reports sole voting and dispositive power with respect to 432,028 shares, consisting of 409,289 shares held of record by Roberto Marco Sella and 22,739 shares held of record by LL Charitable Foundation, of which Mr. Sella serves as President. Mr. Sella reports shared voting and dispositive power with respect to 22,739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22,739 shares of Common Stock held by the Trust. Mr. Sella is not a beneficiary of the Trust.</w:t>
      </w:r>
    </w:p>
    <w:p>
      <w:pPr>
        <w:spacing w:after="0" w:line="200"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Anderson serves as Executive Vice President and Chief Servicing Officer. Includes shares underlying 3,685 options which are presently exercisable and 1,125 options which could become exercisable within 60 days of April 11, 2023.</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Bowers serves as a director. Includes shares underlying 4,766 RSUs which will vest May 25, 2023 subject to certain conditions relating to the individual’s service as a director.</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Britell serves as a director. Includes shares underlying 4,766 RSUs which will vest May 25, 2023 subject to certain conditions relating to the individual’s service as a director. Also includes 3,000 shares held by trust.</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Busquet serves as a director. Includes shares underlying 4,766 RSUs which will vest May 25, 2023 subject to certain conditions relating to the individual’s service as a director. Also includes 1,000 shares held jointly with spouse.</w:t>
      </w:r>
    </w:p>
    <w:p>
      <w:pPr>
        <w:spacing w:after="0" w:line="198" w:lineRule="exact"/>
        <w:rPr>
          <w:rFonts w:ascii="Times New Roman" w:cs="Times New Roman" w:eastAsia="Times New Roman" w:hAnsi="Times New Roman"/>
          <w:sz w:val="29"/>
          <w:szCs w:val="29"/>
          <w:color w:val="auto"/>
          <w:vertAlign w:val="superscript"/>
        </w:rPr>
      </w:pPr>
    </w:p>
    <w:p>
      <w:pPr>
        <w:jc w:val="both"/>
        <w:ind w:left="340" w:hanging="332"/>
        <w:spacing w:after="0" w:line="220"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Ms. Caldwell serves as a director. Includes shares underlying 2,383 RSUs which will vest May 25, 2023 subject to certain conditions relating to the individual’s service as a director. Does not include 2,383 shares underlying vested RSUs which are not settleable until the six-month anniversary of the director’s termination of service,</w:t>
      </w:r>
    </w:p>
    <w:p>
      <w:pPr>
        <w:spacing w:after="0" w:line="100"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Ms. Campbell served as Executive Vice President and Chief Financial Officer through June 12, 2022. Includes 3,176 shares held jointly with spouse.</w:t>
      </w:r>
    </w:p>
    <w:p>
      <w:pPr>
        <w:spacing w:after="0" w:line="163" w:lineRule="exact"/>
        <w:rPr>
          <w:rFonts w:ascii="Times New Roman" w:cs="Times New Roman" w:eastAsia="Times New Roman" w:hAnsi="Times New Roman"/>
          <w:sz w:val="29"/>
          <w:szCs w:val="29"/>
          <w:color w:val="auto"/>
          <w:vertAlign w:val="superscript"/>
        </w:rPr>
      </w:pPr>
    </w:p>
    <w:p>
      <w:pPr>
        <w:ind w:left="340" w:hanging="332"/>
        <w:spacing w:after="0" w:line="193"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Celini served as Executive Vice President and Chief Risk and Compliance Officer through October 31, 2022.</w:t>
      </w:r>
    </w:p>
    <w:p>
      <w:pPr>
        <w:spacing w:after="0" w:line="163" w:lineRule="exact"/>
        <w:rPr>
          <w:rFonts w:ascii="Times New Roman" w:cs="Times New Roman" w:eastAsia="Times New Roman" w:hAnsi="Times New Roman"/>
          <w:sz w:val="29"/>
          <w:szCs w:val="29"/>
          <w:color w:val="auto"/>
          <w:vertAlign w:val="superscript"/>
        </w:rPr>
      </w:pPr>
    </w:p>
    <w:p>
      <w:pPr>
        <w:ind w:left="340" w:hanging="332"/>
        <w:spacing w:after="0" w:line="193"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Henley serves as Executive Vice President and Chief Growth Officer. Includes 1,980 shares held jointly with spouse.</w:t>
      </w:r>
    </w:p>
    <w:p>
      <w:pPr>
        <w:spacing w:after="0" w:line="198"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Messina serves as Chair of the Board, President, and Chief Executive Officer. Includes shares underlying 17,799 options which are presently exercisable. Also includes 23,554 shares held jointly with spouse.</w:t>
      </w:r>
    </w:p>
    <w:p>
      <w:pPr>
        <w:spacing w:after="0" w:line="9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O’Neil began serving as Executive Vice President and Chief Financial Officer effective June 13, 2022.</w:t>
      </w:r>
    </w:p>
    <w:p>
      <w:pPr>
        <w:spacing w:after="0" w:line="197" w:lineRule="exact"/>
        <w:rPr>
          <w:rFonts w:ascii="Times New Roman" w:cs="Times New Roman" w:eastAsia="Times New Roman" w:hAnsi="Times New Roman"/>
          <w:sz w:val="29"/>
          <w:szCs w:val="29"/>
          <w:color w:val="auto"/>
          <w:vertAlign w:val="superscript"/>
        </w:rPr>
      </w:pPr>
    </w:p>
    <w:p>
      <w:pPr>
        <w:jc w:val="both"/>
        <w:ind w:left="340" w:hanging="332"/>
        <w:spacing w:after="0" w:line="220"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Dr. Soaries serves as a director. Includes shares underlying 4,766 RSUs which will vest May 25, 2023 subject to certain conditions relating to the individual’s service as a director. Does not include 4,981 shares underlying vested RSUs which are not settleable until the six-month anniversary of the director’s termination of service.</w:t>
      </w:r>
    </w:p>
    <w:p>
      <w:pPr>
        <w:spacing w:after="0" w:line="199" w:lineRule="exact"/>
        <w:rPr>
          <w:rFonts w:ascii="Times New Roman" w:cs="Times New Roman" w:eastAsia="Times New Roman" w:hAnsi="Times New Roman"/>
          <w:sz w:val="29"/>
          <w:szCs w:val="29"/>
          <w:color w:val="auto"/>
          <w:vertAlign w:val="superscript"/>
        </w:rPr>
      </w:pPr>
    </w:p>
    <w:p>
      <w:pPr>
        <w:ind w:left="340" w:hanging="332"/>
        <w:spacing w:after="0" w:line="204" w:lineRule="auto"/>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Stein serves as a director. Includes shares underlying 4,766 RSUs which will vest May 25, 2023 subject to certain conditions relating to the individual’s service as a director. Also includes 20,032 shares held by trust.</w:t>
      </w:r>
    </w:p>
    <w:p>
      <w:pPr>
        <w:spacing w:after="0" w:line="99"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Mr. Zeleny serves as Executive Vice President and Chief Administrative Officer.</w:t>
      </w:r>
    </w:p>
    <w:p>
      <w:pPr>
        <w:spacing w:after="0" w:line="197" w:lineRule="exact"/>
        <w:rPr>
          <w:rFonts w:ascii="Times New Roman" w:cs="Times New Roman" w:eastAsia="Times New Roman" w:hAnsi="Times New Roman"/>
          <w:sz w:val="29"/>
          <w:szCs w:val="29"/>
          <w:color w:val="auto"/>
          <w:vertAlign w:val="superscript"/>
        </w:rPr>
      </w:pPr>
    </w:p>
    <w:p>
      <w:pPr>
        <w:jc w:val="both"/>
        <w:ind w:left="340" w:hanging="332"/>
        <w:spacing w:after="0"/>
        <w:tabs>
          <w:tab w:leader="none" w:pos="3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Includes 9,769 shares and shares underlying 728 stock options which are presently exercisable held by Jenna D. Evans, Francois Grunenwald, Joseph J. Samarias, and Aaron Wade who are current executive officers but not Named Executive Officers. Does not include shares held by Ms. Campbell or Mr. Celini.</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outstanding options,</w:t>
            </w:r>
          </w:p>
        </w:tc>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25"/>
        </w:trPr>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60" w:type="dxa"/>
            <w:vAlign w:val="bottom"/>
            <w:gridSpan w:val="2"/>
          </w:tcPr>
          <w:p>
            <w:pPr>
              <w:jc w:val="center"/>
              <w:ind w:right="120"/>
              <w:spacing w:after="0" w:line="225" w:lineRule="exact"/>
              <w:rPr>
                <w:sz w:val="20"/>
                <w:szCs w:val="20"/>
                <w:color w:val="auto"/>
              </w:rPr>
            </w:pP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26"/>
                <w:szCs w:val="26"/>
                <w:color w:val="auto"/>
                <w:vertAlign w:val="superscript"/>
              </w:rPr>
              <w:t>(3)</w:t>
            </w:r>
          </w:p>
        </w:tc>
      </w:tr>
      <w:tr>
        <w:trPr>
          <w:trHeight w:val="27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(1)</w:t>
            </w:r>
          </w:p>
        </w:tc>
        <w:tc>
          <w:tcPr>
            <w:tcW w:w="340" w:type="dxa"/>
            <w:vAlign w:val="bottom"/>
          </w:tcPr>
          <w:p>
            <w:pPr>
              <w:spacing w:after="0"/>
              <w:rPr>
                <w:sz w:val="24"/>
                <w:szCs w:val="24"/>
                <w:color w:val="auto"/>
              </w:rPr>
            </w:pPr>
          </w:p>
        </w:tc>
        <w:tc>
          <w:tcPr>
            <w:tcW w:w="23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color w:val="auto"/>
                <w:w w:val="87"/>
                <w:vertAlign w:val="superscript"/>
              </w:rPr>
              <w:t>(2)</w:t>
            </w:r>
          </w:p>
        </w:tc>
        <w:tc>
          <w:tcPr>
            <w:tcW w:w="3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4"/>
                <w:szCs w:val="24"/>
                <w:color w:val="auto"/>
              </w:rPr>
            </w:pPr>
          </w:p>
        </w:tc>
      </w:tr>
      <w:tr>
        <w:trPr>
          <w:trHeight w:val="198"/>
        </w:trPr>
        <w:tc>
          <w:tcPr>
            <w:tcW w:w="3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6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643,046</w:t>
            </w:r>
          </w:p>
        </w:tc>
        <w:tc>
          <w:tcPr>
            <w:tcW w:w="2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141.27</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494,585</w:t>
            </w: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security holders</w:t>
            </w:r>
          </w:p>
        </w:tc>
        <w:tc>
          <w:tcPr>
            <w:tcW w:w="2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643,046</w:t>
            </w:r>
          </w:p>
        </w:tc>
        <w:tc>
          <w:tcPr>
            <w:tcW w:w="2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141.27</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494,585</w:t>
            </w:r>
          </w:p>
        </w:tc>
      </w:tr>
    </w:tbl>
    <w:p>
      <w:pPr>
        <w:spacing w:after="0" w:line="198" w:lineRule="exact"/>
        <w:rPr>
          <w:sz w:val="20"/>
          <w:szCs w:val="20"/>
          <w:color w:val="auto"/>
        </w:rPr>
      </w:pPr>
    </w:p>
    <w:p>
      <w:pPr>
        <w:ind w:left="34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39,157 shares subject to outstanding stock option awards and 603,889 shares subject to outstanding restricted stock unit awards (including outstanding performance-based restricted stock unit awards, which are presented at their target level of performance).</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exclusive of outstanding restricted stock unit awards, which do not have an exercise price.</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3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404,693 shares available for new award grants under the 2021 Plan as of December 31, 2022.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 This table does not reflect the 300,000 additional shares that will be available for issuance under the 2021 Plan if shareholders approve the 2021 Plan Amendment.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LETTER FROM COMPENSATION COMMITTEE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2022 presented one of the most volatile mortgage environments in recent history, and required the management team and our entire employee population to respond to changing market conditions with speed and agility. They have taken decisive action to right-size our business and further improve our cost structure versus prior years while improving customer satisfaction and maintaining the highest standards of quality. At the same time, they continue to drive capital-light growth in our servicing portfolio, as well as prudently manage mortgage servicing rights (“MSR”) investments and liquidity.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Building a business model and demonstrating the operational excellence and capabilities which will allow Ocwen to achieve GAAP profitability on a sustained basis regardless of mortgage cycle is the most important priority we hear from shareholders and potential investors. Our business and operational plan are designed each year to drive this strategy of long-term profitability.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Specifically, in 2022, we set out to execute against our key objectives, each with appropriate metrics and targets as captured in our Corporate AIP scorecard:</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higher margin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cost leadership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high-quality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engaged and productive workforce while continuing to make progress on diversity and inclusion;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customer and client satisfaction.</w:t>
      </w: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Looking back, the balanced and diversified business model built and executed by our management team performed well and enabled us to improve earnings and grow book value and earnings per share year-over-year. 2022 net income of $26 million and earnings per share of $2.97 rose 42% and 49% respectively from 2021. We grew our servicing portfolio to $290 billion as of December 31, 2022, with a focus on capital-light subservicing and a robust opportunity pipeline. We exceeded enterprise-wide cost reduction targets and built a significant cost advantage. Again, we were honored with Fannie Mae’s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2022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Freddie Mac’s 2022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recognition for servicing excellence. Our cash and cash equivalents as of year-end increased 8% from 2021 and total liquidity as of year-end increased 13% from 2021, preserving capital for growth opportunities at high margin returns, as well as for economic and interest rate uncertainties.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into a challenging originations market in 2023, we have a solid foundation to create value through our balanced and diversified business model, industry-leading servicing cost structure and top-tier operational performance, which allows for the pursuit of exciting growth opportunities ahead.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invite you to read the following Compensation Discussion and Analysis for further details on our decisions relating to compensation during 2022, and we look forward to further shareholder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Jacques Busquet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Compensation and Human Capital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Highlights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and the application of our executive compensation programs support organizational alignment around the achievement of Ocwen’s business plan and our performance against that plan. 2022 was the most challenging year in the mortgage originations business since the financial crisis, when market interest rates rose faster and higher than the industry expectations and significantly reduced production volumes and originations profitability. Our servicing business activities shifted away from COVID-related ones and we resumed full focus on the core principles that are necessary for our servicing platform’s sustainability, improving cost structure and customer satisfaction levels, delivering best-in-class operational performance, and maintaining robust risk and compliance metrics.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business highlights that the management team delivered against include:</w:t>
      </w:r>
    </w:p>
    <w:p>
      <w:pPr>
        <w:spacing w:after="0" w:line="225" w:lineRule="exact"/>
        <w:rPr>
          <w:sz w:val="20"/>
          <w:szCs w:val="20"/>
          <w:color w:val="auto"/>
        </w:rPr>
      </w:pPr>
    </w:p>
    <w:p>
      <w:pPr>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$25.7 million net income in 2022, up 42% as compared to $18.1 million net income in 2021, despite a 44% decrease in originations revenue, while maintaining a prudent MSR valuation.</w:t>
      </w: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servicing portfolio growth, where average unpaid principal balance (“UPB”) of loans serviced in 2022 increased by 28% or $60.9 billion compared to 2021, due in part to continued growth in the reverse mortgage servicing platform acquired from Reverse Mortgage Solutions, Inc. in 2021, and continued investments by the MSR Asset Vehicle LLC joint venture with Oaktree Capital Management, L.P..</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year-end cash and cash equivalents by 8% over year-end 2021 to $208 million.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with Federal Home Loan Bank of Indianapolis (“FHLBank Indianapolis”) to purchase MSRs, partnering as both a buyer of MSRs and a strategic partner to provide subservicing solutions to members within the FHLBank Indianapolis footprint.</w:t>
      </w:r>
    </w:p>
    <w:p>
      <w:pPr>
        <w:jc w:val="both"/>
        <w:ind w:left="660" w:hanging="328"/>
        <w:spacing w:after="0" w:line="183" w:lineRule="auto"/>
        <w:tabs>
          <w:tab w:leader="none" w:pos="660"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Delivered best-in-class operating performance within our servicing segment, earning 2022 Freddie Mac SHARP</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Fannie Mae’s 2022 STAR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recognition for the 3rd and 2nd consecutive year, respectively, and achieved Housing and Urban Development (“HUD”) Tier 1 servicer ranking.</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operating expenses by $76.9 million compared to 2021 through workforce reorganizations, global facilities footprint reduction, technology enhancements, end-to-end process automation and a continuous focus on cost improvement.</w:t>
      </w:r>
    </w:p>
    <w:p>
      <w:pPr>
        <w:ind w:left="66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$25 million of senior corporate debt and $50 million of our common stock, which generated positive shareholder response, helped stabilize the stock price during a volatile time, and increased book value per share at year-end by 17% compared to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designed the 2022 executive compensation program to align with the organization’s efforts to achieve key strategic and operational objectives and to adhere to evolving compensation and governance best practices, including ensuring a rigorous link between compensation and performance and shareholder value creation.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key features of our 2022 executive compensation program relating to pay decisions, program design and shareholder engagement are highlighted below:</w:t>
      </w:r>
    </w:p>
    <w:p>
      <w:pPr>
        <w:spacing w:after="0" w:line="162" w:lineRule="exact"/>
        <w:rPr>
          <w:sz w:val="20"/>
          <w:szCs w:val="20"/>
          <w:color w:val="auto"/>
        </w:rPr>
      </w:pPr>
    </w:p>
    <w:p>
      <w:pPr>
        <w:jc w:val="both"/>
        <w:ind w:left="700" w:hanging="328"/>
        <w:spacing w:after="0" w:line="257"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Aligned the structure of our annual incentive plan (“AIP”) with key strategic objectives, including profitability, growth and operational execution, and continued to incorporate diversity, equity and inclusion (“DE&amp;I”) metrics to reinforce our commitment to effective human capital management practices.</w:t>
      </w:r>
    </w:p>
    <w:p>
      <w:pPr>
        <w:spacing w:after="0" w:line="1" w:lineRule="exact"/>
        <w:rPr>
          <w:rFonts w:ascii="Times New Roman" w:cs="Times New Roman" w:eastAsia="Times New Roman" w:hAnsi="Times New Roman"/>
          <w:sz w:val="18"/>
          <w:szCs w:val="18"/>
          <w:color w:val="auto"/>
        </w:rPr>
      </w:pPr>
    </w:p>
    <w:p>
      <w:pPr>
        <w:ind w:left="700" w:hanging="328"/>
        <w:spacing w:after="0" w:line="26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a service excellence modifier to the AIP to adjust results based on how we deliver on our commitments to our customers and clients, further promoting one of our core values.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left="700" w:hanging="328"/>
        <w:spacing w:after="0" w:line="261"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cost reduction initiatives, reduced executive AIP payments by 33% of the amounts that would have been otherwise payable based on the Corporate Scorecard results and the executives’ performance.</w:t>
      </w:r>
    </w:p>
    <w:p>
      <w:pPr>
        <w:jc w:val="both"/>
        <w:ind w:left="700" w:hanging="328"/>
        <w:spacing w:after="0" w:line="250"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 long-term equity awards to total shareholder return relative to a performance peer group to align with shareholder expectations, which realized top quartile performance during the first year of its three-year measurement period, and provided for awards to settle in shares of common stock to build executive stock ownership in the Company.</w:t>
      </w:r>
    </w:p>
    <w:p>
      <w:pPr>
        <w:spacing w:after="0" w:line="1" w:lineRule="exact"/>
        <w:rPr>
          <w:rFonts w:ascii="Times New Roman" w:cs="Times New Roman" w:eastAsia="Times New Roman" w:hAnsi="Times New Roman"/>
          <w:sz w:val="18"/>
          <w:szCs w:val="18"/>
          <w:color w:val="auto"/>
        </w:rPr>
      </w:pPr>
    </w:p>
    <w:p>
      <w:pPr>
        <w:ind w:left="700" w:right="20" w:hanging="328"/>
        <w:spacing w:after="0" w:line="260"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certain executives’ target compensation in recognition of performance and criticality to delivering on strategic priorities and as a result of an evaluation of labor market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(“NEOs”) for 2022, whose compensation we will discuss in detail below, are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5"/>
        </w:trPr>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tcPr>
          <w:p>
            <w:pPr>
              <w:spacing w:after="0"/>
              <w:rPr>
                <w:sz w:val="19"/>
                <w:szCs w:val="19"/>
                <w:color w:val="auto"/>
              </w:rPr>
            </w:pPr>
          </w:p>
        </w:tc>
        <w:tc>
          <w:tcPr>
            <w:tcW w:w="6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Servicing Officer</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Officer</w:t>
            </w:r>
          </w:p>
        </w:tc>
      </w:tr>
      <w:tr>
        <w:trPr>
          <w:trHeight w:val="292"/>
        </w:trPr>
        <w:tc>
          <w:tcPr>
            <w:tcW w:w="3240" w:type="dxa"/>
            <w:vAlign w:val="bottom"/>
            <w:gridSpan w:val="2"/>
          </w:tcPr>
          <w:p>
            <w:pPr>
              <w:spacing w:after="0" w:line="292" w:lineRule="exact"/>
              <w:rPr>
                <w:sz w:val="20"/>
                <w:szCs w:val="20"/>
                <w:color w:val="auto"/>
              </w:rPr>
            </w:pPr>
            <w:r>
              <w:rPr>
                <w:rFonts w:ascii="Times New Roman" w:cs="Times New Roman" w:eastAsia="Times New Roman" w:hAnsi="Times New Roman"/>
                <w:sz w:val="18"/>
                <w:szCs w:val="18"/>
                <w:color w:val="auto"/>
              </w:rPr>
              <w:t>June C. Campbell</w:t>
            </w:r>
            <w:r>
              <w:rPr>
                <w:rFonts w:ascii="Times New Roman" w:cs="Times New Roman" w:eastAsia="Times New Roman" w:hAnsi="Times New Roman"/>
                <w:sz w:val="29"/>
                <w:szCs w:val="29"/>
                <w:color w:val="auto"/>
                <w:vertAlign w:val="superscript"/>
              </w:rPr>
              <w:t>(1)</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 and Chief Financial Officer</w:t>
            </w: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 J. Celini</w:t>
            </w: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 and Chief Risk and Compliance Officer</w:t>
            </w:r>
          </w:p>
        </w:tc>
      </w:tr>
    </w:tbl>
    <w:p>
      <w:pPr>
        <w:spacing w:after="0" w:line="225" w:lineRule="exact"/>
        <w:rPr>
          <w:sz w:val="20"/>
          <w:szCs w:val="20"/>
          <w:color w:val="auto"/>
        </w:rPr>
      </w:pPr>
    </w:p>
    <w:p>
      <w:pPr>
        <w:ind w:left="1620" w:hanging="31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Campbell departed this role as of June 12, 2022.</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Celini departed this role as of October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Philosophy and Objectives of Our Executive Compensation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Equally important, our compensation programs are designed to communicate our goals and reinforce our standards as they relate to risk, compliance and leadership, not only to our senior management team, but across our entire employee population. We employ a variety of cash and equity-based programs based on business objectives, including annual incentive grants towards the achievement of short- and long-term objectives, sign-on and retention awards to encourage employee commitment to the Company, and recognition programs for exceptional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this context, we believe our executive compensation programs enable us to:</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 and hire top-caliber experienced executives</w:t>
      </w:r>
      <w:r>
        <w:rPr>
          <w:rFonts w:ascii="Times New Roman" w:cs="Times New Roman" w:eastAsia="Times New Roman" w:hAnsi="Times New Roman"/>
          <w:sz w:val="18"/>
          <w:szCs w:val="18"/>
          <w:color w:val="auto"/>
        </w:rPr>
        <w:t>: In a tight labor market and volatile industry, we believe it is critical that we offer compensation opportunities that allow us to attract and retain strong, proven executive talent.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 for performance</w:t>
      </w:r>
      <w:r>
        <w:rPr>
          <w:rFonts w:ascii="Times New Roman" w:cs="Times New Roman" w:eastAsia="Times New Roman" w:hAnsi="Times New Roman"/>
          <w:sz w:val="18"/>
          <w:szCs w:val="18"/>
          <w:color w:val="auto"/>
        </w:rPr>
        <w:t>: A significant portion of our target 2022 executive compensation (the sum of base salary, annual target bonus, and target value of annual equity program awards) – 85% for the President and Chief Executive Officer (“CEO”) and 67% for other NEOs on average – was dependent on the Company’s business performance and our executive officers’ contribution to that performance, and the performance of our stock (described further below in Variable Pay and Incentive Programs).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Align compensation with shareholder interests</w:t>
      </w:r>
      <w:r>
        <w:rPr>
          <w:rFonts w:ascii="Times New Roman" w:cs="Times New Roman" w:eastAsia="Times New Roman" w:hAnsi="Times New Roman"/>
          <w:sz w:val="18"/>
          <w:szCs w:val="18"/>
          <w:color w:val="auto"/>
        </w:rPr>
        <w:t>: A consequential portion of our target 2022 executive compensation – 62% for the CEO and 33% for other NEOs on average – was directly tied to total shareholder return or stock price. An additional portion of 2022 executive compensation – 23% for the CEO and 33% for other NEOs on average – was tied to net income, return on equity, and other profitability and operating excellence objectives, emphasizing our focus on shareholder value creation (further described below under “Pay Measures”).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Reinforce a commitment to serve all stakeholders</w:t>
      </w:r>
      <w:r>
        <w:rPr>
          <w:rFonts w:ascii="Times New Roman" w:cs="Times New Roman" w:eastAsia="Times New Roman" w:hAnsi="Times New Roman"/>
          <w:sz w:val="18"/>
          <w:szCs w:val="18"/>
          <w:color w:val="auto"/>
        </w:rPr>
        <w:t>: We believe that taking all stakeholders’ opinions into account leads to long-term shareholder value creation. As such, annual incentive compensation awards were subject to a 20% adjustment – positive or negative – based on customer satisfaction results, demonstrating our continued commitment to supporting our borrowers. Those awards are also determined by an assessment of performance in promoting a culture of appropriate risk management and compliance, as well as demonstrating strong leadership behaviors.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Pay and Incentive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create a strong link between our incentive compensation opportunities and our short-term and long-term objectives, we use two specific programs: our Annual Incentive Plan (“AIP”) and the grant of long-term incentive awards under our 2021 Equity Incentive Plan (“LTIP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 below illustrates the portions of our NEOs’ target 2022 executive compensation that are delivered through our incentive programs. The Committee determines target compensation amounts after consideration of multiple factors, including comparative data from our peer group and general survey data provided by its independent compensation consultant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Percent of</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 of CEO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non-CEO NEO</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Element of 2022</w:t>
            </w: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Annual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Annual</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0" w:type="dxa"/>
            <w:vAlign w:val="bottom"/>
          </w:tcPr>
          <w:p>
            <w:pPr>
              <w:spacing w:after="0"/>
              <w:rPr>
                <w:sz w:val="1"/>
                <w:szCs w:val="1"/>
                <w:color w:val="auto"/>
              </w:rPr>
            </w:pPr>
          </w:p>
        </w:tc>
      </w:tr>
      <w:tr>
        <w:trPr>
          <w:trHeight w:val="282"/>
        </w:trPr>
        <w:tc>
          <w:tcPr>
            <w:tcW w:w="1920" w:type="dxa"/>
            <w:vAlign w:val="bottom"/>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(a)</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Compensation</w:t>
            </w:r>
            <w:r>
              <w:rPr>
                <w:rFonts w:ascii="Times New Roman" w:cs="Times New Roman" w:eastAsia="Times New Roman" w:hAnsi="Times New Roman"/>
                <w:sz w:val="29"/>
                <w:szCs w:val="29"/>
                <w:b w:val="1"/>
                <w:bCs w:val="1"/>
                <w:color w:val="auto"/>
                <w:w w:val="96"/>
                <w:vertAlign w:val="superscript"/>
              </w:rPr>
              <w:t>(b)</w:t>
            </w:r>
          </w:p>
        </w:tc>
        <w:tc>
          <w:tcPr>
            <w:tcW w:w="180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(b)</w:t>
            </w:r>
          </w:p>
        </w:tc>
        <w:tc>
          <w:tcPr>
            <w:tcW w:w="0" w:type="dxa"/>
            <w:vAlign w:val="bottom"/>
          </w:tcPr>
          <w:p>
            <w:pPr>
              <w:spacing w:after="0"/>
              <w:rPr>
                <w:sz w:val="1"/>
                <w:szCs w:val="1"/>
                <w:color w:val="auto"/>
              </w:rPr>
            </w:pPr>
          </w:p>
        </w:tc>
      </w:tr>
      <w:tr>
        <w:trPr>
          <w:trHeight w:val="198"/>
        </w:trPr>
        <w:tc>
          <w:tcPr>
            <w:tcW w:w="1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17"/>
                <w:szCs w:val="17"/>
                <w:color w:val="auto"/>
              </w:rPr>
            </w:pPr>
          </w:p>
        </w:tc>
        <w:tc>
          <w:tcPr>
            <w:tcW w:w="5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Salaries are the only element of total target compensation that is not</w:t>
            </w:r>
          </w:p>
        </w:tc>
        <w:tc>
          <w:tcPr>
            <w:tcW w:w="220" w:type="dxa"/>
            <w:vAlign w:val="bottom"/>
          </w:tcPr>
          <w:p>
            <w:pPr>
              <w:spacing w:after="0"/>
              <w:rPr>
                <w:sz w:val="17"/>
                <w:szCs w:val="17"/>
                <w:color w:val="auto"/>
              </w:rPr>
            </w:pPr>
          </w:p>
        </w:tc>
        <w:tc>
          <w:tcPr>
            <w:tcW w:w="17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AIP</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at risk based on short- or long-term performance.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Funding for our annual short-term incentive program is linked to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performance against key priorities of the Company, which is adjusted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according to customer satisfaction scores. Individual awards are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LTIP Awards</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further modified by the executive’s overall performance.</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Half of the award is in the form of Restricted Stock Units (RSUs) that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vest annually over three years in equal tranches. The other half is in</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form of Performance-Restricted Stock Units (PRSUs) that cliff</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vest at the end of three years provided minimum total shareholder</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return (TSR) level has been achieved relative to a performance peer</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group.</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that is available to all of our U.S. employees includes medical, dental and life insurance benefit programs. 401(k) matching contributions account for less than 0.1% of our NEOs’ compensation.</w:t>
      </w: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Target Compensation percentages reflect pay levels as of 12/31/2022 and are not pro-rated for mid-year changes.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Pay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programs are designed to align the interests of our executives with the interests of our shareholders, and therefore link the drivers of short-term and long-term value creation with our executive compensation performance metrics. The performance metrics used in our 2022 incentive programs directly link Company performance to the compensation earned by each executive, with total shareholder return being the greatest link to compensation actually paid, as illustrated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Percent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 of CEO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non-CEO NEO</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2022 Total Target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2022 Total Target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Measure</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94"/>
        </w:trPr>
        <w:tc>
          <w:tcPr>
            <w:tcW w:w="192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Absolute (and Relative)</w:t>
            </w:r>
          </w:p>
        </w:tc>
        <w:tc>
          <w:tcPr>
            <w:tcW w:w="240" w:type="dxa"/>
            <w:vAlign w:val="bottom"/>
          </w:tcPr>
          <w:p>
            <w:pPr>
              <w:spacing w:after="0"/>
              <w:rPr>
                <w:sz w:val="16"/>
                <w:szCs w:val="16"/>
                <w:color w:val="auto"/>
              </w:rPr>
            </w:pPr>
          </w:p>
        </w:tc>
        <w:tc>
          <w:tcPr>
            <w:tcW w:w="50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Our long-term incentive program grants equity-based awards with</w:t>
            </w:r>
          </w:p>
        </w:tc>
        <w:tc>
          <w:tcPr>
            <w:tcW w:w="220" w:type="dxa"/>
            <w:vAlign w:val="bottom"/>
          </w:tcPr>
          <w:p>
            <w:pPr>
              <w:spacing w:after="0"/>
              <w:rPr>
                <w:sz w:val="16"/>
                <w:szCs w:val="16"/>
                <w:color w:val="auto"/>
              </w:rPr>
            </w:pPr>
          </w:p>
        </w:tc>
        <w:tc>
          <w:tcPr>
            <w:tcW w:w="1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62% (31%)</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33% (17%)</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half of target value as time-vested restricted stock units and half as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performance-based units determined by TSR performance relative to</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 peer group.</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Full-year GAAP net income and full-year adjusted pre-tax income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combined accounted for 42.2% of the total weight of our 2022 AIP</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Return on Equity</w:t>
            </w:r>
          </w:p>
        </w:tc>
        <w:tc>
          <w:tcPr>
            <w:tcW w:w="5520" w:type="dxa"/>
            <w:vAlign w:val="bottom"/>
            <w:gridSpan w:val="3"/>
          </w:tcPr>
          <w:p>
            <w:pPr>
              <w:ind w:left="240"/>
              <w:spacing w:after="0" w:line="252" w:lineRule="exact"/>
              <w:rPr>
                <w:sz w:val="20"/>
                <w:szCs w:val="20"/>
                <w:color w:val="auto"/>
              </w:rPr>
            </w:pPr>
            <w:r>
              <w:rPr>
                <w:rFonts w:ascii="Times New Roman" w:cs="Times New Roman" w:eastAsia="Times New Roman" w:hAnsi="Times New Roman"/>
                <w:sz w:val="18"/>
                <w:szCs w:val="18"/>
                <w:color w:val="auto"/>
              </w:rPr>
              <w:t>Scorecard.</w:t>
            </w:r>
            <w:r>
              <w:rPr>
                <w:rFonts w:ascii="Times New Roman" w:cs="Times New Roman" w:eastAsia="Times New Roman" w:hAnsi="Times New Roman"/>
                <w:sz w:val="29"/>
                <w:szCs w:val="29"/>
                <w:color w:val="auto"/>
                <w:vertAlign w:val="superscript"/>
              </w:rPr>
              <w:t>(1)</w:t>
            </w: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Second-half after-tax return on equity (ROE), excluding notables,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Productivity</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represented 21.1% of the total weight of our 2022 AIP Scorecard.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Expenses as a percentage of either revenue or UPB accounted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Operational Execution</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10.5% of the total weight of our 2022 AIP Scorecard.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Business unit operating metrics accounted for 10.5% of the total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Volume Growth</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 of our 2022 AIP Scorecard.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UPB growth accounted for 10.5% of the total weight of our 2022 AIP</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Diversity, Equity &amp;</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Scorecard.</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vMerge w:val="continue"/>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Executing objectives in our DE&amp;I road map accounted for 5.3%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Inclusion</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total weight of our 2022 AIP Scorecard.</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how we measure pre-tax income before notable items and a reconciliation to financial measures prepared under GAAP, please see our Current Report on Form 8-K filed with the Securities and Exchange Commission on February 28,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variable pay programs, particularly our LTIP awards, have created strong alignment between our NEOs’ total compensation and long-term shareholder value creation. As required by Item 402(v) of Regulation S-K, the table below illustrates the relationship between “Compensation Actually Paid” and certain financial performance measures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Value of Initial Fixed $100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After-Tax</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Return On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1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(ROE),</w:t>
            </w:r>
          </w:p>
        </w:tc>
        <w:tc>
          <w:tcPr>
            <w:tcW w:w="0" w:type="dxa"/>
            <w:vAlign w:val="bottom"/>
          </w:tcPr>
          <w:p>
            <w:pPr>
              <w:spacing w:after="0"/>
              <w:rPr>
                <w:sz w:val="1"/>
                <w:szCs w:val="1"/>
                <w:color w:val="auto"/>
              </w:rPr>
            </w:pPr>
          </w:p>
        </w:tc>
      </w:tr>
      <w:tr>
        <w:trPr>
          <w:trHeight w:val="225"/>
        </w:trPr>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non-CEO</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non-CEO</w:t>
            </w:r>
          </w:p>
        </w:tc>
        <w:tc>
          <w:tcPr>
            <w:tcW w:w="1220" w:type="dxa"/>
            <w:vAlign w:val="bottom"/>
            <w:gridSpan w:val="2"/>
          </w:tcPr>
          <w:p>
            <w:pPr>
              <w:jc w:val="center"/>
              <w:ind w:right="260"/>
              <w:spacing w:after="0" w:line="225"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(3)</w:t>
            </w:r>
          </w:p>
        </w:tc>
        <w:tc>
          <w:tcPr>
            <w:tcW w:w="1220" w:type="dxa"/>
            <w:vAlign w:val="bottom"/>
            <w:gridSpan w:val="2"/>
          </w:tcPr>
          <w:p>
            <w:pPr>
              <w:jc w:val="center"/>
              <w:ind w:right="260"/>
              <w:spacing w:after="0" w:line="225"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(4)</w:t>
            </w:r>
          </w:p>
        </w:tc>
        <w:tc>
          <w:tcPr>
            <w:tcW w:w="1140" w:type="dxa"/>
            <w:vAlign w:val="bottom"/>
            <w:gridSpan w:val="2"/>
          </w:tcPr>
          <w:p>
            <w:pPr>
              <w:jc w:val="center"/>
              <w:ind w:right="280"/>
              <w:spacing w:after="0" w:line="225" w:lineRule="exact"/>
              <w:rPr>
                <w:sz w:val="20"/>
                <w:szCs w:val="20"/>
                <w:color w:val="auto"/>
              </w:rPr>
            </w:pPr>
            <w:r>
              <w:rPr>
                <w:rFonts w:ascii="Times New Roman" w:cs="Times New Roman" w:eastAsia="Times New Roman" w:hAnsi="Times New Roman"/>
                <w:sz w:val="16"/>
                <w:szCs w:val="16"/>
                <w:b w:val="1"/>
                <w:bCs w:val="1"/>
                <w:color w:val="auto"/>
              </w:rPr>
              <w:t>Income</w:t>
            </w:r>
            <w:r>
              <w:rPr>
                <w:rFonts w:ascii="Times New Roman" w:cs="Times New Roman" w:eastAsia="Times New Roman" w:hAnsi="Times New Roman"/>
                <w:sz w:val="26"/>
                <w:szCs w:val="26"/>
                <w:b w:val="1"/>
                <w:bCs w:val="1"/>
                <w:color w:val="auto"/>
                <w:vertAlign w:val="superscript"/>
              </w:rPr>
              <w:t>(5)</w:t>
            </w:r>
          </w:p>
        </w:tc>
        <w:tc>
          <w:tcPr>
            <w:tcW w:w="11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77"/>
        </w:trPr>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8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6"/>
              </w:rPr>
              <w:t>for CEO</w:t>
            </w:r>
            <w:r>
              <w:rPr>
                <w:rFonts w:ascii="Times New Roman" w:cs="Times New Roman" w:eastAsia="Times New Roman" w:hAnsi="Times New Roman"/>
                <w:sz w:val="29"/>
                <w:szCs w:val="29"/>
                <w:b w:val="1"/>
                <w:bCs w:val="1"/>
                <w:color w:val="auto"/>
                <w:w w:val="96"/>
                <w:vertAlign w:val="superscript"/>
              </w:rPr>
              <w:t>(1)</w:t>
            </w:r>
            <w:r>
              <w:rPr>
                <w:rFonts w:ascii="Times New Roman" w:cs="Times New Roman" w:eastAsia="Times New Roman" w:hAnsi="Times New Roman"/>
                <w:sz w:val="18"/>
                <w:szCs w:val="18"/>
                <w:b w:val="1"/>
                <w:bCs w:val="1"/>
                <w:color w:val="auto"/>
                <w:w w:val="96"/>
              </w:rPr>
              <w:t xml:space="preserve"> </w:t>
            </w: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w:t>
            </w:r>
          </w:p>
        </w:tc>
        <w:tc>
          <w:tcPr>
            <w:tcW w:w="138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to CEO</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8"/>
                <w:szCs w:val="18"/>
                <w:b w:val="1"/>
                <w:bCs w:val="1"/>
                <w:color w:val="auto"/>
                <w:w w:val="95"/>
              </w:rPr>
              <w:t xml:space="preserve"> ($)</w:t>
            </w:r>
          </w:p>
        </w:tc>
        <w:tc>
          <w:tcPr>
            <w:tcW w:w="1380" w:type="dxa"/>
            <w:vAlign w:val="bottom"/>
            <w:gridSpan w:val="2"/>
          </w:tcPr>
          <w:p>
            <w:pPr>
              <w:jc w:val="center"/>
              <w:ind w:right="280"/>
              <w:spacing w:after="0" w:line="270" w:lineRule="exact"/>
              <w:rPr>
                <w:sz w:val="20"/>
                <w:szCs w:val="20"/>
                <w:color w:val="auto"/>
              </w:rPr>
            </w:pPr>
            <w:r>
              <w:rPr>
                <w:rFonts w:ascii="Times New Roman" w:cs="Times New Roman" w:eastAsia="Times New Roman" w:hAnsi="Times New Roman"/>
                <w:sz w:val="18"/>
                <w:szCs w:val="18"/>
                <w:b w:val="1"/>
                <w:bCs w:val="1"/>
                <w:color w:val="auto"/>
                <w:w w:val="95"/>
              </w:rPr>
              <w:t>NEOs</w:t>
            </w:r>
            <w:r>
              <w:rPr>
                <w:rFonts w:ascii="Times New Roman" w:cs="Times New Roman" w:eastAsia="Times New Roman" w:hAnsi="Times New Roman"/>
                <w:sz w:val="29"/>
                <w:szCs w:val="29"/>
                <w:b w:val="1"/>
                <w:bCs w:val="1"/>
                <w:color w:val="auto"/>
                <w:w w:val="95"/>
                <w:vertAlign w:val="superscript"/>
              </w:rPr>
              <w:t>(1)</w:t>
            </w:r>
            <w:r>
              <w:rPr>
                <w:rFonts w:ascii="Times New Roman" w:cs="Times New Roman" w:eastAsia="Times New Roman" w:hAnsi="Times New Roman"/>
                <w:sz w:val="18"/>
                <w:szCs w:val="18"/>
                <w:b w:val="1"/>
                <w:bCs w:val="1"/>
                <w:color w:val="auto"/>
                <w:w w:val="95"/>
              </w:rPr>
              <w:t xml:space="preserve"> ($)</w:t>
            </w:r>
          </w:p>
        </w:tc>
        <w:tc>
          <w:tcPr>
            <w:tcW w:w="1360" w:type="dxa"/>
            <w:vAlign w:val="bottom"/>
            <w:gridSpan w:val="3"/>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5"/>
              </w:rPr>
              <w:t>NEOs</w:t>
            </w:r>
            <w:r>
              <w:rPr>
                <w:rFonts w:ascii="Times New Roman" w:cs="Times New Roman" w:eastAsia="Times New Roman" w:hAnsi="Times New Roman"/>
                <w:sz w:val="29"/>
                <w:szCs w:val="29"/>
                <w:b w:val="1"/>
                <w:bCs w:val="1"/>
                <w:color w:val="auto"/>
                <w:w w:val="95"/>
                <w:vertAlign w:val="superscript"/>
              </w:rPr>
              <w:t>(2)</w:t>
            </w:r>
            <w:r>
              <w:rPr>
                <w:rFonts w:ascii="Times New Roman" w:cs="Times New Roman" w:eastAsia="Times New Roman" w:hAnsi="Times New Roman"/>
                <w:sz w:val="18"/>
                <w:szCs w:val="18"/>
                <w:b w:val="1"/>
                <w:bCs w:val="1"/>
                <w:color w:val="auto"/>
                <w:w w:val="95"/>
              </w:rPr>
              <w:t xml:space="preserve">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($MM)</w:t>
            </w:r>
          </w:p>
        </w:tc>
        <w:tc>
          <w:tcPr>
            <w:tcW w:w="1100" w:type="dxa"/>
            <w:vAlign w:val="bottom"/>
            <w:gridSpan w:val="2"/>
          </w:tcPr>
          <w:p>
            <w:pPr>
              <w:jc w:val="center"/>
              <w:ind w:right="110"/>
              <w:spacing w:after="0" w:line="270" w:lineRule="exact"/>
              <w:rPr>
                <w:sz w:val="20"/>
                <w:szCs w:val="20"/>
                <w:color w:val="auto"/>
              </w:rPr>
            </w:pPr>
            <w:r>
              <w:rPr>
                <w:rFonts w:ascii="Times New Roman" w:cs="Times New Roman" w:eastAsia="Times New Roman" w:hAnsi="Times New Roman"/>
                <w:sz w:val="18"/>
                <w:szCs w:val="18"/>
                <w:b w:val="1"/>
                <w:bCs w:val="1"/>
                <w:color w:val="auto"/>
                <w:w w:val="94"/>
              </w:rPr>
              <w:t>notables</w:t>
            </w:r>
            <w:r>
              <w:rPr>
                <w:rFonts w:ascii="Times New Roman" w:cs="Times New Roman" w:eastAsia="Times New Roman" w:hAnsi="Times New Roman"/>
                <w:sz w:val="29"/>
                <w:szCs w:val="29"/>
                <w:b w:val="1"/>
                <w:bCs w:val="1"/>
                <w:color w:val="auto"/>
                <w:w w:val="94"/>
                <w:vertAlign w:val="superscript"/>
              </w:rPr>
              <w:t>(6)</w:t>
            </w:r>
          </w:p>
        </w:tc>
        <w:tc>
          <w:tcPr>
            <w:tcW w:w="0" w:type="dxa"/>
            <w:vAlign w:val="bottom"/>
          </w:tcPr>
          <w:p>
            <w:pPr>
              <w:spacing w:after="0"/>
              <w:rPr>
                <w:sz w:val="1"/>
                <w:szCs w:val="1"/>
                <w:color w:val="auto"/>
              </w:rPr>
            </w:pPr>
          </w:p>
        </w:tc>
      </w:tr>
      <w:tr>
        <w:trPr>
          <w:trHeight w:val="230"/>
        </w:trPr>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6,029,718</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2,722,635</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1,739,912</w:t>
            </w:r>
          </w:p>
        </w:tc>
        <w:tc>
          <w:tcPr>
            <w:tcW w:w="2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105</w:t>
            </w:r>
          </w:p>
        </w:tc>
        <w:tc>
          <w:tcPr>
            <w:tcW w:w="2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43"/>
        </w:trPr>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6,627,653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10,670,774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1,644,825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1,837,428</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4,587,915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9,451,692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1,511,467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2,283,997</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each corresponding year in the “Total” column of the Summary Compensation Table (below for 2022) for our CEO and non-CEO NEOs as a group. Our CEO was Glen Messina. Our NEOs for each applicable year were as follows: (i) for 2022, Scott W. Anderson, George T. Henley, Sean B. O’Neil, Dennis Zeleny, June C. Campbell and Albert J. Celini; (ii) for 2021, Scott W. Anderson, June C. Campbell, George T. Henley, Dennis Zeleny and Timothy J. Yanoti; and (iii) for 2020, Scott W. Anderson, John V. Britti, June C. Campbell and Dennis Zeleny.</w:t>
      </w:r>
    </w:p>
    <w:p>
      <w:pPr>
        <w:spacing w:after="0" w:line="21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as “compensation actually paid” do not reflect the actual amount of compensation earned by or paid to our CEO and non-CEO NEOs as a group during the applicable year. In accordance with the requirements of Item 402(v) of Regulation S-K, the following adjustments were made to total compensation for each year to determine the “compensation actually paid”: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Reported Summary</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Equity Award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2"/>
          </w:tcPr>
          <w:p>
            <w:pPr>
              <w:jc w:val="right"/>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Compensation Table</w:t>
            </w:r>
          </w:p>
        </w:tc>
        <w:tc>
          <w:tcPr>
            <w:tcW w:w="1900" w:type="dxa"/>
            <w:vAlign w:val="bottom"/>
            <w:gridSpan w:val="2"/>
          </w:tcPr>
          <w:p>
            <w:pPr>
              <w:jc w:val="center"/>
              <w:ind w:right="241"/>
              <w:spacing w:after="0" w:line="184" w:lineRule="exact"/>
              <w:rPr>
                <w:sz w:val="20"/>
                <w:szCs w:val="20"/>
                <w:color w:val="auto"/>
              </w:rPr>
            </w:pPr>
            <w:r>
              <w:rPr>
                <w:rFonts w:ascii="Times New Roman" w:cs="Times New Roman" w:eastAsia="Times New Roman" w:hAnsi="Times New Roman"/>
                <w:sz w:val="18"/>
                <w:szCs w:val="18"/>
                <w:b w:val="1"/>
                <w:bCs w:val="1"/>
                <w:color w:val="auto"/>
                <w:w w:val="97"/>
              </w:rPr>
              <w:t>Reported Value of</w:t>
            </w:r>
          </w:p>
        </w:tc>
        <w:tc>
          <w:tcPr>
            <w:tcW w:w="188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1880" w:type="dxa"/>
            <w:vAlign w:val="bottom"/>
            <w:gridSpan w:val="2"/>
          </w:tcPr>
          <w:p>
            <w:pPr>
              <w:jc w:val="center"/>
              <w:ind w:right="320"/>
              <w:spacing w:after="0" w:line="247" w:lineRule="exact"/>
              <w:rPr>
                <w:sz w:val="20"/>
                <w:szCs w:val="20"/>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28"/>
                <w:szCs w:val="28"/>
                <w:b w:val="1"/>
                <w:bCs w:val="1"/>
                <w:color w:val="auto"/>
                <w:vertAlign w:val="superscript"/>
              </w:rPr>
              <w:t>(a)</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360" w:type="dxa"/>
            <w:vAlign w:val="bottom"/>
          </w:tcPr>
          <w:p>
            <w:pPr>
              <w:spacing w:after="0"/>
              <w:rPr>
                <w:sz w:val="21"/>
                <w:szCs w:val="21"/>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6,029,718</w:t>
            </w:r>
          </w:p>
        </w:tc>
        <w:tc>
          <w:tcPr>
            <w:tcW w:w="3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(4,233,065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925,981</w:t>
            </w:r>
          </w:p>
        </w:tc>
        <w:tc>
          <w:tcPr>
            <w:tcW w:w="3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2,722,635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1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6,627,653</w:t>
            </w:r>
          </w:p>
        </w:tc>
        <w:tc>
          <w:tcPr>
            <w:tcW w:w="1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(3,914,160)</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7,957,281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10,670,774</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4,587,915</w:t>
            </w:r>
          </w:p>
        </w:tc>
        <w:tc>
          <w:tcPr>
            <w:tcW w:w="1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(1,316,250)</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6,180,028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9,451,692</w:t>
            </w:r>
          </w:p>
        </w:tc>
        <w:tc>
          <w:tcPr>
            <w:tcW w:w="0" w:type="dxa"/>
            <w:vAlign w:val="bottom"/>
          </w:tcPr>
          <w:p>
            <w:pPr>
              <w:spacing w:after="0"/>
              <w:rPr>
                <w:sz w:val="1"/>
                <w:szCs w:val="1"/>
                <w:color w:val="auto"/>
              </w:rPr>
            </w:pPr>
          </w:p>
        </w:tc>
      </w:tr>
      <w:tr>
        <w:trPr>
          <w:trHeight w:val="225"/>
        </w:trPr>
        <w:tc>
          <w:tcPr>
            <w:tcW w:w="2260" w:type="dxa"/>
            <w:vAlign w:val="bottom"/>
          </w:tcPr>
          <w:p>
            <w:pPr>
              <w:spacing w:after="0"/>
              <w:rPr>
                <w:sz w:val="19"/>
                <w:szCs w:val="19"/>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1,739,912</w:t>
            </w:r>
          </w:p>
        </w:tc>
        <w:tc>
          <w:tcPr>
            <w:tcW w:w="1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(692,544)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176,106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1,223,474</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Average of Non-CEO NEOs</w:t>
            </w: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1"/>
                <w:szCs w:val="21"/>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1,644,825</w:t>
            </w:r>
          </w:p>
        </w:tc>
        <w:tc>
          <w:tcPr>
            <w:tcW w:w="1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(406,315)</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598,919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1,837,428</w:t>
            </w:r>
          </w:p>
        </w:tc>
        <w:tc>
          <w:tcPr>
            <w:tcW w:w="0" w:type="dxa"/>
            <w:vAlign w:val="bottom"/>
          </w:tcPr>
          <w:p>
            <w:pPr>
              <w:spacing w:after="0"/>
              <w:rPr>
                <w:sz w:val="1"/>
                <w:szCs w:val="1"/>
                <w:color w:val="auto"/>
              </w:rPr>
            </w:pPr>
          </w:p>
        </w:tc>
      </w:tr>
      <w:tr>
        <w:trPr>
          <w:trHeight w:val="261"/>
        </w:trPr>
        <w:tc>
          <w:tcPr>
            <w:tcW w:w="2260" w:type="dxa"/>
            <w:vAlign w:val="bottom"/>
          </w:tcPr>
          <w:p>
            <w:pPr>
              <w:spacing w:after="0"/>
              <w:rPr>
                <w:sz w:val="22"/>
                <w:szCs w:val="22"/>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2"/>
                <w:szCs w:val="22"/>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1,511,467</w:t>
            </w:r>
          </w:p>
        </w:tc>
        <w:tc>
          <w:tcPr>
            <w:tcW w:w="1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(321,086)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1,093,616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2,283,997</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jc w:val="both"/>
        <w:ind w:left="980" w:hanging="324"/>
        <w:spacing w:after="0" w:line="253"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The valuation assumptions used to calculate fair values did not materially differ from those disclosed at the time of grant . The amounts deducted or added in calculating the equity award adjustments are as follows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at the End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Fair Value as</w:t>
            </w:r>
          </w:p>
        </w:tc>
        <w:tc>
          <w:tcPr>
            <w:tcW w:w="14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Year Change</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the Prior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6"/>
              </w:rPr>
              <w:t>Year Change</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of Vesting</w:t>
            </w: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in Fair Value</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3"/>
              </w:rPr>
              <w:t>Year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 End Fair</w:t>
            </w: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 Fair Value</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4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of Equity</w:t>
            </w:r>
          </w:p>
        </w:tc>
        <w:tc>
          <w:tcPr>
            <w:tcW w:w="13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of Prior Year</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Granted in</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Failed to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and Unvested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Granted and</w:t>
            </w: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Prior Years</w:t>
            </w: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6"/>
              </w:rPr>
              <w:t>Meet Vesting</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Granted in the</w:t>
            </w: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Vested in the</w:t>
            </w:r>
          </w:p>
        </w:tc>
        <w:tc>
          <w:tcPr>
            <w:tcW w:w="14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that Vested in</w:t>
            </w:r>
          </w:p>
        </w:tc>
        <w:tc>
          <w:tcPr>
            <w:tcW w:w="13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Conditions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3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in the Year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360" w:type="dxa"/>
            <w:vAlign w:val="bottom"/>
          </w:tcPr>
          <w:p>
            <w:pPr>
              <w:spacing w:after="0"/>
              <w:rPr>
                <w:sz w:val="21"/>
                <w:szCs w:val="21"/>
                <w:color w:val="auto"/>
              </w:rPr>
            </w:pP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3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5,778,644</w:t>
            </w:r>
          </w:p>
        </w:tc>
        <w:tc>
          <w:tcPr>
            <w:tcW w:w="3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(2,581,410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(864,643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(1,406,610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5,873,834</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2,146,897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(42,840)</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(20,610)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7,957,281</w:t>
            </w:r>
          </w:p>
        </w:tc>
        <w:tc>
          <w:tcPr>
            <w:tcW w:w="0" w:type="dxa"/>
            <w:vAlign w:val="bottom"/>
          </w:tcPr>
          <w:p>
            <w:pPr>
              <w:spacing w:after="0"/>
              <w:rPr>
                <w:sz w:val="1"/>
                <w:szCs w:val="1"/>
                <w:color w:val="auto"/>
              </w:rPr>
            </w:pPr>
          </w:p>
        </w:tc>
      </w:tr>
      <w:tr>
        <w:trPr>
          <w:trHeight w:val="243"/>
        </w:trPr>
        <w:tc>
          <w:tcPr>
            <w:tcW w:w="1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5,483,250</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795,627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(93,059)</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(5,790)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6,180,028</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of</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783,097</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(120,491)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6,852</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(133,625)</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(359,728)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176,106</w:t>
            </w: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8"/>
                <w:szCs w:val="18"/>
                <w:color w:val="auto"/>
              </w:rPr>
              <w:t>(6,938)</w:t>
            </w:r>
          </w:p>
        </w:tc>
        <w:tc>
          <w:tcPr>
            <w:tcW w:w="134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8"/>
                <w:szCs w:val="18"/>
                <w:color w:val="auto"/>
              </w:rPr>
              <w:t>(275,022)</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Non-</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598,919</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281,960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598,919</w:t>
            </w: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CEO NEOs</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1,027,903</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81,250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(10,969)</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(4,568)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1,093,616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hanging="332"/>
        <w:spacing w:after="0" w:line="257"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performance of our peer group is weighted by their respective market capitalization as of December 31, 2019. Our peer group is the same peer group described below in “Role of Compensation Committee”. Current peer group companies Guild Holdings Company, Home Point Capital, loanDepot and UWM Holdings are not included in the weighted average cumulative TSR calculation because they were publicly listed after the beginning of the three-year measurement period. Similarly, cumulative TSR performance of companies used in prior peer groups who have since been delisted are not included in the weighted average cumulative TSR calculation, including CenterState Bank, CoreLogic, Flagstar Bancorp and People’s United Financial. Peer Group Total Shareholder Return values for our peer group used in 2020-2021 would be $108, $125 and $112 for 2022, 2021 and 2020, respectively, and for our peer group used in 2019-2020 would be $106, $141 and $110 for 2022, 2021 and 2020, respectively. We revise our peer group from time to time to accommodate mergers and acquisitions activity within the previous peer group and the evolution of our business model, and to better reflect peers subject to similar regulatory oversight for performance and business practice benchmarking.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the Company’s audited financial statements for the applicable year.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Return On Equity (ROE) is calculated as net income divided by average total equity, excluding notables. For a discussion of how we measure pre-tax income before notable items and a reconciliation to financial measures prepared under GAAP, please see our Current Report on Form 8-K filed with the Securities and Exchange Commission on February 28, 2023.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3" w:name="page44"/>
    <w:bookmarkEnd w:id="43"/>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With our focus on long-term performance, we do not specifically align our performance measures with “compensation actually paid”. Nonetheless, in accordance with Item 402(v) of Regulation S-K, below are the relationships between compensation actually paid to the financial measures presented above:</w:t>
      </w:r>
    </w:p>
    <w:p>
      <w:pPr>
        <w:spacing w:after="0" w:line="138" w:lineRule="exact"/>
        <w:rPr>
          <w:sz w:val="20"/>
          <w:szCs w:val="20"/>
          <w:color w:val="auto"/>
        </w:rPr>
      </w:pPr>
    </w:p>
    <w:p>
      <w:pPr>
        <w:jc w:val="both"/>
        <w:ind w:left="660" w:right="2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Company TSR and Compensation Actually Paid</w:t>
      </w:r>
      <w:r>
        <w:rPr>
          <w:rFonts w:ascii="Times New Roman" w:cs="Times New Roman" w:eastAsia="Times New Roman" w:hAnsi="Times New Roman"/>
          <w:sz w:val="18"/>
          <w:szCs w:val="18"/>
          <w:color w:val="auto"/>
        </w:rPr>
        <w:t>: In 2020 and 2021, increases to our share price contributed to higher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paid values versus the Summary Compensation Table value. In 2022, the 23% decrease to our year-end closing share price, plus the forfeiture of our 2019 performance-restricted stock units due to unattained metrics, resulted in a significant reduction compensation actually paid compared to 2021.</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Company TSR and Cumulative Peer Group TSR</w:t>
      </w:r>
      <w:r>
        <w:rPr>
          <w:rFonts w:ascii="Times New Roman" w:cs="Times New Roman" w:eastAsia="Times New Roman" w:hAnsi="Times New Roman"/>
          <w:sz w:val="18"/>
          <w:szCs w:val="18"/>
          <w:color w:val="auto"/>
        </w:rPr>
        <w:t>: Our cumulative total shareholder return has been at least 38% higher than our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average in each of the last three years, which has rewarded our executives, as described below in “Performance Results of Long-Term Incentive Awards”.</w:t>
      </w:r>
    </w:p>
    <w:p>
      <w:pPr>
        <w:spacing w:after="0" w:line="20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 and Compensation Actually Paid</w:t>
      </w:r>
      <w:r>
        <w:rPr>
          <w:rFonts w:ascii="Times New Roman" w:cs="Times New Roman" w:eastAsia="Times New Roman" w:hAnsi="Times New Roman"/>
          <w:sz w:val="18"/>
          <w:szCs w:val="18"/>
          <w:color w:val="auto"/>
        </w:rPr>
        <w:t>: Net Income was a metric included in our AIP scorecard each of the last three years.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determined based on a percentage of target achieved in each respective year and reflected in final payout amounts.</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ROE and Compensation Actually Paid</w:t>
      </w:r>
      <w:r>
        <w:rPr>
          <w:rFonts w:ascii="Times New Roman" w:cs="Times New Roman" w:eastAsia="Times New Roman" w:hAnsi="Times New Roman"/>
          <w:sz w:val="18"/>
          <w:szCs w:val="18"/>
          <w:color w:val="auto"/>
        </w:rPr>
        <w:t>: Return on Equity was a metric included in our AIP scorecard in 2021 and 2022. Performance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on a percentage of target achieved in each respective year and reflected in final payout amounts.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therein.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Has Created Strong Alignment with Shareholder Value Creation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LTIP awards have created strong alignment between our NEOs’ total compensation and long-term shareholder value creation. These awards are a significant portion of total annual target pay for executives, and total outstanding award values place significant interest in long-term company share price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reflects each NEO’s annual target cash compensation and total equity holdings, excluding stock options, as of April 11, 2023, including shares of common stock beneficially owned and unvested restricted stock units. The table provides the value of those shares and restricted stock units based on the closing share price of our stock on April 11, 2023 and an illustrative diluted book value per share based on our publicly reported book value as of December 31, 2022. For example, the value of our CEO’s shares would nearly double (an additional $16.6 million) if our shares were trading at fully diluted book value compared to the April 11, 2023 closing share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Value of Equity Held by Named Executive Officers</w:t>
      </w:r>
      <w:r>
        <w:rPr>
          <w:rFonts w:ascii="Times New Roman" w:cs="Times New Roman" w:eastAsia="Times New Roman" w:hAnsi="Times New Roman"/>
          <w:sz w:val="29"/>
          <w:szCs w:val="29"/>
          <w:b w:val="1"/>
          <w:bCs w:val="1"/>
          <w:i w:val="1"/>
          <w:iCs w:val="1"/>
          <w:color w:val="auto"/>
          <w:vertAlign w:val="superscript"/>
        </w:rPr>
        <w:t>(1)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Value at $30.58 Share Price</w:t>
            </w:r>
          </w:p>
        </w:tc>
        <w:tc>
          <w:tcPr>
            <w:tcW w:w="2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at $55.72 Fully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Value at $28.88 Share Price</w:t>
            </w:r>
          </w:p>
        </w:tc>
        <w:tc>
          <w:tcPr>
            <w:tcW w:w="24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(closing price on</w:t>
            </w: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Diluted Book Value Per</w:t>
            </w: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(closing price on 4/11/2023)</w:t>
            </w:r>
          </w:p>
        </w:tc>
        <w:tc>
          <w:tcPr>
            <w:tcW w:w="240" w:type="dxa"/>
            <w:vAlign w:val="bottom"/>
          </w:tcPr>
          <w:p>
            <w:pPr>
              <w:spacing w:after="0"/>
              <w:rPr>
                <w:sz w:val="24"/>
                <w:szCs w:val="2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12/31/2022)</w:t>
            </w:r>
          </w:p>
        </w:tc>
        <w:tc>
          <w:tcPr>
            <w:tcW w:w="260" w:type="dxa"/>
            <w:vAlign w:val="bottom"/>
          </w:tcPr>
          <w:p>
            <w:pPr>
              <w:spacing w:after="0"/>
              <w:rPr>
                <w:sz w:val="24"/>
                <w:szCs w:val="24"/>
                <w:color w:val="auto"/>
              </w:rPr>
            </w:pPr>
          </w:p>
        </w:tc>
        <w:tc>
          <w:tcPr>
            <w:tcW w:w="2140" w:type="dxa"/>
            <w:vAlign w:val="bottom"/>
            <w:tcBorders>
              <w:bottom w:val="single" w:sz="8" w:color="auto"/>
            </w:tcBorders>
            <w:gridSpan w:val="3"/>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9"/>
                <w:szCs w:val="29"/>
                <w:b w:val="1"/>
                <w:bCs w:val="1"/>
                <w:color w:val="auto"/>
                <w:w w:val="91"/>
                <w:vertAlign w:val="superscript"/>
              </w:rPr>
              <w:t>(6)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Total Annual</w:t>
            </w:r>
          </w:p>
        </w:tc>
        <w:tc>
          <w:tcPr>
            <w:tcW w:w="860" w:type="dxa"/>
            <w:vAlign w:val="bottom"/>
            <w:gridSpan w:val="2"/>
            <w:vMerge w:val="continue"/>
          </w:tcPr>
          <w:p>
            <w:pPr>
              <w:spacing w:after="0"/>
              <w:rPr>
                <w:sz w:val="16"/>
                <w:szCs w:val="16"/>
                <w:color w:val="auto"/>
              </w:rPr>
            </w:pPr>
          </w:p>
        </w:tc>
        <w:tc>
          <w:tcPr>
            <w:tcW w:w="8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Owned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6"/>
              </w:rPr>
              <w:t>% of Total</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6"/>
                <w:szCs w:val="26"/>
                <w:b w:val="1"/>
                <w:bCs w:val="1"/>
                <w:color w:val="auto"/>
                <w:vertAlign w:val="superscript"/>
              </w:rPr>
              <w:t>(1)</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(2)(4)</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Value</w:t>
            </w:r>
            <w:r>
              <w:rPr>
                <w:rFonts w:ascii="Times New Roman" w:cs="Times New Roman" w:eastAsia="Times New Roman" w:hAnsi="Times New Roman"/>
                <w:sz w:val="15"/>
                <w:szCs w:val="15"/>
                <w:b w:val="1"/>
                <w:bCs w:val="1"/>
                <w:color w:val="auto"/>
              </w:rPr>
              <w:t>(2)(5)</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35"/>
                <w:szCs w:val="35"/>
                <w:b w:val="1"/>
                <w:bCs w:val="1"/>
                <w:color w:val="auto"/>
                <w:w w:val="83"/>
                <w:vertAlign w:val="subscript"/>
              </w:rPr>
              <w:t>Value</w:t>
            </w:r>
            <w:r>
              <w:rPr>
                <w:rFonts w:ascii="Times New Roman" w:cs="Times New Roman" w:eastAsia="Times New Roman" w:hAnsi="Times New Roman"/>
                <w:sz w:val="15"/>
                <w:szCs w:val="15"/>
                <w:b w:val="1"/>
                <w:bCs w:val="1"/>
                <w:color w:val="auto"/>
                <w:w w:val="83"/>
              </w:rPr>
              <w:t>(2)(6)</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60" w:type="dxa"/>
            <w:vAlign w:val="bottom"/>
            <w:gridSpan w:val="2"/>
          </w:tcPr>
          <w:p>
            <w:pPr>
              <w:jc w:val="center"/>
              <w:ind w:right="160"/>
              <w:spacing w:after="0" w:line="235" w:lineRule="exact"/>
              <w:rPr>
                <w:sz w:val="20"/>
                <w:szCs w:val="20"/>
                <w:color w:val="auto"/>
              </w:rPr>
            </w:pPr>
            <w:r>
              <w:rPr>
                <w:rFonts w:ascii="Times New Roman" w:cs="Times New Roman" w:eastAsia="Times New Roman" w:hAnsi="Times New Roman"/>
                <w:sz w:val="17"/>
                <w:szCs w:val="17"/>
                <w:b w:val="1"/>
                <w:bCs w:val="1"/>
                <w:color w:val="auto"/>
                <w:w w:val="97"/>
              </w:rPr>
              <w:t>Units</w:t>
            </w:r>
            <w:r>
              <w:rPr>
                <w:rFonts w:ascii="Times New Roman" w:cs="Times New Roman" w:eastAsia="Times New Roman" w:hAnsi="Times New Roman"/>
                <w:sz w:val="27"/>
                <w:szCs w:val="27"/>
                <w:b w:val="1"/>
                <w:bCs w:val="1"/>
                <w:color w:val="auto"/>
                <w:w w:val="97"/>
                <w:vertAlign w:val="superscript"/>
              </w:rPr>
              <w:t>(1)</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5"/>
                <w:szCs w:val="15"/>
                <w:b w:val="1"/>
                <w:bCs w:val="1"/>
                <w:color w:val="auto"/>
              </w:rPr>
              <w:t>(3)</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20" w:type="dxa"/>
            <w:vAlign w:val="bottom"/>
            <w:gridSpan w:val="2"/>
            <w:vMerge w:val="continue"/>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1040" w:type="dxa"/>
            <w:vAlign w:val="bottom"/>
            <w:gridSpan w:val="2"/>
            <w:vMerge w:val="continue"/>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Target Cash</w:t>
            </w: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1"/>
                <w:szCs w:val="21"/>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198"/>
        </w:trPr>
        <w:tc>
          <w:tcPr>
            <w:tcW w:w="1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Glen A.</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Messina</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406,939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211,040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17,847,234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18,897,798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34,433,790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Anderson</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53,766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16,467</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2,028,329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2,147,725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3,913,383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George 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Henley</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57,814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7,211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1,877,922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1,988,465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3,623,193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98"/>
        </w:trPr>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Sean B.</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O’Neil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1,100,000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108,028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3,119,849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3,303,496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6,019,320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49,811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1,557,412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1,649,088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3,004,812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6,150,000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676,358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238,834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26,430,746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27,986,571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50,994,498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hanging="328"/>
        <w:spacing w:after="0" w:line="195"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equity includes shares of common stock beneficially owned plus unvested restricted stock units. For the vesting terms of our restricted stock units, see “Executive Compensation—Compensation Discussion and Analysis—2022 Long-Term Incentive (LTIP) Awards.”</w:t>
      </w:r>
    </w:p>
    <w:p>
      <w:pPr>
        <w:spacing w:after="0" w:line="1" w:lineRule="exact"/>
        <w:rPr>
          <w:rFonts w:ascii="Times New Roman" w:cs="Times New Roman" w:eastAsia="Times New Roman" w:hAnsi="Times New Roman"/>
          <w:sz w:val="30"/>
          <w:szCs w:val="30"/>
          <w:color w:val="auto"/>
          <w:vertAlign w:val="superscript"/>
        </w:rPr>
      </w:pPr>
    </w:p>
    <w:p>
      <w:pPr>
        <w:jc w:val="both"/>
        <w:ind w:left="660" w:hanging="328"/>
        <w:spacing w:after="0" w:line="225" w:lineRule="auto"/>
        <w:tabs>
          <w:tab w:leader="none" w:pos="66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Values reflect all outstanding stock units, including cash settled restricted stock units and excluding stock options, as of April 11, 2023, with performance-based units adjusted for interim performance as of March 31, 2023. There is no guarantee that time-based units or performance-based units will vest. Vesting of cash-settled stock units will reduce totals shown above. See “Compensation Discussion and Analysis - 2022 Long-Term Incentive (LTIP) Awards” and “Outstanding Equity Awards at Fiscal Year-End”, below, for additional detail on outstanding restricted stock units.</w:t>
      </w:r>
    </w:p>
    <w:p>
      <w:pPr>
        <w:spacing w:after="0" w:line="1" w:lineRule="exact"/>
        <w:rPr>
          <w:rFonts w:ascii="Times New Roman" w:cs="Times New Roman" w:eastAsia="Times New Roman" w:hAnsi="Times New Roman"/>
          <w:sz w:val="29"/>
          <w:szCs w:val="29"/>
          <w:color w:val="auto"/>
          <w:vertAlign w:val="superscript"/>
        </w:rPr>
      </w:pPr>
    </w:p>
    <w:p>
      <w:pPr>
        <w:ind w:left="660" w:right="20" w:hanging="328"/>
        <w:spacing w:after="0" w:line="187"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“Owned Shares” represents shares beneficially owned as of April 11, 2023. Includes shares held jointly, indirectly by spouse, and indirectly by trust.</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7"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April 11, 2023 share price and equity holdings. Our future stock price may vary materially from the closing price shown in the table. The closing price per share of our common stock on April 11, 2023 was $28.88 per share.</w:t>
      </w:r>
    </w:p>
    <w:p>
      <w:pPr>
        <w:spacing w:after="0" w:line="1" w:lineRule="exact"/>
        <w:rPr>
          <w:rFonts w:ascii="Times New Roman" w:cs="Times New Roman" w:eastAsia="Times New Roman" w:hAnsi="Times New Roman"/>
          <w:sz w:val="30"/>
          <w:szCs w:val="30"/>
          <w:color w:val="auto"/>
          <w:vertAlign w:val="superscript"/>
        </w:rPr>
      </w:pPr>
    </w:p>
    <w:p>
      <w:pPr>
        <w:ind w:left="660" w:hanging="328"/>
        <w:spacing w:after="0" w:line="187"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December 31, 2022 share price and April 11, 2023 equity holdings. Our future stock price may vary materially from the closing price shown in the table. The closing price per share of our common stock on December 31, 2022 was $30.58 per share.</w:t>
      </w:r>
    </w:p>
    <w:p>
      <w:pPr>
        <w:spacing w:after="0" w:line="1" w:lineRule="exact"/>
        <w:rPr>
          <w:rFonts w:ascii="Times New Roman" w:cs="Times New Roman" w:eastAsia="Times New Roman" w:hAnsi="Times New Roman"/>
          <w:sz w:val="30"/>
          <w:szCs w:val="30"/>
          <w:color w:val="auto"/>
          <w:vertAlign w:val="superscript"/>
        </w:rPr>
      </w:pPr>
    </w:p>
    <w:p>
      <w:pPr>
        <w:jc w:val="both"/>
        <w:ind w:left="660" w:hanging="328"/>
        <w:spacing w:after="0" w:line="204"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Calculations are based on April 11, 2023 equity holdings and fully diluted book value per share. Fully diluted book value per share is calculated based on the Company’s most recent publicly reported book value of $456.7 million at December 31, 2022 and 9,086,349 shares, comprised of 7,640,333 shares outstanding and 1,446,016 warrants held by Oaktree as of April 11, 2023. See “Business Relationships and Related Transactions</w:t>
      </w:r>
    </w:p>
    <w:p>
      <w:pPr>
        <w:spacing w:after="0" w:line="2" w:lineRule="exact"/>
        <w:rPr>
          <w:rFonts w:ascii="Times New Roman" w:cs="Times New Roman" w:eastAsia="Times New Roman" w:hAnsi="Times New Roman"/>
          <w:sz w:val="30"/>
          <w:szCs w:val="30"/>
          <w:color w:val="auto"/>
          <w:vertAlign w:val="superscript"/>
        </w:rPr>
      </w:pPr>
    </w:p>
    <w:p>
      <w:pPr>
        <w:jc w:val="both"/>
        <w:ind w:left="660"/>
        <w:spacing w:after="0" w:line="25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Relationship with Oaktree”, below. Assumes cashless exercise of Oaktree warrants using 10-day average of Volume Weighted Average Price (10 days ending on preceding day of exercise) on April 11, 2023 of $26.95. Does not give effect to issuance of shares underlying vested and unvested restricted stock units shown in table or stock options with strike prices above current trading prices.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shares owned and outstanding units granted to NEOs as of April 11, 2023 represent 10.2% of the diluted weighted average number (8,997,306) of shares of the Company’s common stock issued and outstanding in the 2022 fiscal year. When coupled with the holdings of non-management directors, as shown above, these groups collectively own shares and outstanding units representing 12.1% of the Company’s 2022 diluted weighted average shares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further below, awards granted to NEOs in 2022 also applied a one-year holding requirement to shares acquired on vesting of newly-granted RSUs to continue to promote strong governance and risk management practices.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Parties Involved in Compensation Decisions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governance of our executive compensation programs generally occurs through interaction of three groups: the Compensation Committee, the Compensation Committee’s independent compensation consultant, and management. In 2022,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responsible for overseeing the development and approval of our executive compensation and benefits policies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The Compensation Committee, consisting of three independent directors, is responsible for the design, review and approval of all aspects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program. Among its duties, the Compensation Committee formulates recommendations to the Board of Directors for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reviews and approves all compensation recommendations for the other NEOs. Adjustments are made by the Compensation Committee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judgment, taking into account compensation arrangements for comparable positions at peer group companies (discussed below), analysis prepared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the Compensation Committee’s independent compensation consultant, individual performance of the NEO, an assessment of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performance going forward and compensation levels necessary to maintain and attract quality personnel. Compensation levels are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upon a promotion or other change in job responsibility. The Company considers feedback from shareholders, including feedback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advisory votes on Ocwen’s executive compensation. Additionally, the Compensation Committee reviews an annual risk assessment prepared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Chief Risk and Compliance Officer to evaluate the likelihood that NEO incentive compensation plans may induce management actions inconsistent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Company’s risk appetite statement and core values.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review for NEOs also includes:</w:t>
      </w:r>
    </w:p>
    <w:p>
      <w:pPr>
        <w:spacing w:after="0" w:line="207"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AIP Corporate Scorecard, which drives the variable compensation for approximately 600 top managers of the company including the NEOs;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individual performance results to determine the AIP individual performance multiplier of each NEO;</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changes to compensation, including, but not limited to, base salary, short-term and long-term incentive award opportunities, severance payments and retention programs;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(which is considered generally without focus on any particular company or group of companies in the survey other than the peer group companies noted below) as well as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in 2022 is listed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Associated Banc-Corp</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Mr. Cooper Group Inc.</w:t>
            </w:r>
          </w:p>
        </w:tc>
      </w:tr>
      <w:tr>
        <w:trPr>
          <w:trHeight w:val="216"/>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BankUnited, Inc.</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Navient Corporation</w:t>
            </w:r>
          </w:p>
        </w:tc>
      </w:tr>
      <w:tr>
        <w:trPr>
          <w:trHeight w:val="216"/>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Finance of America Companies, Inc.</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PennyMac Financial Services, Inc.</w:t>
            </w:r>
          </w:p>
        </w:tc>
      </w:tr>
      <w:tr>
        <w:trPr>
          <w:trHeight w:val="216"/>
        </w:trPr>
        <w:tc>
          <w:tcPr>
            <w:tcW w:w="51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Radian Group Inc.</w:t>
            </w:r>
          </w:p>
        </w:tc>
      </w:tr>
      <w:tr>
        <w:trPr>
          <w:trHeight w:val="216"/>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Home Point Capital Inc.</w:t>
            </w:r>
          </w:p>
        </w:tc>
        <w:tc>
          <w:tcPr>
            <w:tcW w:w="61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South State Corporation</w:t>
            </w:r>
          </w:p>
        </w:tc>
      </w:tr>
      <w:tr>
        <w:trPr>
          <w:trHeight w:val="216"/>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8"/>
              </w:rPr>
              <w:t>LendingTree, Inc.</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16"/>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loanDepot, Inc.</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Walker &amp; Dunlop, Inc.</w:t>
            </w:r>
          </w:p>
        </w:tc>
      </w:tr>
      <w:tr>
        <w:trPr>
          <w:trHeight w:val="234"/>
        </w:trPr>
        <w:tc>
          <w:tcPr>
            <w:tcW w:w="510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61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Webster Financial Corporation</w:t>
            </w:r>
          </w:p>
        </w:tc>
      </w:tr>
      <w:tr>
        <w:trPr>
          <w:trHeight w:val="439"/>
        </w:trPr>
        <w:tc>
          <w:tcPr>
            <w:tcW w:w="51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How We Make Compensation Decisions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our executive and other compensation programs are developed and refined through a year’s worth of analysis and decision-making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 typical year’s work is summarized below:</w:t>
      </w:r>
    </w:p>
    <w:p>
      <w:pPr>
        <w:spacing w:after="0" w:line="203" w:lineRule="exact"/>
        <w:rPr>
          <w:sz w:val="20"/>
          <w:szCs w:val="20"/>
          <w:color w:val="auto"/>
        </w:rPr>
      </w:pPr>
    </w:p>
    <w:p>
      <w:pPr>
        <w:ind w:left="800"/>
        <w:spacing w:after="0"/>
        <w:tabs>
          <w:tab w:leader="none" w:pos="3640" w:val="left"/>
          <w:tab w:leader="none" w:pos="6580" w:val="left"/>
          <w:tab w:leader="none" w:pos="9420" w:val="left"/>
        </w:tabs>
        <w:rPr>
          <w:sz w:val="20"/>
          <w:szCs w:val="20"/>
          <w:color w:val="auto"/>
        </w:rPr>
      </w:pPr>
      <w:r>
        <w:rPr>
          <w:rFonts w:ascii="Times New Roman" w:cs="Times New Roman" w:eastAsia="Times New Roman" w:hAnsi="Times New Roman"/>
          <w:sz w:val="18"/>
          <w:szCs w:val="18"/>
          <w:b w:val="1"/>
          <w:bCs w:val="1"/>
          <w:color w:val="auto"/>
        </w:rPr>
        <w:t>QUARTER 1</w:t>
      </w:r>
      <w:r>
        <w:rPr>
          <w:sz w:val="20"/>
          <w:szCs w:val="20"/>
          <w:color w:val="auto"/>
        </w:rPr>
        <w:tab/>
      </w:r>
      <w:r>
        <w:rPr>
          <w:rFonts w:ascii="Times New Roman" w:cs="Times New Roman" w:eastAsia="Times New Roman" w:hAnsi="Times New Roman"/>
          <w:sz w:val="18"/>
          <w:szCs w:val="18"/>
          <w:b w:val="1"/>
          <w:bCs w:val="1"/>
          <w:color w:val="auto"/>
        </w:rPr>
        <w:t>QUARTER 2</w:t>
      </w:r>
      <w:r>
        <w:rPr>
          <w:sz w:val="20"/>
          <w:szCs w:val="20"/>
          <w:color w:val="auto"/>
        </w:rPr>
        <w:tab/>
      </w:r>
      <w:r>
        <w:rPr>
          <w:rFonts w:ascii="Times New Roman" w:cs="Times New Roman" w:eastAsia="Times New Roman" w:hAnsi="Times New Roman"/>
          <w:sz w:val="18"/>
          <w:szCs w:val="18"/>
          <w:b w:val="1"/>
          <w:bCs w:val="1"/>
          <w:color w:val="auto"/>
        </w:rPr>
        <w:t>QUARTER 3</w:t>
      </w:r>
      <w:r>
        <w:rPr>
          <w:sz w:val="20"/>
          <w:szCs w:val="20"/>
          <w:color w:val="auto"/>
        </w:rPr>
        <w:tab/>
      </w:r>
      <w:r>
        <w:rPr>
          <w:rFonts w:ascii="Times New Roman" w:cs="Times New Roman" w:eastAsia="Times New Roman" w:hAnsi="Times New Roman"/>
          <w:sz w:val="18"/>
          <w:szCs w:val="18"/>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Evaluate the Company’s prior</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year performance against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financial and strategic metrics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in the prior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AIP scorecard.</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Review and evaluate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individual performance of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CEO and each of our other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NEOs and other executive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Prepare the Compensation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Committee’s report and CD&amp;A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Proxy Statement.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Review and discuss Say-on-Pay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voting recommendations from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proxy advisory firms.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41" w:right="360" w:hanging="341"/>
        <w:spacing w:after="0" w:line="253" w:lineRule="auto"/>
        <w:tabs>
          <w:tab w:leader="none" w:pos="3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 review of the Company’s designated peer group to determine if any changes need to be made in order for it to remain appropriate.</w:t>
      </w:r>
    </w:p>
    <w:p>
      <w:pPr>
        <w:spacing w:after="0" w:line="5" w:lineRule="exact"/>
        <w:rPr>
          <w:rFonts w:ascii="Times New Roman" w:cs="Times New Roman" w:eastAsia="Times New Roman" w:hAnsi="Times New Roman"/>
          <w:sz w:val="18"/>
          <w:szCs w:val="18"/>
          <w:color w:val="auto"/>
        </w:rPr>
      </w:pPr>
    </w:p>
    <w:p>
      <w:pPr>
        <w:ind w:left="341" w:hanging="341"/>
        <w:spacing w:after="0" w:line="270" w:lineRule="auto"/>
        <w:tabs>
          <w:tab w:leader="none" w:pos="34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shareholder engagement focused on the Say-on-Pay vote at the Annual Meeting to inform pay decisions and design compensation programs for the coming year.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325" w:right="160" w:hanging="325"/>
        <w:spacing w:after="0" w:line="261" w:lineRule="auto"/>
        <w:tabs>
          <w:tab w:leader="none" w:pos="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shareholder engagement focused on Say-on-Pay vote at the Annual Meeting.</w:t>
      </w:r>
    </w:p>
    <w:p>
      <w:pPr>
        <w:spacing w:after="0" w:line="395" w:lineRule="exact"/>
        <w:rPr>
          <w:rFonts w:ascii="Times New Roman" w:cs="Times New Roman" w:eastAsia="Times New Roman" w:hAnsi="Times New Roman"/>
          <w:sz w:val="18"/>
          <w:szCs w:val="18"/>
          <w:color w:val="auto"/>
        </w:rPr>
      </w:pPr>
    </w:p>
    <w:p>
      <w:pPr>
        <w:ind w:left="325" w:right="180" w:hanging="325"/>
        <w:spacing w:after="0" w:line="289" w:lineRule="auto"/>
        <w:tabs>
          <w:tab w:leader="none" w:pos="32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goals and objectives of the Company’s compensation programs.</w:t>
      </w:r>
    </w:p>
    <w:p>
      <w:pPr>
        <w:spacing w:after="0" w:line="805" w:lineRule="exact"/>
        <w:rPr>
          <w:sz w:val="20"/>
          <w:szCs w:val="20"/>
          <w:color w:val="auto"/>
        </w:rPr>
      </w:pPr>
    </w:p>
    <w:p>
      <w:pPr>
        <w:sectPr>
          <w:pgSz w:w="11900" w:h="16838" w:orient="portrait"/>
          <w:cols w:equalWidth="0" w:num="4">
            <w:col w:w="2500" w:space="320"/>
            <w:col w:w="2660" w:space="279"/>
            <w:col w:w="2681" w:space="235"/>
            <w:col w:w="2565"/>
          </w:cols>
          <w:pgMar w:left="320" w:top="684" w:right="339" w:bottom="1440" w:gutter="0" w:footer="0" w:header="0"/>
          <w:type w:val="continuous"/>
        </w:sect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Determine the payouts to be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made under the AIP based 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year’s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Determine total target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levels for our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NEOs and other executive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officers, as informed by both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market data and prior year’s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Establish the structure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targets for the current year’s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AIP to align with the financial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strategic priorities for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Establish the structure for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year’s LTIP awards,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including TSR or other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objective.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Roles of Executive Officers</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Review and discuss the results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the voting at the Annual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Review reports from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Committee’s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independent compensation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consultants on practices and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trends in the industry.</w:t>
      </w:r>
    </w:p>
    <w:p>
      <w:pPr>
        <w:spacing w:after="0" w:line="20" w:lineRule="exact"/>
        <w:rPr>
          <w:sz w:val="20"/>
          <w:szCs w:val="20"/>
          <w:color w:val="auto"/>
        </w:rPr>
      </w:pPr>
      <w:r>
        <w:rPr>
          <w:sz w:val="20"/>
          <w:szCs w:val="20"/>
          <w:color w:val="auto"/>
        </w:rPr>
        <w:br w:type="column"/>
      </w:r>
    </w:p>
    <w:p>
      <w:pPr>
        <w:spacing w:after="0"/>
        <w:tabs>
          <w:tab w:leader="none" w:pos="320" w:val="left"/>
          <w:tab w:leader="none" w:pos="2900" w:val="left"/>
          <w:tab w:leader="none" w:pos="3220" w:val="left"/>
        </w:tabs>
        <w:rPr>
          <w:sz w:val="20"/>
          <w:szCs w:val="20"/>
          <w:color w:val="auto"/>
        </w:rPr>
      </w:pPr>
      <w:r>
        <w:rPr>
          <w:rFonts w:ascii="Times New Roman" w:cs="Times New Roman" w:eastAsia="Times New Roman" w:hAnsi="Times New Roman"/>
          <w:sz w:val="18"/>
          <w:szCs w:val="18"/>
          <w:color w:val="auto"/>
        </w:rPr>
        <w:t>●</w:t>
        <w:tab/>
        <w:t>Review human capital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Conduct an assessment of</w:t>
      </w:r>
    </w:p>
    <w:p>
      <w:pPr>
        <w:spacing w:after="0" w:line="27" w:lineRule="exact"/>
        <w:rPr>
          <w:sz w:val="20"/>
          <w:szCs w:val="20"/>
          <w:color w:val="auto"/>
        </w:rPr>
      </w:pPr>
    </w:p>
    <w:p>
      <w:pPr>
        <w:ind w:left="340"/>
        <w:spacing w:after="0"/>
        <w:tabs>
          <w:tab w:leader="none" w:pos="3220" w:val="left"/>
        </w:tabs>
        <w:rPr>
          <w:sz w:val="20"/>
          <w:szCs w:val="20"/>
          <w:color w:val="auto"/>
        </w:rPr>
      </w:pPr>
      <w:r>
        <w:rPr>
          <w:rFonts w:ascii="Times New Roman" w:cs="Times New Roman" w:eastAsia="Times New Roman" w:hAnsi="Times New Roman"/>
          <w:sz w:val="18"/>
          <w:szCs w:val="18"/>
          <w:color w:val="auto"/>
        </w:rPr>
        <w:t>initiatives to support growth.</w:t>
      </w:r>
      <w:r>
        <w:rPr>
          <w:sz w:val="20"/>
          <w:szCs w:val="20"/>
          <w:color w:val="auto"/>
        </w:rPr>
        <w:tab/>
      </w:r>
      <w:r>
        <w:rPr>
          <w:rFonts w:ascii="Times New Roman" w:cs="Times New Roman" w:eastAsia="Times New Roman" w:hAnsi="Times New Roman"/>
          <w:sz w:val="17"/>
          <w:szCs w:val="17"/>
          <w:color w:val="auto"/>
        </w:rPr>
        <w:t>executive compensation and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compensation against peer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group and relevant general</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survey data provided by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Compensation Committee’s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independent compensation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consultant.</w:t>
      </w:r>
    </w:p>
    <w:p>
      <w:pPr>
        <w:spacing w:after="0" w:line="207" w:lineRule="exact"/>
        <w:rPr>
          <w:sz w:val="20"/>
          <w:szCs w:val="20"/>
          <w:color w:val="auto"/>
        </w:rPr>
      </w:pPr>
    </w:p>
    <w:p>
      <w:pPr>
        <w:ind w:left="2920"/>
        <w:spacing w:after="0"/>
        <w:tabs>
          <w:tab w:leader="none" w:pos="3220" w:val="left"/>
        </w:tabs>
        <w:rPr>
          <w:sz w:val="20"/>
          <w:szCs w:val="20"/>
          <w:color w:val="auto"/>
        </w:rPr>
      </w:pPr>
      <w:r>
        <w:rPr>
          <w:rFonts w:ascii="Times New Roman" w:cs="Times New Roman" w:eastAsia="Times New Roman" w:hAnsi="Times New Roman"/>
          <w:sz w:val="18"/>
          <w:szCs w:val="18"/>
          <w:color w:val="auto"/>
        </w:rPr>
        <w:t>●</w:t>
        <w:tab/>
        <w:t>Conduct comprehensive, risk-</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based review of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Company’s compensation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policies and practices that is</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designed to ensure appropriate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mitigation of undue risk.</w:t>
      </w:r>
    </w:p>
    <w:p>
      <w:pPr>
        <w:spacing w:after="0" w:line="2985" w:lineRule="exact"/>
        <w:rPr>
          <w:sz w:val="20"/>
          <w:szCs w:val="20"/>
          <w:color w:val="auto"/>
        </w:rPr>
      </w:pPr>
    </w:p>
    <w:p>
      <w:pPr>
        <w:sectPr>
          <w:pgSz w:w="11900" w:h="16838" w:orient="portrait"/>
          <w:cols w:equalWidth="0" w:num="3">
            <w:col w:w="2520" w:space="300"/>
            <w:col w:w="2540" w:space="400"/>
            <w:col w:w="5480"/>
          </w:cols>
          <w:pgMar w:left="320" w:top="684" w:right="339" w:bottom="1440" w:gutter="0" w:footer="0" w:header="0"/>
          <w:type w:val="continuous"/>
        </w:sectPr>
      </w:pP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Independent Compensation Consultant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role of the Compensation Committee’s independent compensation consultant,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WTW’s engagement does not raise any conflict of interest with the Company or any of its directors or executive officers. WTW performed a number of services for the Compensation Committee, including but not limited to reviewing and providing guidance on:</w:t>
      </w:r>
    </w:p>
    <w:p>
      <w:pPr>
        <w:spacing w:after="0" w:line="189" w:lineRule="exact"/>
        <w:rPr>
          <w:sz w:val="20"/>
          <w:szCs w:val="20"/>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annual AIP and LTIP awards;</w:t>
      </w:r>
    </w:p>
    <w:p>
      <w:pPr>
        <w:spacing w:after="0" w:line="27"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compensation of our NEOs;</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peer group for purposes of informing compensation decisions;</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proxy advisory firms, including ISS and Glass Lewis, relating to the proxy statement;</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competitiveness of the compensation of our independent directors; and</w:t>
      </w:r>
    </w:p>
    <w:p>
      <w:pPr>
        <w:spacing w:after="0" w:line="9"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best practices for executive and independent director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Engagement and Consideration of Shareholder Advisors’ Input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such as ISS, to the extent these institutions’ recommendations are aligned with the interests of our shareholders. Shareholder input has helped shape our approach towards LTIP awards and related performance metrics and strengthened how we implement our pay-for-performance philosophy. We aspire to continued strong support for our executive pay decisions; in 2022, 94% of shareholder advisory votes were cast in favor of our Say-on-Pay proposal. We also intend to continue to hold an advisory Say-on-Pay vote at each annual meeting of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Key Governance Considerations in How We Design and Implement Our Compensation Programs</w:t>
      </w:r>
    </w:p>
    <w:p>
      <w:pPr>
        <w:sectPr>
          <w:pgSz w:w="11900" w:h="16838" w:orient="portrait"/>
          <w:cols w:equalWidth="0" w:num="1">
            <w:col w:w="11240"/>
          </w:cols>
          <w:pgMar w:left="320" w:top="684"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975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Most of our NEOs’ pay is at-risk and not guaranteed. We set clear and transparent financial and strategic goals within our short- and long-term incentive awards which include performance-based vesting conditions.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Discourage excessive risk taking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 an independent compensation consultant</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Compensation Committee has retained the services of WTW as an independent consultant that reports directly to the Chair of the Compensation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Caps on annual incentives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practice under the AIP provides for a maximum payout opportunity at 150% of the target incentive.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Introduced holding requirement for shares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Effective with equity granted to executives on or after March 31, 2022, shares acquired on vesting pursuant to those awards will be subject to a one-year holding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4886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fixed term of employment agreements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tax gross-ups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option back-dating, re-pricing or reloading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permit back-dating, re-pricing of stock options, or reloading of stock options. No stock options are granted with exercise prices that are below the closing price of Ocwen stock on the date of grant.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 or pledging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“single-trigger” LTIP awards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LTIP awards do not 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91" w:lineRule="exact"/>
        <w:rPr>
          <w:sz w:val="20"/>
          <w:szCs w:val="20"/>
          <w:color w:val="auto"/>
        </w:rPr>
      </w:pPr>
    </w:p>
    <w:p>
      <w:pPr>
        <w:sectPr>
          <w:pgSz w:w="11900" w:h="16838" w:orient="portrait"/>
          <w:cols w:equalWidth="0" w:num="2">
            <w:col w:w="5520" w:space="220"/>
            <w:col w:w="5500"/>
          </w:cols>
          <w:pgMar w:left="320" w:top="684"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2022, the variable (AIP) proportion of total target cash compensation is 60% for the CEO and 50% for other NEOs.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2022, the Compensation Committee adjusted compensation targets for Mr. Messina and Mr. Zeleny and approved new hire compensation for Mr. O’Neil. Effective March 31, 2022, following consideration of compensation peer group benchmarking, Mr. Messina’s salary was increased $100,000 and Mr. Zeleny’s salary was increased $25,000, changes which reflected both executives’ strong performance, leadership and criticality to ongoing strategic initiatives. Mr. O’Neil was hired June 13, 2022 as Executive Vice President and Chief Financial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table below reflects each NEO’s 2022 base salary and AIP target and a comparison against 2021 compensation levels.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6"/>
              </w:rPr>
              <w:t>Annual AIP Target</w:t>
            </w:r>
            <w:r>
              <w:rPr>
                <w:rFonts w:ascii="Times New Roman" w:cs="Times New Roman" w:eastAsia="Times New Roman" w:hAnsi="Times New Roman"/>
                <w:sz w:val="29"/>
                <w:szCs w:val="29"/>
                <w:b w:val="1"/>
                <w:bCs w:val="1"/>
                <w:color w:val="auto"/>
                <w:w w:val="96"/>
                <w:vertAlign w:val="superscript"/>
              </w:rPr>
              <w:t>(1)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Annual Total Target Cash</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Annual Salary</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12/31/2021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12/31/2022</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Total</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 and % of</w:t>
            </w: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and % of</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 AIP</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4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0" w:type="dxa"/>
            <w:vAlign w:val="bottom"/>
          </w:tcPr>
          <w:p>
            <w:pPr>
              <w:spacing w:after="0"/>
              <w:rPr>
                <w:sz w:val="1"/>
                <w:szCs w:val="1"/>
                <w:color w:val="auto"/>
              </w:rPr>
            </w:pPr>
          </w:p>
        </w:tc>
      </w:tr>
      <w:tr>
        <w:trPr>
          <w:trHeight w:val="24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Salary)</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(2)</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900,000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1,350,000</w:t>
            </w:r>
          </w:p>
        </w:tc>
        <w:tc>
          <w:tcPr>
            <w:tcW w:w="2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  1,500,000  150%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2,250,000</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500,000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1,000,000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1,000,000</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550,000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1,100,000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(3)</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475,000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475,000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950,000</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Final AIP targets are pro-rated for mid-year compensation changes.</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Effective March 30, 2022, Mr. Messina’s salary was increased to $1,000,000 and his annual AIP target remains 150% of salary.</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Effective March 30, 2022, Mr. Zeleny’s salary was increased to $500,000 and his annual AIP target remains 100% of salary.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Annual Incentive Plan (AIP)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Ocwen’s annual incentive compensation opportunity for eligible employees, including our executive officers, is provided under the 1998 Annual Incentive Plan, as amended, which has been approved by our shareholders. The AIP award opportunity motivates executives to deliver against the Board-approved business plan and the key initiatives that the Compensation Committee, working with the CEO, management and the Compensation Committee’s independent advisor, believes will enhance Company performance and create a path for long-term shareholder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AIP award opportunities for each NEO were based on a combination of organization and individual performance, as summarized below and followed with additional detail further below:</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performance against the Corporate Scorecard objectives is used to calculate preliminary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Scorecard results are then adjusted by a service excellence modifier to establish the baseline funding level for the entire plan.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there, organizational performance funding is allocated to each business unit and its managing NEO based on an assessment of the business unit’s achievement of its key priorities and the corresponding contributions to overall Corporate Scorecard results.</w:t>
      </w:r>
    </w:p>
    <w:p>
      <w:pPr>
        <w:ind w:left="660" w:hanging="328"/>
        <w:spacing w:after="0" w:line="26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each NEO’s award is adjusted based on an assessment of his or her individual performance against a number of key objectives unique to him or her, including demonstrated leadership in creating and sustaining a high-performing culture.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Scorecard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2022 Corporate Scorecard objectives, shown below with final performance results, were directly aligned to the Board-approved 2022 business plan and our key business priorities, as follows:</w:t>
      </w:r>
    </w:p>
    <w:p>
      <w:pPr>
        <w:spacing w:after="0" w:line="18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growth to navigate a dynamic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mix of higher margin products, services and channels,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cost leadership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upon high-quality operational execution,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engagement,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excellence.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performance, including net income and return on equity, constituted 63% of the overall scorecard weight as sustaining profitability was critical to delivering on shareholder expectations. Our other priorities were necessary to enable growth and improve efficiencies, and our focus on maintaining key employees in the midst of change is vital to our long-term success and our mission, values and operating principles. Additionally, because “helping homeowners is what we do”, the scorecard results are adjusted +/- 20% by a service excellence modifier that assesses how we deliver on our commitments to our customers and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AIP Scorecard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Service Excellence Modifier</w:t>
            </w: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of Achievement</w:t>
            </w:r>
          </w:p>
        </w:tc>
        <w:tc>
          <w:tcPr>
            <w:tcW w:w="22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 of Target Opportunity</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Target Opportunity</w:t>
            </w:r>
          </w:p>
        </w:tc>
      </w:tr>
      <w:tr>
        <w:trPr>
          <w:trHeight w:val="243"/>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Borders>
              <w:top w:val="single" w:sz="8" w:color="CCEEFF"/>
            </w:tcBorders>
            <w:shd w:val="clear" w:color="auto" w:fill="CCEEFF"/>
          </w:tcPr>
          <w:p>
            <w:pPr>
              <w:spacing w:after="0"/>
              <w:rPr>
                <w:sz w:val="21"/>
                <w:szCs w:val="21"/>
                <w:color w:val="auto"/>
              </w:rPr>
            </w:pPr>
          </w:p>
        </w:tc>
        <w:tc>
          <w:tcPr>
            <w:tcW w:w="22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w:t>
            </w:r>
          </w:p>
        </w:tc>
        <w:tc>
          <w:tcPr>
            <w:tcW w:w="2240" w:type="dxa"/>
            <w:vAlign w:val="bottom"/>
          </w:tcPr>
          <w:p>
            <w:pPr>
              <w:spacing w:after="0"/>
              <w:rPr>
                <w:sz w:val="21"/>
                <w:szCs w:val="21"/>
                <w:color w:val="auto"/>
              </w:rPr>
            </w:pP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100%</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Threshold</w:t>
            </w:r>
          </w:p>
        </w:tc>
        <w:tc>
          <w:tcPr>
            <w:tcW w:w="2240" w:type="dxa"/>
            <w:vAlign w:val="bottom"/>
          </w:tcPr>
          <w:p>
            <w:pPr>
              <w:spacing w:after="0"/>
              <w:rPr>
                <w:sz w:val="21"/>
                <w:szCs w:val="21"/>
                <w:color w:val="auto"/>
              </w:rPr>
            </w:pP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measured the level of performance achievement against scorecard and modifier objectives using quantitative assessments. The level of achievement was determined using straight-line interpolation between the “threshold”, “target” and “maximum” anchor posts, as applicable. Qualitative assessments were also applied to ensure achievement levels were consistent with expected broader strategic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Committee’s assessment of the level of performance achieved against scorecard and modifier objectives, the information on which the Committee based its assessment was first reviewed and verified by the Company’s internal audit, finance and risk management functions.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final performance and the relative weightings assigned to each objective in both the Scorecard and modifier, the overall Corporate Scorecard funding was 63.7%, which was then multiplied by the 118.6% service excellence modifier for total results of 75.6%. Our Corporate Scorecard and service excellence modifier and corresponding achievement levels for each are detailed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26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0" w:type="dxa"/>
            <w:vAlign w:val="bottom"/>
          </w:tcPr>
          <w:p>
            <w:pPr>
              <w:spacing w:after="0"/>
              <w:rPr>
                <w:sz w:val="1"/>
                <w:szCs w:val="1"/>
                <w:color w:val="auto"/>
              </w:rPr>
            </w:pPr>
          </w:p>
        </w:tc>
      </w:tr>
      <w:tr>
        <w:trPr>
          <w:trHeight w:val="245"/>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Corporate Scorecard Objective</w:t>
            </w: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Outcome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Profitability(1)</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1a. Full-Year GAAP Net Income ($M)</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1b. Full-Year Adjusted Pre-Tax</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($M)</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1b. Second Half After-Tax Return On</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(ROE), excluding notables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Excellence</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2. Total Servicing Additions at Plan</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line="221" w:lineRule="exact"/>
              <w:rPr>
                <w:sz w:val="20"/>
                <w:szCs w:val="20"/>
                <w:color w:val="auto"/>
              </w:rPr>
            </w:pPr>
            <w:r>
              <w:rPr>
                <w:rFonts w:ascii="Times New Roman" w:cs="Times New Roman" w:eastAsia="Times New Roman" w:hAnsi="Times New Roman"/>
                <w:sz w:val="16"/>
                <w:szCs w:val="16"/>
                <w:b w:val="1"/>
                <w:bCs w:val="1"/>
                <w:color w:val="auto"/>
              </w:rPr>
              <w:t>Mix (UPB, $B)</w:t>
            </w:r>
            <w:r>
              <w:rPr>
                <w:rFonts w:ascii="Times New Roman" w:cs="Times New Roman" w:eastAsia="Times New Roman" w:hAnsi="Times New Roman"/>
                <w:sz w:val="25"/>
                <w:szCs w:val="25"/>
                <w:b w:val="1"/>
                <w:bCs w:val="1"/>
                <w:color w:val="auto"/>
                <w:vertAlign w:val="superscript"/>
              </w:rPr>
              <w:t>(2)</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82.3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1080" w:type="dxa"/>
            <w:vAlign w:val="bottom"/>
          </w:tcPr>
          <w:p>
            <w:pPr>
              <w:jc w:val="right"/>
              <w:ind w:right="173"/>
              <w:spacing w:after="0" w:line="81" w:lineRule="exact"/>
              <w:rPr>
                <w:sz w:val="20"/>
                <w:szCs w:val="20"/>
                <w:color w:val="auto"/>
              </w:rPr>
            </w:pPr>
            <w:r>
              <w:rPr>
                <w:rFonts w:ascii="Times New Roman" w:cs="Times New Roman" w:eastAsia="Times New Roman" w:hAnsi="Times New Roman"/>
                <w:sz w:val="9"/>
                <w:szCs w:val="9"/>
                <w:color w:val="auto"/>
              </w:rPr>
              <w:t>10.5</w:t>
            </w:r>
          </w:p>
        </w:tc>
        <w:tc>
          <w:tcPr>
            <w:tcW w:w="3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tcPr>
          <w:p>
            <w:pPr>
              <w:jc w:val="right"/>
              <w:ind w:right="113"/>
              <w:spacing w:after="0" w:line="81" w:lineRule="exact"/>
              <w:rPr>
                <w:sz w:val="20"/>
                <w:szCs w:val="20"/>
                <w:color w:val="auto"/>
              </w:rPr>
            </w:pPr>
            <w:r>
              <w:rPr>
                <w:rFonts w:ascii="Times New Roman" w:cs="Times New Roman" w:eastAsia="Times New Roman" w:hAnsi="Times New Roman"/>
                <w:sz w:val="9"/>
                <w:szCs w:val="9"/>
                <w:color w:val="auto"/>
              </w:rPr>
              <w:t>9.40</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3a. Productivity: Originations</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Fully-loaded expenses as a percent of</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Originations revenue (%)</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3b. Productivity: Servicing</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Fully-loaded expenses as a percent of</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UPB (bps)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22"/>
                <w:szCs w:val="22"/>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tcPr>
          <w:p>
            <w:pPr>
              <w:spacing w:after="0"/>
              <w:rPr>
                <w:sz w:val="22"/>
                <w:szCs w:val="22"/>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3c. Productivity: Enabling Functions</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Fully-loaded expenses as a percent of</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UPB (bps)</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194"/>
        </w:trPr>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4. Employees: Diversity, Equity &amp;</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Inclusion (DE&amp;I)</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Execute against goals containing in the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four pillars of DE&amp;I Road Map (% of</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goals achieved)</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5a. Quality Operational Excellence:</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Originations</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significant defect rates (SDR)</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across Reverse and Recapture (monthly</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000" w:type="dxa"/>
            <w:vAlign w:val="bottom"/>
            <w:shd w:val="clear" w:color="auto" w:fill="CCEEFF"/>
          </w:tcPr>
          <w:p>
            <w:pPr>
              <w:spacing w:after="0" w:line="298" w:lineRule="exact"/>
              <w:rPr>
                <w:sz w:val="20"/>
                <w:szCs w:val="20"/>
                <w:color w:val="auto"/>
              </w:rPr>
            </w:pPr>
            <w:r>
              <w:rPr>
                <w:rFonts w:ascii="Times New Roman" w:cs="Times New Roman" w:eastAsia="Times New Roman" w:hAnsi="Times New Roman"/>
                <w:sz w:val="18"/>
                <w:szCs w:val="18"/>
                <w:color w:val="auto"/>
              </w:rPr>
              <w:t>ending average)</w:t>
            </w:r>
            <w:r>
              <w:rPr>
                <w:rFonts w:ascii="Times New Roman" w:cs="Times New Roman" w:eastAsia="Times New Roman" w:hAnsi="Times New Roman"/>
                <w:sz w:val="29"/>
                <w:szCs w:val="29"/>
                <w:color w:val="auto"/>
                <w:vertAlign w:val="superscript"/>
              </w:rPr>
              <w:t>(3)</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194"/>
        </w:trPr>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5b. Quality Operational Excellence:</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 Residential and Commercial</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metrics within</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000" w:type="dxa"/>
            <w:vAlign w:val="bottom"/>
          </w:tcPr>
          <w:p>
            <w:pPr>
              <w:spacing w:after="0" w:line="298" w:lineRule="exact"/>
              <w:rPr>
                <w:sz w:val="20"/>
                <w:szCs w:val="20"/>
                <w:color w:val="auto"/>
              </w:rPr>
            </w:pPr>
            <w:r>
              <w:rPr>
                <w:rFonts w:ascii="Times New Roman" w:cs="Times New Roman" w:eastAsia="Times New Roman" w:hAnsi="Times New Roman"/>
                <w:sz w:val="18"/>
                <w:szCs w:val="18"/>
                <w:color w:val="auto"/>
              </w:rPr>
              <w:t>specifications</w:t>
            </w:r>
            <w:r>
              <w:rPr>
                <w:rFonts w:ascii="Times New Roman" w:cs="Times New Roman" w:eastAsia="Times New Roman" w:hAnsi="Times New Roman"/>
                <w:sz w:val="29"/>
                <w:szCs w:val="29"/>
                <w:color w:val="auto"/>
                <w:vertAlign w:val="superscript"/>
              </w:rPr>
              <w:t>(4)</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Full-Year GAAP Net Income and Adjusted Pre-Tax Income are inclusive of expense accrual for AIP. Second Half After-Tax Return On Equity (ROE) in Q3 and Q4 is calculated as Q3 and Q4 GAAP Net Income divided by Average of Q1 and Q2 Total Equity and Q3 and Q4 Total Equity. For a discussion of how we measure pre-tax income before notable items and a reconciliation to financial measures prepared under Generally Accepted Accounting Principles (GAAP), please see our Current Report on Form 8-K filed with the Securities and Exchange Commission on February 28, 2023.</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MSR volume additions are subject to a percentage modifier based upon the revenue from higher margin origination channels (defined as Consumer Direct, Correspondent – Best Efforts, Correspondent – Non-Delegated, Reverse, and GNMA PIIT). This modifier can increase or decrease the credit given for MSR additions based upon the tier of revenue achieved by these higher margin channels. Subservicing additions are subject to a percentage modifier based upon revenue from reverse subservicing. This modifier can increase or decrease the credit given for subservicing additions based upon the tier of revenue achieved by the reverse subservicing business.</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Final significant defect rates are calculated as the sum of all defects identified as a part of Quality Assurance (QA) reviews divided by the total sample size over the same period.</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of Servicing metrics within specifications is a meta-metric across the Servicing segment that is the sum of passing reviews from the Monthly Business Review and GSE QA in 2022 divided by the total reviews in 2022.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initial Corporate Scorecard included an employee engagement metric weighted at 5%, measuring Q4 2022 employee survey results versus industry and geographic benchmarks. Management eliminated the survey as part of an expense reduction plan during the second half of the year. As such, the 5% weight for that metric was reallocated evenly among the remaining metrics (as shown above) so as not to favor any metric over another.</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Management remained focused on employee engagement throughout the year notwithstanding the absence of a Scorecard metric, including initiatives to improve communication, professional development, recognition and work-life balance.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&amp; Inclusion (see 4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Diversity, equity, inclusiveness and respect are integral parts of our culture and work environment, and we are committed to being a globally diverse and inclusive workplace where every voice is heard. Our DE&amp;I strategy, which we refer to as our “road map”, is built around the four pillars of our diversity program, with numerous initiatives and short-term actions to support each one. Our 2022 goals and key results are summarized below:</w:t>
      </w:r>
    </w:p>
    <w:p>
      <w:pPr>
        <w:sectPr>
          <w:pgSz w:w="11900" w:h="16838" w:orient="portrait"/>
          <w:cols w:equalWidth="0" w:num="1">
            <w:col w:w="11240"/>
          </w:cols>
          <w:pgMar w:left="320" w:top="684"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Pillar</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Road Map Goals</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240" w:type="dxa"/>
            <w:vAlign w:val="bottom"/>
          </w:tcPr>
          <w:p>
            <w:pPr>
              <w:spacing w:after="0"/>
              <w:rPr>
                <w:sz w:val="17"/>
                <w:szCs w:val="17"/>
                <w:color w:val="auto"/>
              </w:rPr>
            </w:pPr>
          </w:p>
        </w:tc>
        <w:tc>
          <w:tcPr>
            <w:tcW w:w="4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Strengthen the understanding and commitment of DE&amp;I</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throughout all levels of the organization. Ensure all leaders</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fully understand the benefit of DE&amp;I and can demonstrate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inclusive work strategies.</w:t>
            </w:r>
          </w:p>
        </w:tc>
      </w:tr>
      <w:tr>
        <w:trPr>
          <w:trHeight w:val="63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Increase our ability to attract and hire diverse talent and</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improve our DE&amp;I brand.</w:t>
            </w:r>
          </w:p>
        </w:tc>
      </w:tr>
      <w:tr>
        <w:trPr>
          <w:trHeight w:val="41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Community Engagement</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Continue efforts to support external community</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engagement partnerships.</w:t>
            </w:r>
          </w:p>
        </w:tc>
      </w:tr>
      <w:tr>
        <w:trPr>
          <w:trHeight w:val="63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Vendor Diversity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w w:val="99"/>
              </w:rPr>
              <w:t>Strengthen partnerships with diverse supplier groups in the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U.S. and expand or maintain supplier diversity efforts year</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over year.</w:t>
            </w:r>
          </w:p>
        </w:tc>
      </w:tr>
      <w:tr>
        <w:trPr>
          <w:trHeight w:val="648"/>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Key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7089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left="166" w:hanging="166"/>
        <w:spacing w:after="0" w:line="261" w:lineRule="auto"/>
        <w:tabs>
          <w:tab w:leader="none" w:pos="2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focus groups and action plans in select areas to respond to employee feedback.</w:t>
      </w:r>
    </w:p>
    <w:p>
      <w:pPr>
        <w:ind w:left="166" w:right="20" w:hanging="166"/>
        <w:spacing w:after="0" w:line="250" w:lineRule="auto"/>
        <w:tabs>
          <w:tab w:leader="none" w:pos="2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inclusive workplace efforts through affinity groups for women, African-Americans and LGBTQ+.</w:t>
      </w:r>
    </w:p>
    <w:p>
      <w:pPr>
        <w:ind w:left="146" w:hanging="146"/>
        <w:spacing w:after="0"/>
        <w:tabs>
          <w:tab w:leader="none" w:pos="1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global DE&amp;I training curriculum</w:t>
      </w:r>
    </w:p>
    <w:p>
      <w:pPr>
        <w:spacing w:after="0" w:line="206" w:lineRule="exact"/>
        <w:rPr>
          <w:rFonts w:ascii="Times New Roman" w:cs="Times New Roman" w:eastAsia="Times New Roman" w:hAnsi="Times New Roman"/>
          <w:sz w:val="18"/>
          <w:szCs w:val="18"/>
          <w:color w:val="auto"/>
        </w:rPr>
      </w:pPr>
    </w:p>
    <w:p>
      <w:pPr>
        <w:ind w:left="166" w:hanging="166"/>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percentage of diverse representation in leadership and leadership candidate pools.</w:t>
      </w:r>
    </w:p>
    <w:p>
      <w:pPr>
        <w:spacing w:after="0" w:line="161" w:lineRule="exact"/>
        <w:rPr>
          <w:rFonts w:ascii="Times New Roman" w:cs="Times New Roman" w:eastAsia="Times New Roman" w:hAnsi="Times New Roman"/>
          <w:sz w:val="18"/>
          <w:szCs w:val="18"/>
          <w:color w:val="auto"/>
        </w:rPr>
      </w:pPr>
    </w:p>
    <w:p>
      <w:pPr>
        <w:ind w:left="146" w:hanging="146"/>
        <w:spacing w:after="0"/>
        <w:tabs>
          <w:tab w:leader="none" w:pos="1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number of borrower outreach events.</w:t>
      </w:r>
    </w:p>
    <w:p>
      <w:pPr>
        <w:spacing w:after="0" w:line="27" w:lineRule="exact"/>
        <w:rPr>
          <w:rFonts w:ascii="Times New Roman" w:cs="Times New Roman" w:eastAsia="Times New Roman" w:hAnsi="Times New Roman"/>
          <w:sz w:val="18"/>
          <w:szCs w:val="18"/>
          <w:color w:val="auto"/>
        </w:rPr>
      </w:pPr>
    </w:p>
    <w:p>
      <w:pPr>
        <w:jc w:val="both"/>
        <w:ind w:left="166" w:right="360" w:hanging="166"/>
        <w:spacing w:after="0" w:line="290" w:lineRule="auto"/>
        <w:tabs>
          <w:tab w:leader="none" w:pos="15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Participated in external engagements with consumer advocacy and mortgage industry diversity councils.</w:t>
      </w:r>
    </w:p>
    <w:p>
      <w:pPr>
        <w:spacing w:after="0" w:line="157" w:lineRule="exact"/>
        <w:rPr>
          <w:rFonts w:ascii="Times New Roman" w:cs="Times New Roman" w:eastAsia="Times New Roman" w:hAnsi="Times New Roman"/>
          <w:sz w:val="17"/>
          <w:szCs w:val="17"/>
          <w:color w:val="auto"/>
        </w:rPr>
      </w:pPr>
    </w:p>
    <w:p>
      <w:pPr>
        <w:ind w:left="166" w:hanging="166"/>
        <w:spacing w:after="0" w:line="261" w:lineRule="auto"/>
        <w:tabs>
          <w:tab w:leader="none" w:pos="3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diverse vendor utilization rate despite reductions in total number of vendors.</w:t>
      </w:r>
    </w:p>
    <w:p>
      <w:pPr>
        <w:ind w:left="166" w:right="320" w:hanging="166"/>
        <w:spacing w:after="0" w:line="260" w:lineRule="auto"/>
        <w:tabs>
          <w:tab w:leader="none" w:pos="1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promoted vendor diversity value proposition with key stakeholders.</w:t>
      </w:r>
    </w:p>
    <w:p>
      <w:pPr>
        <w:sectPr>
          <w:pgSz w:w="11900" w:h="16838" w:orient="portrait"/>
          <w:cols w:equalWidth="0" w:num="2">
            <w:col w:w="6760" w:space="214"/>
            <w:col w:w="4266"/>
          </w:cols>
          <w:pgMar w:left="320" w:top="68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Excellence Modifier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Corporate Scorecard results were adjusted based on how we performed in satisfying our customers and clients. Our 2022 goals and key results are summarized below:</w:t>
      </w:r>
    </w:p>
    <w:p>
      <w:pPr>
        <w:sectPr>
          <w:pgSz w:w="11900" w:h="16838" w:orient="portrait"/>
          <w:cols w:equalWidth="0" w:num="1">
            <w:col w:w="11240"/>
          </w:cols>
          <w:pgMar w:left="320" w:top="684" w:right="339" w:bottom="1068" w:gutter="0" w:footer="0" w:header="0"/>
        </w:sectPr>
      </w:pPr>
    </w:p>
    <w:p>
      <w:pPr>
        <w:spacing w:after="0" w:line="3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color w:val="auto"/>
        </w:rPr>
        <w:t>Customer &amp; Client Segment and Service Excellence Metric</w:t>
      </w:r>
    </w:p>
    <w:p>
      <w:pPr>
        <w:ind w:right="340" w:firstLine="8"/>
        <w:spacing w:after="0" w:line="260"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Forward - Retail </w:t>
      </w:r>
      <w:r>
        <w:rPr>
          <w:rFonts w:ascii="Times New Roman" w:cs="Times New Roman" w:eastAsia="Times New Roman" w:hAnsi="Times New Roman"/>
          <w:sz w:val="18"/>
          <w:szCs w:val="18"/>
          <w:color w:val="auto"/>
        </w:rPr>
        <w:t>Average Quarterly Net Promoter Score (NPS) from Transactional Survey</w:t>
      </w:r>
    </w:p>
    <w:p>
      <w:pPr>
        <w:spacing w:after="0" w:line="2" w:lineRule="exact"/>
        <w:rPr>
          <w:rFonts w:ascii="Times New Roman" w:cs="Times New Roman" w:eastAsia="Times New Roman" w:hAnsi="Times New Roman"/>
          <w:sz w:val="18"/>
          <w:szCs w:val="18"/>
          <w:b w:val="1"/>
          <w:bCs w:val="1"/>
          <w:color w:val="auto"/>
        </w:rPr>
      </w:pPr>
    </w:p>
    <w:p>
      <w:pPr>
        <w:ind w:right="100" w:firstLine="8"/>
        <w:spacing w:after="0" w:line="260"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Forward - Third Party </w:t>
      </w:r>
      <w:r>
        <w:rPr>
          <w:rFonts w:ascii="Times New Roman" w:cs="Times New Roman" w:eastAsia="Times New Roman" w:hAnsi="Times New Roman"/>
          <w:sz w:val="18"/>
          <w:szCs w:val="18"/>
          <w:color w:val="auto"/>
        </w:rPr>
        <w:t>Implement process to survey and establish baseline (date)</w:t>
      </w:r>
    </w:p>
    <w:p>
      <w:pPr>
        <w:spacing w:after="0" w:line="2" w:lineRule="exact"/>
        <w:rPr>
          <w:rFonts w:ascii="Times New Roman" w:cs="Times New Roman" w:eastAsia="Times New Roman" w:hAnsi="Times New Roman"/>
          <w:sz w:val="18"/>
          <w:szCs w:val="18"/>
          <w:b w:val="1"/>
          <w:bCs w:val="1"/>
          <w:color w:val="auto"/>
        </w:rPr>
      </w:pPr>
    </w:p>
    <w:p>
      <w:pPr>
        <w:ind w:right="340" w:firstLine="8"/>
        <w:spacing w:after="0" w:line="260" w:lineRule="auto"/>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Lending - Reverse - Third Party </w:t>
      </w:r>
      <w:r>
        <w:rPr>
          <w:rFonts w:ascii="Times New Roman" w:cs="Times New Roman" w:eastAsia="Times New Roman" w:hAnsi="Times New Roman"/>
          <w:sz w:val="18"/>
          <w:szCs w:val="18"/>
          <w:color w:val="auto"/>
        </w:rPr>
        <w:t>Average Quarterly Net Promoter Score (NPS) from Relationship Survey</w:t>
      </w:r>
    </w:p>
    <w:p>
      <w:pPr>
        <w:spacing w:after="0" w:line="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 Reverse - Retail</w:t>
      </w:r>
    </w:p>
    <w:p>
      <w:pPr>
        <w:spacing w:after="0" w:line="3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Average Quarterly Net Promoter Score (NPS) from Transactional Survey</w:t>
      </w:r>
    </w:p>
    <w:p>
      <w:pPr>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5. Servicing - Non-Contact </w:t>
      </w:r>
      <w:r>
        <w:rPr>
          <w:rFonts w:ascii="Times New Roman" w:cs="Times New Roman" w:eastAsia="Times New Roman" w:hAnsi="Times New Roman"/>
          <w:sz w:val="18"/>
          <w:szCs w:val="18"/>
          <w:color w:val="auto"/>
        </w:rPr>
        <w:t>Non-caller/relationship Net Promoter Score (NPS) for Forward Loan Servicing in Q4 2022</w:t>
      </w:r>
    </w:p>
    <w:p>
      <w:pPr>
        <w:spacing w:after="0" w:line="1" w:lineRule="exact"/>
        <w:rPr>
          <w:sz w:val="20"/>
          <w:szCs w:val="20"/>
          <w:color w:val="auto"/>
        </w:rPr>
      </w:pPr>
    </w:p>
    <w:p>
      <w:pPr>
        <w:ind w:right="200" w:firstLine="8"/>
        <w:spacing w:after="0" w:line="258"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Servicing - Contact </w:t>
      </w:r>
      <w:r>
        <w:rPr>
          <w:rFonts w:ascii="Times New Roman" w:cs="Times New Roman" w:eastAsia="Times New Roman" w:hAnsi="Times New Roman"/>
          <w:sz w:val="18"/>
          <w:szCs w:val="18"/>
          <w:color w:val="auto"/>
        </w:rPr>
        <w:t>Caller/transactional Net Promoter Score (NPS) for Forward Loan Servicing in Q4 2022</w:t>
      </w:r>
    </w:p>
    <w:p>
      <w:pPr>
        <w:ind w:left="180" w:hanging="172"/>
        <w:spacing w:after="0"/>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Servicing - Subserviced Clients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Tier 1-3 Subservicing Individual Client Net Promoter Score (NPS) score on the October survey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Servicing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CFPB complaints per 1000 loans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r>
      <w:tr>
        <w:trPr>
          <w:trHeight w:val="238"/>
        </w:trPr>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Threshold</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Outcome</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Achievement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Achievement</w:t>
            </w:r>
          </w:p>
        </w:tc>
      </w:tr>
      <w:tr>
        <w:trPr>
          <w:trHeight w:val="27"/>
        </w:trPr>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675"/>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675"/>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1-Oct</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1-Aug</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1-Jun</w:t>
            </w:r>
          </w:p>
        </w:tc>
        <w:tc>
          <w:tcPr>
            <w:tcW w:w="1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26-Jul</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675"/>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675"/>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891"/>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891"/>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891"/>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437"/>
        </w:trPr>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0.94</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65"/>
        </w:trPr>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-2999740</wp:posOffset>
            </wp:positionV>
            <wp:extent cx="713232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-2142490</wp:posOffset>
            </wp:positionV>
            <wp:extent cx="7132320" cy="565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-1010920</wp:posOffset>
            </wp:positionV>
            <wp:extent cx="7132320" cy="565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-153670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-3874135</wp:posOffset>
            </wp:positionV>
            <wp:extent cx="7132320"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160" w:space="260"/>
            <w:col w:w="7820"/>
          </w:cols>
          <w:pgMar w:left="320" w:top="684" w:right="339" w:bottom="1068"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Performance Funding Allocation by Business Unit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approval of the Corporate Scorecard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service excellence modifier.</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Performance Multiplier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86"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business unit and functional priorities (50% weight) reflected individual goals required to meet the objectives contained in the Corporate Scorecard and service excellence modifier;</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compliance metrics (25% weight) assessed executive performance in promoting a culture of appropriate risk and compliance through training and policy review and adherence, remediating any identified issues, and lack of any material findings relating to audit protocols under the Sarbanes-Oxley Act or examination matters;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expectations and behaviors (25% weight, described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068"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Leadership expectations and behaviors for our executive team require them to:</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Behave as a leadership role model and lead by example, demonstrate integrity, create a culture in which we keep our promises, treat all with respect and dignity, and build trust within and outside the organization.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strong working relationships in which they solicit, consider and appropriately incorporate perspectives from others.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and deliver exceptional results by proactively anticipating situations that require a plan of action, identifying critical issues and assuming personal ownership for driving their resolution.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efforts on diversity and inclusion by creating, promoting and sustaining an inclusive work environment in which diversity, inclusiveness and respect are integral parts of our culture and work environment.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motivate a high performing team by identifying and securing top talent to increase performance while also actively holding people accountable for results and behaviors.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change by providing a visible anchor for others and helping resolve breakdowns in times of transition and uncertainty, and by convincing others of the need for change to support critical organizational objectives.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evaluates the proposed results and performance appraisal recommendations and determines the final incentive compensation awards for each executive. Each executive receives an individual performance appraisal rating against a 5-point scale with an “individual performance multiplier” that is applied to their funded annual incentive opportunity,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for the multiplier is determined by the Compensation Committee using a value from the range shown in the chart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80" w:type="dxa"/>
            <w:vAlign w:val="bottom"/>
          </w:tcPr>
          <w:p>
            <w:pPr>
              <w:spacing w:after="0"/>
              <w:rPr>
                <w:sz w:val="22"/>
                <w:szCs w:val="22"/>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 Rating</w:t>
            </w:r>
          </w:p>
        </w:tc>
        <w:tc>
          <w:tcPr>
            <w:tcW w:w="6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Individual Performance Multiplier</w:t>
            </w:r>
          </w:p>
        </w:tc>
        <w:tc>
          <w:tcPr>
            <w:tcW w:w="1980" w:type="dxa"/>
            <w:vAlign w:val="bottom"/>
          </w:tcPr>
          <w:p>
            <w:pPr>
              <w:spacing w:after="0"/>
              <w:rPr>
                <w:sz w:val="22"/>
                <w:szCs w:val="22"/>
                <w:color w:val="auto"/>
              </w:rPr>
            </w:pPr>
          </w:p>
        </w:tc>
      </w:tr>
      <w:tr>
        <w:trPr>
          <w:trHeight w:val="198"/>
        </w:trPr>
        <w:tc>
          <w:tcPr>
            <w:tcW w:w="198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 Performance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110-125%</w:t>
            </w:r>
          </w:p>
        </w:tc>
        <w:tc>
          <w:tcPr>
            <w:tcW w:w="1980" w:type="dxa"/>
            <w:vAlign w:val="bottom"/>
          </w:tcPr>
          <w:p>
            <w:pPr>
              <w:spacing w:after="0"/>
              <w:rPr>
                <w:sz w:val="17"/>
                <w:szCs w:val="17"/>
                <w:color w:val="auto"/>
              </w:rPr>
            </w:pPr>
          </w:p>
        </w:tc>
      </w:tr>
      <w:tr>
        <w:trPr>
          <w:trHeight w:val="216"/>
        </w:trPr>
        <w:tc>
          <w:tcPr>
            <w:tcW w:w="1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Highly Effective Performance</w:t>
            </w:r>
          </w:p>
        </w:tc>
        <w:tc>
          <w:tcPr>
            <w:tcW w:w="43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8"/>
              </w:rPr>
              <w:t>105-110%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Effective Performance</w:t>
            </w:r>
          </w:p>
        </w:tc>
        <w:tc>
          <w:tcPr>
            <w:tcW w:w="43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90-105%</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Inconsistent Performance</w:t>
            </w:r>
          </w:p>
        </w:tc>
        <w:tc>
          <w:tcPr>
            <w:tcW w:w="43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50-75%</w:t>
            </w:r>
          </w:p>
        </w:tc>
        <w:tc>
          <w:tcPr>
            <w:tcW w:w="198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Unsatisfactory Performance</w:t>
            </w:r>
          </w:p>
        </w:tc>
        <w:tc>
          <w:tcPr>
            <w:tcW w:w="43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w:t>
            </w:r>
          </w:p>
        </w:tc>
        <w:tc>
          <w:tcPr>
            <w:tcW w:w="1980" w:type="dxa"/>
            <w:vAlign w:val="bottom"/>
          </w:tcPr>
          <w:p>
            <w:pPr>
              <w:spacing w:after="0"/>
              <w:rPr>
                <w:sz w:val="20"/>
                <w:szCs w:val="20"/>
                <w:color w:val="auto"/>
              </w:rPr>
            </w:pPr>
          </w:p>
        </w:tc>
      </w:tr>
      <w:tr>
        <w:trPr>
          <w:trHeight w:val="439"/>
        </w:trPr>
        <w:tc>
          <w:tcPr>
            <w:tcW w:w="19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jc w:val="right"/>
              <w:ind w:right="3450"/>
              <w:spacing w:after="0"/>
              <w:rPr>
                <w:sz w:val="20"/>
                <w:szCs w:val="20"/>
                <w:color w:val="auto"/>
              </w:rPr>
            </w:pPr>
            <w:r>
              <w:rPr>
                <w:rFonts w:ascii="Times New Roman" w:cs="Times New Roman" w:eastAsia="Times New Roman" w:hAnsi="Times New Roman"/>
                <w:sz w:val="18"/>
                <w:szCs w:val="18"/>
                <w:color w:val="auto"/>
              </w:rPr>
              <w:t>52</w:t>
            </w: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Assessments and Calculation of Total 2022 AIP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careful consideration, the Compensation Committee – and the full Board, in the case of the CEO – assessed each NEO’s performance leading their respective business unit’s achievement of its financial and operating objectives to determine organizational performance funding, and assigned individual performance multipliers reflective of risk and compliance objectives and leadership expectations and behaviors that further differentiated their performance, as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as a cost reduction action, each NEO’s final award value was reduced by 33%.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Final Award as a</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Percent of Target</w:t>
            </w: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Funding</w:t>
            </w:r>
          </w:p>
        </w:tc>
        <w:tc>
          <w:tcPr>
            <w:tcW w:w="1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Multiplier</w:t>
            </w:r>
          </w:p>
        </w:tc>
        <w:tc>
          <w:tcPr>
            <w:tcW w:w="1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Award Reduction</w:t>
            </w:r>
          </w:p>
        </w:tc>
        <w:tc>
          <w:tcPr>
            <w:tcW w:w="15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60" w:type="dxa"/>
            <w:vAlign w:val="bottom"/>
          </w:tcPr>
          <w:p>
            <w:pPr>
              <w:spacing w:after="0"/>
              <w:rPr>
                <w:sz w:val="21"/>
                <w:szCs w:val="21"/>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1"/>
                <w:szCs w:val="21"/>
                <w:color w:val="auto"/>
              </w:rPr>
            </w:pPr>
          </w:p>
        </w:tc>
      </w:tr>
      <w:tr>
        <w:trPr>
          <w:trHeight w:val="243"/>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4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65.0%</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43"/>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O’Neil</w:t>
            </w: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75.6%</w:t>
            </w: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4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performance of each executive and his respective business unit: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Glen Messina</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CEO, Mr. Messina received organizational performance funding equivalent to the Corporate Scorecard results, or 75.6%, and he received an individual performance multiplier of 110%, with key accomplishments described below.</w:t>
      </w:r>
    </w:p>
    <w:p>
      <w:pPr>
        <w:spacing w:after="0" w:line="162" w:lineRule="exact"/>
        <w:rPr>
          <w:sz w:val="20"/>
          <w:szCs w:val="20"/>
          <w:color w:val="auto"/>
        </w:rPr>
      </w:pPr>
    </w:p>
    <w:p>
      <w:pPr>
        <w:ind w:left="980" w:right="2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and managed a balanced and diversified business model that drove profitability through a continued focus on servicing and acting with agility to re-size originations to a rapidly changing market.</w:t>
      </w:r>
    </w:p>
    <w:p>
      <w:pPr>
        <w:ind w:left="980" w:hanging="324"/>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forward and reverse functions across servicing, originations and capital markets organizations, eliminating redundancies and obtaining additional synergies.</w:t>
      </w:r>
    </w:p>
    <w:p>
      <w:pPr>
        <w:ind w:left="980" w:hanging="324"/>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industry-leading servicing operations and cost performance with a scalable, cloud-based platform, and exceeded all customer satisfaction objectives through technology interfaces and proactive outreach.</w:t>
      </w:r>
    </w:p>
    <w:p>
      <w:pPr>
        <w:ind w:left="980" w:right="20" w:hanging="324"/>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an engaged and productive workforce despite reducing global headcount by approximately 15%, maintaining relatively flat attrition and meeting or exceeding commitments to support diversity and inclusion.</w:t>
      </w: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investor and shareholder relationships which optimized capital and helped increase book value 17% year over year.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Scott Anderson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Mr. Anderson’s key priorities for the servicing organization included delivering efficient and compliant operational performance and exceptional customer service, and improving portfolio cost to service. Under his leadership, the servicing business unit earned 80% organizational performance funding, and he received an individual performance multiplier of 110%, with key accomplishments described below.</w:t>
      </w:r>
    </w:p>
    <w:p>
      <w:pPr>
        <w:spacing w:after="0" w:line="176" w:lineRule="exact"/>
        <w:rPr>
          <w:sz w:val="20"/>
          <w:szCs w:val="20"/>
          <w:color w:val="auto"/>
        </w:rPr>
      </w:pPr>
    </w:p>
    <w:p>
      <w:pPr>
        <w:ind w:left="980" w:right="20" w:hanging="324"/>
        <w:spacing w:after="0" w:line="261"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as a percent of UPB (unpaid principal balance) through automation initiatives, customer experience enhancements, vendor cost savings actions and borrower self-service acceptance rates.</w:t>
      </w:r>
    </w:p>
    <w:p>
      <w:pPr>
        <w:ind w:left="9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Net Promoter Scores by double-digits from 2021 to 2022, and Consumer Financial Protection Bureau (CFPB) complaint volumes were at an all-time low.</w:t>
      </w:r>
    </w:p>
    <w:p>
      <w:pPr>
        <w:ind w:left="9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shared services model whereby similar operating areas in forward and reverse servicing were combined for synergies and scale advantages.</w:t>
      </w:r>
    </w:p>
    <w:p>
      <w:pPr>
        <w:ind w:left="980" w:hanging="324"/>
        <w:spacing w:after="0" w:line="26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Drove strong operational performance with &lt;1% defect rate through compliance management, self-identification in a culture of transparency, swift remediation, and root cause analysis and preventive-action planning.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George Henley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Henley’s key priorities for the originations organization included growing the loan portfolio, and integrating the forward and reverse originations channels. Under his leadership, the lending business unit earned 65% organizational performance funding, and he received an individual performance multiplier of 105%, with key accomplishments described below.</w:t>
      </w:r>
    </w:p>
    <w:p>
      <w:pPr>
        <w:spacing w:after="0" w:line="176" w:lineRule="exact"/>
        <w:rPr>
          <w:sz w:val="20"/>
          <w:szCs w:val="20"/>
          <w:color w:val="auto"/>
        </w:rPr>
      </w:pPr>
    </w:p>
    <w:p>
      <w:pPr>
        <w:ind w:left="640" w:hanging="324"/>
        <w:spacing w:after="0" w:line="261"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Navigated through a difficult mortgage originations market, managing headcount against volume opportunity, and significantly reduced operating costs through operations optimization.</w:t>
      </w:r>
    </w:p>
    <w:p>
      <w:pPr>
        <w:ind w:left="640" w:right="20" w:hanging="324"/>
        <w:spacing w:after="0" w:line="250"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the reverse lending business with the forward business, reorganizing the business-to-business and business-to-consumer products and sales channels, leading to improved operations and sales results.</w:t>
      </w:r>
    </w:p>
    <w:p>
      <w:pPr>
        <w:ind w:left="640" w:hanging="324"/>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growth targets for “best efforts” and GNMA volumes, as well as the correspondent lending channel overall.</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both Net Promoter Score and quality targets across recapture and reverse retail channels.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Sean O’Neil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O’Neil’s key priorities for the finance organization included financial reporting and forecasting, cash management, balance sheet optimization, and shareholder relations. Under his leadership, the finance business unit earned organizational performance funding of 75.6%, and he received an individual performance multiplier of 100% reflecting his contributions since joining Ocwen on June 13, 2022, with key accomplishments described below.</w:t>
      </w:r>
    </w:p>
    <w:p>
      <w:pPr>
        <w:spacing w:after="0" w:line="180" w:lineRule="exact"/>
        <w:rPr>
          <w:sz w:val="20"/>
          <w:szCs w:val="20"/>
          <w:color w:val="auto"/>
        </w:rPr>
      </w:pPr>
    </w:p>
    <w:p>
      <w:pPr>
        <w:ind w:left="640" w:hanging="324"/>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enterprise-wide cost reduction initiatives – which surpassed targets – in response to rapidly changing market dynamics, including reducing audit fees.</w:t>
      </w:r>
    </w:p>
    <w:p>
      <w:pPr>
        <w:ind w:left="640" w:hanging="324"/>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liquidity analysis process to improve cash management, lower borrowing and leverage costs, and evaluate lenders’ terms.</w:t>
      </w:r>
    </w:p>
    <w:p>
      <w:pPr>
        <w:spacing w:after="0" w:line="9" w:lineRule="exact"/>
        <w:rPr>
          <w:rFonts w:ascii="Times New Roman" w:cs="Times New Roman" w:eastAsia="Times New Roman" w:hAnsi="Times New Roman"/>
          <w:sz w:val="18"/>
          <w:szCs w:val="18"/>
          <w:color w:val="auto"/>
        </w:rPr>
      </w:pPr>
    </w:p>
    <w:p>
      <w:pPr>
        <w:ind w:left="640" w:hanging="324"/>
        <w:spacing w:after="0" w:line="260"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investor relations strategy that included holding frequent sessions with existing and prospective shareholders and research analysts.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Dennis Zeleny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Zeleny’s key priorities as Chief Administrative Officer included overseeing the human resources, information technologies, enterprise project management office, communication, procurement, corporate insurance, international operations and facilities functions for Ocwen. These groups enable the people, processes and technology associated with our growth, change and cost leadership initiatives. Mr. Zeleny received organizational performance funding of 80%, and he received an individual performance multiplier of 110%, with key accomplishments described below.</w:t>
      </w:r>
    </w:p>
    <w:p>
      <w:pPr>
        <w:spacing w:after="0" w:line="180" w:lineRule="exact"/>
        <w:rPr>
          <w:sz w:val="20"/>
          <w:szCs w:val="20"/>
          <w:color w:val="auto"/>
        </w:rPr>
      </w:pPr>
    </w:p>
    <w:p>
      <w:pPr>
        <w:jc w:val="both"/>
        <w:ind w:left="640" w:hanging="324"/>
        <w:spacing w:after="0" w:line="257"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executed against staffing, talent, succession, change management and engagement plans for our business units and staff functions, including managing through significant re-engineering while sustaining expected levels of operational efficiency, compliance, and security.</w:t>
      </w:r>
    </w:p>
    <w:p>
      <w:pPr>
        <w:spacing w:after="0" w:line="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Administered facility changes in four global locations, reducing expenses and right-sizing our footprint in a remote-friendly work model.</w:t>
      </w:r>
    </w:p>
    <w:p>
      <w:pPr>
        <w:spacing w:after="0" w:line="9" w:lineRule="exact"/>
        <w:rPr>
          <w:rFonts w:ascii="Times New Roman" w:cs="Times New Roman" w:eastAsia="Times New Roman" w:hAnsi="Times New Roman"/>
          <w:sz w:val="18"/>
          <w:szCs w:val="18"/>
          <w:color w:val="auto"/>
        </w:rPr>
      </w:pPr>
    </w:p>
    <w:p>
      <w:pPr>
        <w:ind w:left="640" w:right="20" w:hanging="324"/>
        <w:spacing w:after="0" w:line="250"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significant savings through IT infrastructure re-architecture and process automation initiatives, including becoming the first Freddie Mac servicer to automate the e-Sign process.</w:t>
      </w:r>
    </w:p>
    <w:p>
      <w:pPr>
        <w:jc w:val="both"/>
        <w:ind w:left="640" w:hanging="324"/>
        <w:spacing w:after="0" w:line="255"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all objectives on the Corporate DE&amp;I Scorecard despite a significant reduction of the U.S. employee base and reduced investment in related programs, and ensured that the organization maintained a focus on employee engagement with efforts in learning and development and recognition.</w:t>
      </w:r>
    </w:p>
    <w:p>
      <w:pPr>
        <w:spacing w:after="0" w:line="1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2022 Long-Term Incentive (LTIP)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Ocwen’s long-term incentive opportunity for eligible employees, including executive officers, was provided through equity awards under the 2021 Equity Incentive Plan (the “2021 Plan”) adopted by shareholders on May 25, 2021 and amended May 25, 2022. The 2021 Plan authorized the grant of restricted stock, restricted stock units, options, stock appreciation rights or other equity-based awards, including cash-settled awards, to our employees (including executive officers), directors, advisors and consultants. We have made grants under the 2021 Plan only to employees and directors. We implemented the 2021 Plan to motivate employees to make extraordinary efforts to achieve significant improvements to shareholder value, support retention of key employees and align the interests of our employees with the interests of our shareholders.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2022 LTIP awards include both a time-vesting component for retention purposes and a performance-based component to align with pay-for-performance objectives. Half of the target value is granted as RSUs vesting in equal thirds on the first, second and third anniversaries of the grant, and half is granted as PRSUs vesting on the third anniversary of the grant based on TSR compared to a performance peer group selected for the awards.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following peer group as the comparator for relative TSR performance, including competitors in the mortgage finance industry and mortgage real estate investment trusts.</w:t>
      </w:r>
    </w:p>
    <w:p>
      <w:pPr>
        <w:spacing w:after="0" w:line="162"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Annaly Capital Management, Inc.</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New Residential Investment Corp.</w:t>
            </w:r>
          </w:p>
        </w:tc>
      </w:tr>
      <w:tr>
        <w:trPr>
          <w:trHeight w:val="216"/>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Cherry Hill Mortgage Investment Corporation</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PennyMac Financial Services, Inc.</w:t>
            </w:r>
          </w:p>
        </w:tc>
      </w:tr>
      <w:tr>
        <w:trPr>
          <w:trHeight w:val="216"/>
        </w:trPr>
        <w:tc>
          <w:tcPr>
            <w:tcW w:w="41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Guild Holdings Company</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Radian Group Inc.</w:t>
            </w:r>
          </w:p>
        </w:tc>
      </w:tr>
      <w:tr>
        <w:trPr>
          <w:trHeight w:val="216"/>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Home Point Capital Inc.</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Redwood Trust, Inc.</w:t>
            </w:r>
          </w:p>
        </w:tc>
      </w:tr>
      <w:tr>
        <w:trPr>
          <w:trHeight w:val="216"/>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loanDepot, Inc.</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Rocket Companies, Inc.</w:t>
            </w:r>
          </w:p>
        </w:tc>
      </w:tr>
      <w:tr>
        <w:trPr>
          <w:trHeight w:val="216"/>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MGIC Investment Corporation</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Two Harbors Investment Corp.</w:t>
            </w:r>
          </w:p>
        </w:tc>
      </w:tr>
      <w:tr>
        <w:trPr>
          <w:trHeight w:val="216"/>
        </w:trPr>
        <w:tc>
          <w:tcPr>
            <w:tcW w:w="41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Mr. Cooper Group Inc.</w:t>
            </w:r>
          </w:p>
        </w:tc>
        <w:tc>
          <w:tcPr>
            <w:tcW w:w="33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UWM Holdings Corporation</w:t>
            </w:r>
          </w:p>
        </w:tc>
      </w:tr>
      <w:tr>
        <w:trPr>
          <w:trHeight w:val="234"/>
        </w:trPr>
        <w:tc>
          <w:tcPr>
            <w:tcW w:w="41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Navient Corporation</w:t>
            </w:r>
          </w:p>
        </w:tc>
        <w:tc>
          <w:tcPr>
            <w:tcW w:w="33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 of Target PRSUs Assigned</w:t>
            </w:r>
          </w:p>
        </w:tc>
      </w:tr>
      <w:tr>
        <w:trPr>
          <w:trHeight w:val="245"/>
        </w:trPr>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Period #</w:t>
            </w:r>
          </w:p>
        </w:tc>
        <w:tc>
          <w:tcPr>
            <w:tcW w:w="37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36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to Measurement Period</w:t>
            </w:r>
          </w:p>
        </w:tc>
      </w:tr>
      <w:tr>
        <w:trPr>
          <w:trHeight w:val="230"/>
        </w:trPr>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2022 – March 31, 2023</w:t>
            </w:r>
          </w:p>
        </w:tc>
        <w:tc>
          <w:tcPr>
            <w:tcW w:w="26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3"/>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21"/>
                <w:szCs w:val="21"/>
                <w:color w:val="auto"/>
              </w:rPr>
            </w:pPr>
          </w:p>
        </w:tc>
        <w:tc>
          <w:tcPr>
            <w:tcW w:w="3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31, 2023 – March 31, 2024</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2024 – March 31, 2025</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21"/>
                <w:szCs w:val="21"/>
                <w:color w:val="auto"/>
              </w:rPr>
            </w:pPr>
          </w:p>
        </w:tc>
        <w:tc>
          <w:tcPr>
            <w:tcW w:w="37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31, 2022 – March 31, 2025</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annual target value opportunities for our NEOs, as approved by the Compensation Committee, granted in 2022, which will be settled in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tbl>
      <w:tblPr>
        <w:tblLayout w:type="fixed"/>
        <w:tblInd w:w="11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Annual Target Value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Granted 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Annual Target Value</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Granted as Restricted</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Annual</w:t>
            </w: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Target Value</w:t>
            </w:r>
          </w:p>
        </w:tc>
      </w:tr>
      <w:tr>
        <w:trPr>
          <w:trHeight w:val="24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r>
      <w:tr>
        <w:trPr>
          <w:trHeight w:val="283"/>
        </w:trPr>
        <w:tc>
          <w:tcPr>
            <w:tcW w:w="3240" w:type="dxa"/>
            <w:vAlign w:val="bottom"/>
            <w:tcBorders>
              <w:top w:val="single" w:sz="8" w:color="auto"/>
            </w:tcBorders>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Glen A. Messina</w:t>
            </w:r>
            <w:r>
              <w:rPr>
                <w:rFonts w:ascii="Times New Roman" w:cs="Times New Roman" w:eastAsia="Times New Roman" w:hAnsi="Times New Roman"/>
                <w:sz w:val="29"/>
                <w:szCs w:val="29"/>
                <w:color w:val="auto"/>
                <w:vertAlign w:val="superscript"/>
              </w:rPr>
              <w:t>(1)</w:t>
            </w:r>
          </w:p>
        </w:tc>
        <w:tc>
          <w:tcPr>
            <w:tcW w:w="20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8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tcBorders>
              <w:top w:val="single" w:sz="8" w:color="CCEEFF"/>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Borders>
              <w:top w:val="single" w:sz="8" w:color="CCEEFF"/>
            </w:tcBorders>
            <w:shd w:val="clear" w:color="auto" w:fill="CCEEFF"/>
          </w:tcPr>
          <w:p>
            <w:pPr>
              <w:spacing w:after="0"/>
              <w:rPr>
                <w:sz w:val="24"/>
                <w:szCs w:val="24"/>
                <w:color w:val="auto"/>
              </w:rPr>
            </w:pPr>
          </w:p>
        </w:tc>
      </w:tr>
      <w:tr>
        <w:trPr>
          <w:trHeight w:val="283"/>
        </w:trPr>
        <w:tc>
          <w:tcPr>
            <w:tcW w:w="344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Scott W. Anderson</w:t>
            </w:r>
            <w:r>
              <w:rPr>
                <w:rFonts w:ascii="Times New Roman" w:cs="Times New Roman" w:eastAsia="Times New Roman" w:hAnsi="Times New Roman"/>
                <w:sz w:val="29"/>
                <w:szCs w:val="29"/>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4"/>
                <w:szCs w:val="24"/>
                <w:color w:val="auto"/>
              </w:rPr>
            </w:pPr>
          </w:p>
        </w:tc>
      </w:tr>
      <w:tr>
        <w:trPr>
          <w:trHeight w:val="283"/>
        </w:trPr>
        <w:tc>
          <w:tcPr>
            <w:tcW w:w="344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George T. Henley</w:t>
            </w:r>
            <w:r>
              <w:rPr>
                <w:rFonts w:ascii="Times New Roman" w:cs="Times New Roman" w:eastAsia="Times New Roman" w:hAnsi="Times New Roman"/>
                <w:sz w:val="29"/>
                <w:szCs w:val="29"/>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4"/>
                <w:szCs w:val="24"/>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O’Neil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21"/>
                <w:szCs w:val="21"/>
                <w:color w:val="auto"/>
              </w:rPr>
            </w:pPr>
          </w:p>
        </w:tc>
      </w:tr>
      <w:tr>
        <w:trPr>
          <w:trHeight w:val="283"/>
        </w:trPr>
        <w:tc>
          <w:tcPr>
            <w:tcW w:w="344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Dennis Zeleny</w:t>
            </w:r>
            <w:r>
              <w:rPr>
                <w:rFonts w:ascii="Times New Roman" w:cs="Times New Roman" w:eastAsia="Times New Roman" w:hAnsi="Times New Roman"/>
                <w:sz w:val="29"/>
                <w:szCs w:val="29"/>
                <w:color w:val="auto"/>
                <w:vertAlign w:val="superscript"/>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24"/>
                <w:szCs w:val="24"/>
                <w:color w:val="auto"/>
              </w:rPr>
            </w:pPr>
          </w:p>
        </w:tc>
      </w:tr>
    </w:tbl>
    <w:p>
      <w:pPr>
        <w:spacing w:after="0" w:line="198" w:lineRule="exact"/>
        <w:rPr>
          <w:sz w:val="20"/>
          <w:szCs w:val="20"/>
          <w:color w:val="auto"/>
        </w:rPr>
      </w:pPr>
    </w:p>
    <w:p>
      <w:pPr>
        <w:ind w:left="260" w:right="20" w:hanging="252"/>
        <w:spacing w:after="0" w:line="195" w:lineRule="auto"/>
        <w:tabs>
          <w:tab w:leader="none" w:pos="26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Messina’s long-term equity target was increased from 350% to 400% of salary for 2022, as part of total target compensation changes discussed earlier.</w:t>
      </w:r>
    </w:p>
    <w:p>
      <w:pPr>
        <w:spacing w:after="0" w:line="1" w:lineRule="exact"/>
        <w:rPr>
          <w:rFonts w:ascii="Times New Roman" w:cs="Times New Roman" w:eastAsia="Times New Roman" w:hAnsi="Times New Roman"/>
          <w:sz w:val="30"/>
          <w:szCs w:val="30"/>
          <w:color w:val="auto"/>
          <w:vertAlign w:val="superscript"/>
        </w:rPr>
      </w:pPr>
    </w:p>
    <w:p>
      <w:pPr>
        <w:ind w:left="260" w:hanging="252"/>
        <w:spacing w:after="0" w:line="187" w:lineRule="auto"/>
        <w:tabs>
          <w:tab w:leader="none" w:pos="26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Anderson’s long-term equity target was increased from 75% to 100% of salary for 2022 in recognition of leadership in ongoing strategic initiatives. Effective April 3, 2023, his long-term equity target was increased to 120% of salary in recognition of significant contributions to the Company.</w:t>
      </w:r>
    </w:p>
    <w:p>
      <w:pPr>
        <w:spacing w:after="0" w:line="1" w:lineRule="exact"/>
        <w:rPr>
          <w:rFonts w:ascii="Times New Roman" w:cs="Times New Roman" w:eastAsia="Times New Roman" w:hAnsi="Times New Roman"/>
          <w:sz w:val="30"/>
          <w:szCs w:val="30"/>
          <w:color w:val="auto"/>
          <w:vertAlign w:val="superscript"/>
        </w:rPr>
      </w:pPr>
    </w:p>
    <w:p>
      <w:pPr>
        <w:ind w:left="260" w:hanging="252"/>
        <w:spacing w:after="0" w:line="187" w:lineRule="auto"/>
        <w:tabs>
          <w:tab w:leader="none" w:pos="26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Henley’s long-term equity target was the same in 2022 as 2021. Effective April 3, 2023, his long-term equity target was increased to 120% of salary in recognition of significant contributions to the Company and an expansion of responsibilities.</w:t>
      </w:r>
    </w:p>
    <w:p>
      <w:pPr>
        <w:spacing w:after="0" w:line="1" w:lineRule="exact"/>
        <w:rPr>
          <w:rFonts w:ascii="Times New Roman" w:cs="Times New Roman" w:eastAsia="Times New Roman" w:hAnsi="Times New Roman"/>
          <w:sz w:val="30"/>
          <w:szCs w:val="30"/>
          <w:color w:val="auto"/>
          <w:vertAlign w:val="superscript"/>
        </w:rPr>
      </w:pPr>
    </w:p>
    <w:p>
      <w:pPr>
        <w:jc w:val="both"/>
        <w:ind w:left="260" w:hanging="252"/>
        <w:spacing w:after="0" w:line="204" w:lineRule="auto"/>
        <w:tabs>
          <w:tab w:leader="none" w:pos="26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Zeleny’s long-term equity target was increased $20,000 due to his 2022 salary increase, discussed earlier, as his long-term equity target is expressed as a percentage of his base salary and remained 80% of salary. Effective April 3, 2023, his long-term equity target was increased to 120% of salary in recognition of significant contributions to the Company.</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grant date rather than the closing share price on that date. Grants for all NEOs except Mr. O’Neil were made on March 31, 2022 using the 30-trading-day average closing share price of $27.20 rather than the $23.76 closing share price on that date, resulting in a 13% decrease in the number of units granted compared to the number of units that would have resulted using $23.76 as the denominator. However, when combined with the application of the Monte Carlo simulation to the performance-based restricted stock units, as discussed in footnote (2) to the Summary Compensation Table, accounting grant date fair values for the awards were 6% higher than the values reflected in the above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Results of Long-Term Incentive Awards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the annual LTIP program was introduced March 29, 2019, half of all executives’ long-term equity targets have been granted as performance-based units based on TSR performance during applicable measurement periods to align with pay-for-performance objectives.</w:t>
      </w:r>
    </w:p>
    <w:p>
      <w:pPr>
        <w:jc w:val="both"/>
        <w:spacing w:after="0" w:line="250" w:lineRule="auto"/>
        <w:rPr>
          <w:sz w:val="20"/>
          <w:szCs w:val="20"/>
          <w:color w:val="auto"/>
        </w:rPr>
      </w:pPr>
      <w:r>
        <w:rPr>
          <w:rFonts w:ascii="Times New Roman" w:cs="Times New Roman" w:eastAsia="Times New Roman" w:hAnsi="Times New Roman"/>
          <w:sz w:val="18"/>
          <w:szCs w:val="18"/>
          <w:color w:val="auto"/>
        </w:rPr>
        <w:t>In 2019, annual LTIP PRSUs were to be earned based on the Company’s absolute TSR during the performance period of March 29, 2019 through March 29, 2022. The award’s performance threshold was not achieved, resulting in the forfeiture of all units granted. Additionally, “transitional” PRSUs were to be earned based on the Company’s cumulative TSR during three performance periods (the first from March 29, 2019 through March 29, 2020, the second from March 29, 2019 through March 29, 2021, and the third from March 29, 2019 through March 29, 2022). All three tranches were forfeited due to below-threshold performance.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2020, we adopted the current multi-period relative TSR performance measurement structure, where the final number of PRSUs that are eligible to vest are determined by Ocwen’s TSR rank relative to a performance peer group during each of four weighted performance periods – three annual periods and one three-year period – as described above. Each LTIP year uses a different performance peer group, and the performance periods are established based on the grant date and subsequent anniversaries. Following is an outline of performance for awards granted 2020-2022 as of March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tbl>
      <w:tblPr>
        <w:tblLayout w:type="fixed"/>
        <w:tblInd w:w="58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4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1-3)</w:t>
            </w:r>
          </w:p>
        </w:tc>
        <w:tc>
          <w:tcPr>
            <w:tcW w:w="12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w:t>
            </w:r>
          </w:p>
        </w:tc>
        <w:tc>
          <w:tcPr>
            <w:tcW w:w="1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3/30/2020 LTIP PRSU Performance</w:t>
            </w:r>
            <w:r>
              <w:rPr>
                <w:rFonts w:ascii="Times New Roman" w:cs="Times New Roman" w:eastAsia="Times New Roman" w:hAnsi="Times New Roman"/>
                <w:sz w:val="29"/>
                <w:szCs w:val="29"/>
                <w:b w:val="1"/>
                <w:bCs w:val="1"/>
                <w:color w:val="auto"/>
                <w:vertAlign w:val="superscript"/>
              </w:rPr>
              <w:t>(1)</w:t>
            </w: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70.7%</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97.6%</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80.3%</w:t>
            </w:r>
          </w:p>
        </w:tc>
        <w:tc>
          <w:tcPr>
            <w:tcW w:w="1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141.4%</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53.8%</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195.2%</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160.6%</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21.2%</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29.3%</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88.3%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3/2/2021 LTIP PRSU Performance</w:t>
            </w:r>
            <w:r>
              <w:rPr>
                <w:rFonts w:ascii="Times New Roman" w:cs="Times New Roman" w:eastAsia="Times New Roman" w:hAnsi="Times New Roman"/>
                <w:sz w:val="29"/>
                <w:szCs w:val="29"/>
                <w:b w:val="1"/>
                <w:bCs w:val="1"/>
                <w:color w:val="auto"/>
                <w:vertAlign w:val="superscript"/>
              </w:rPr>
              <w:t>(2)</w:t>
            </w: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87.6%</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w:t>
            </w:r>
          </w:p>
        </w:tc>
        <w:tc>
          <w:tcPr>
            <w:tcW w:w="1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1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175.2%</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133.2%</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150.0%</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26.3%</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r>
      <w:tr>
        <w:trPr>
          <w:trHeight w:val="256"/>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3/30/2022 LTIP PRSU Performance</w:t>
            </w:r>
            <w:r>
              <w:rPr>
                <w:rFonts w:ascii="Times New Roman" w:cs="Times New Roman" w:eastAsia="Times New Roman" w:hAnsi="Times New Roman"/>
                <w:sz w:val="29"/>
                <w:szCs w:val="29"/>
                <w:b w:val="1"/>
                <w:bCs w:val="1"/>
                <w:color w:val="auto"/>
                <w:vertAlign w:val="superscript"/>
              </w:rPr>
              <w:t>(3)</w:t>
            </w: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 Percentile</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90.9%</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90.9%</w:t>
            </w:r>
          </w:p>
        </w:tc>
        <w:tc>
          <w:tcPr>
            <w:tcW w:w="1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Level</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181.8%</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181.8%</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Achievement</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w:t>
            </w:r>
          </w:p>
        </w:tc>
      </w:tr>
    </w:tbl>
    <w:p>
      <w:pPr>
        <w:spacing w:after="0" w:line="198"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Final results as of March 30, 2023.</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Results for Periods 1 and 2 are final. For illustrative purposes only, Period 3 is shown at target (50th percentile) and Period 4 reflects interim results.</w:t>
      </w:r>
    </w:p>
    <w:p>
      <w:pPr>
        <w:ind w:left="980" w:right="20" w:hanging="324"/>
        <w:spacing w:after="0" w:line="260"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Results for Period 1 are final. For illustrative purposes only, Periods 2 and 3 are shown at target (50th percentile) and Period 4 reflects interim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2022, we introduced the Ocwen Executive Non-Qualified Deferred Compensation Plan (NQDC), a voluntary program that allows executives to defer portions of earned salary or AIP to be settled at a future date. The Company does not offer any additional contributions, matching or otherwise, to participating executives; however, they will be credited with earnings or losses on their deferred income at the elected time of distribution based on their elected “deemed” investment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and Prohibition against Short Sales, Hedging and Margin Accounts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stock ownership requirements for our executives (other than Mr. Messina, who is subject as director to our Corporate Governance Guidelines regarding stock ownership and retention),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Additionally, effective with equity granted to executives on or after March 31, 2022, shares acquired on vesting pursuant to those awards will be subject to a one-year holding period.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Insider Trading Prevention Policy that governs the timing of transactions in securities of the Company by directors and executives. In addition, this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an incentive compensation clawback policy that allows our Board of Directors or the Compensation Committee to recoup incentive compensation if the Company restates its financial statements due to the material noncompliance of the Company with any financial reporting requirement under applicable securities laws. Under this policy, in the event of a restatement required to correct an error in previously issued financial statements that (i) is material to the previously issued financial statements, or (ii) would result in a material misstatement if the error were corrected in the current period or left uncorrected in the current period, any person serving as an executive officer (as defined pursuant to Section 16 of the Securities Exchange Act of 1934, as amended) who served as an officer during the relevant performance period must reimburse or forfeit to the Company the amount of bonus or incentive compensation (whether cash-based or equity-based) such officer received based on the information in such erroneous financial statement, to the extent that such bonus or incentive compensation exceeds what the officer would have received based on an applicable restated performance measure or target. In addition, in the event that the Company is required to prepare restated financial statements as a result of material noncompliance with financial reporting requirements under United States securities laws, the Compensation Committee may require reimbursement or forfeiture of the amount of bonus or incentive compensation any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Company’s rights to recoupment under the clawback policy are in addition to any other rights of recoupment under the terms of any equity incentive plan or individual award. Our Board of Directors or the Compensation Committee will revise the clawback policy if, and to the extent, required to comply with SEC requirements implementing the Dodd-Frank Wall Street Reform and Consumer Protection Act upon the effectiveness of the final rules.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all of our NEOs (other than Mr. Messina and Mr. O’Neil, who were not provided such an award) agreed to (i) certain non-compete covenants during their term of employment and (ii) certain covenants relating to the non-solicitation of employees and non-interference with business relationships until September 10, 2023 (whether or not employed by the Company during such period).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CEO Pay-Ratio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2022 was $6,029,718 and the median of the total 2022 compensation of all of our employees (including our India and Philippines operations and excluding our CEO) was $32,941 (after applying a cost-of-living adjustment and converting foreign currency to U.S. dollars, as described below). Accordingly, we estimate the cost-of-living-adjusted ratio of our CEO’s total compensation for 2022 to the median of the total 2022 compensation of all of our employees (excluding our CEO) to be 183 to 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only considered our U.S.-based employees (excluding our CEO) in identifying the median employee using the methodology otherwise described above, we determined that our median U.S.-based employee’s total compensation was $70,454. Accordingly, we estimate the resulting ratio of our CEO’s total compensation to the median of the total compensation of all our U.S.-based employees (excluding our CEO) to be 86 to 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the median employee by taking into account the total compensation paid during 2022 to all individuals, excluding our CEO, who were employed by us or one of our subsidiaries on December 31, 2022. We included all employees, whether employed on a full-time, part-time, or seasonal basis. We did not annualize the compensation for any employees who were not employed by us for all of 2022.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calculating the compensation of our employees in the Philippines, we applied a currency conversion factor based on the U.S. dollar to Philippines Peso exchange rate as of December 31, 2022. In calculating the compensation of our employees in India, we applied a currency conversion factor based on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U.S. dollar to Indian Rupee exchange rate as of December 31, 2022.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permitted under SEC rules, in identifying the median employee and in presenting the median employee’s total 2022 compensation above, we applied a cost-of-living adjustment to the compensation of employees outside the United States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based on a purchasing power parity conversion factor published by The World Bank for 2021.</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$10,862 and we estimate the resulting ratio of our CEO’s total compensation to the median of the total compensation of all of our employees (excluding our CEO) would have been 555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1" w:lineRule="exact"/>
        <w:rPr>
          <w:sz w:val="20"/>
          <w:szCs w:val="20"/>
          <w:color w:val="auto"/>
        </w:rPr>
      </w:pPr>
    </w:p>
    <w:p>
      <w:pPr>
        <w:ind w:right="20" w:firstLine="8"/>
        <w:spacing w:after="0" w:line="195" w:lineRule="auto"/>
        <w:tabs>
          <w:tab w:leader="none" w:pos="112"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reported by the U.S. Bureau of the Fiscal Service Treasury Reporting Rates of Exchange as of December 31, 2022, the Indian Rupee to U.S. Dollar to conversion rate was 82.6:1 and the Philippines Peso to U.S. Dollar to conversion rate was 55.6:1.</w:t>
      </w:r>
    </w:p>
    <w:p>
      <w:pPr>
        <w:spacing w:after="0" w:line="24" w:lineRule="exact"/>
        <w:rPr>
          <w:sz w:val="20"/>
          <w:szCs w:val="20"/>
          <w:color w:val="auto"/>
        </w:rPr>
      </w:pPr>
    </w:p>
    <w:p>
      <w:pPr>
        <w:jc w:val="both"/>
        <w:ind w:firstLine="8"/>
        <w:spacing w:after="0" w:line="224" w:lineRule="auto"/>
        <w:tabs>
          <w:tab w:leader="none" w:pos="112"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level ratio of PPP conversion factor (GDP) to market exchange rate” published by the World Bank indicates how many U.S. dollars are needed to buy one U.S. dollar’s worth of goods in a particular country. For 2021, the most recent data accessible, the ratios reported for India and the Philippines were 0.3 and 0.4, respectively, meaning the local currency equivalent of $1 purchased $3.33 and $2.50 worth of goods in those countries. Accordingly, we multiplied the 2022 compensation of each employee based in India by 3.33 and in the Philippines by 2.5 prior to identifying the employee with the median of the total compensation and in presenting such employee’s total compensation in order to reflect a cost-of-living adjustment.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Compensation Committee of the Board of Directors has reviewed and discussed the Compensation Discussion and Analysis of this proxy statement with management.</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 the Compensation Committee recommended to the Board of Directors that the Compensation Discussion and Analysis be included in this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12, 2023</w:t>
            </w: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Jacques J. Busquet, Chair</w:t>
            </w:r>
          </w:p>
        </w:tc>
      </w:tr>
      <w:tr>
        <w:trPr>
          <w:trHeight w:val="216"/>
        </w:trPr>
        <w:tc>
          <w:tcPr>
            <w:tcW w:w="3300" w:type="dxa"/>
            <w:vAlign w:val="bottom"/>
          </w:tcPr>
          <w:p>
            <w:pPr>
              <w:spacing w:after="0"/>
              <w:rPr>
                <w:sz w:val="18"/>
                <w:szCs w:val="18"/>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DeForest B. Soaries, Jr., Director</w:t>
            </w:r>
          </w:p>
        </w:tc>
      </w:tr>
      <w:tr>
        <w:trPr>
          <w:trHeight w:val="234"/>
        </w:trPr>
        <w:tc>
          <w:tcPr>
            <w:tcW w:w="3300" w:type="dxa"/>
            <w:vAlign w:val="bottom"/>
          </w:tcPr>
          <w:p>
            <w:pPr>
              <w:spacing w:after="0"/>
              <w:rPr>
                <w:sz w:val="20"/>
                <w:szCs w:val="20"/>
                <w:color w:val="auto"/>
              </w:rPr>
            </w:pPr>
          </w:p>
        </w:tc>
        <w:tc>
          <w:tcPr>
            <w:tcW w:w="79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Kevin Stein, Director</w:t>
            </w:r>
          </w:p>
        </w:tc>
      </w:tr>
      <w:tr>
        <w:trPr>
          <w:trHeight w:val="439"/>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60</w:t>
            </w:r>
          </w:p>
        </w:tc>
      </w:tr>
    </w:tbl>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- 2020, 2021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named executive officers for the 2022, 2021 and 2020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20" w:type="dxa"/>
            <w:vAlign w:val="bottom"/>
            <w:gridSpan w:val="3"/>
          </w:tcPr>
          <w:p>
            <w:pPr>
              <w:jc w:val="center"/>
              <w:ind w:right="100"/>
              <w:spacing w:after="0" w:line="252" w:lineRule="exact"/>
              <w:rPr>
                <w:sz w:val="20"/>
                <w:szCs w:val="20"/>
                <w:color w:val="auto"/>
              </w:rPr>
            </w:pPr>
            <w:r>
              <w:rPr>
                <w:rFonts w:ascii="Times New Roman" w:cs="Times New Roman" w:eastAsia="Times New Roman" w:hAnsi="Times New Roman"/>
                <w:sz w:val="18"/>
                <w:szCs w:val="18"/>
                <w:b w:val="1"/>
                <w:bCs w:val="1"/>
                <w:color w:val="auto"/>
                <w:w w:val="91"/>
              </w:rPr>
              <w:t>Bonus</w:t>
            </w:r>
            <w:r>
              <w:rPr>
                <w:rFonts w:ascii="Times New Roman" w:cs="Times New Roman" w:eastAsia="Times New Roman" w:hAnsi="Times New Roman"/>
                <w:sz w:val="29"/>
                <w:szCs w:val="29"/>
                <w:b w:val="1"/>
                <w:bCs w:val="1"/>
                <w:color w:val="auto"/>
                <w:w w:val="91"/>
                <w:vertAlign w:val="superscript"/>
              </w:rPr>
              <w:t>(1,2)</w:t>
            </w:r>
          </w:p>
        </w:tc>
        <w:tc>
          <w:tcPr>
            <w:tcW w:w="960" w:type="dxa"/>
            <w:vAlign w:val="bottom"/>
            <w:gridSpan w:val="2"/>
          </w:tcPr>
          <w:p>
            <w:pPr>
              <w:jc w:val="center"/>
              <w:ind w:right="120"/>
              <w:spacing w:after="0" w:line="252"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(3)</w:t>
            </w:r>
          </w:p>
        </w:tc>
        <w:tc>
          <w:tcPr>
            <w:tcW w:w="1140" w:type="dxa"/>
            <w:vAlign w:val="bottom"/>
            <w:gridSpan w:val="3"/>
          </w:tcPr>
          <w:p>
            <w:pPr>
              <w:jc w:val="right"/>
              <w:ind w:right="260"/>
              <w:spacing w:after="0" w:line="252"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9"/>
                <w:szCs w:val="29"/>
                <w:b w:val="1"/>
                <w:bCs w:val="1"/>
                <w:color w:val="auto"/>
                <w:vertAlign w:val="superscript"/>
              </w:rPr>
              <w:t>(3)</w:t>
            </w:r>
          </w:p>
        </w:tc>
        <w:tc>
          <w:tcPr>
            <w:tcW w:w="1540" w:type="dxa"/>
            <w:vAlign w:val="bottom"/>
            <w:gridSpan w:val="2"/>
          </w:tcPr>
          <w:p>
            <w:pPr>
              <w:jc w:val="center"/>
              <w:ind w:right="26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(4)</w:t>
            </w:r>
          </w:p>
        </w:tc>
        <w:tc>
          <w:tcPr>
            <w:tcW w:w="1560" w:type="dxa"/>
            <w:vAlign w:val="bottom"/>
            <w:gridSpan w:val="2"/>
          </w:tcPr>
          <w:p>
            <w:pPr>
              <w:jc w:val="center"/>
              <w:ind w:right="240"/>
              <w:spacing w:after="0" w:line="252"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(5)</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Glen A. Messina</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972,308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4,233,065</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815,196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6,029,718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3,914,160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1,804,793</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6,627,653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900,000</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590,779</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1,316,250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1,772,336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4,587,915</w:t>
            </w:r>
          </w:p>
        </w:tc>
        <w:tc>
          <w:tcPr>
            <w:tcW w:w="0" w:type="dxa"/>
            <w:vAlign w:val="bottom"/>
          </w:tcPr>
          <w:p>
            <w:pPr>
              <w:spacing w:after="0"/>
              <w:rPr>
                <w:sz w:val="1"/>
                <w:szCs w:val="1"/>
                <w:color w:val="auto"/>
              </w:rPr>
            </w:pPr>
          </w:p>
        </w:tc>
      </w:tr>
      <w:tr>
        <w:trPr>
          <w:trHeight w:val="41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Sean B. O’Neil</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2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Chief Financial Officer</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285,577</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2,010,228</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278,586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2,699,391</w:t>
            </w:r>
          </w:p>
        </w:tc>
        <w:tc>
          <w:tcPr>
            <w:tcW w:w="0" w:type="dxa"/>
            <w:vAlign w:val="bottom"/>
          </w:tcPr>
          <w:p>
            <w:pPr>
              <w:spacing w:after="0"/>
              <w:rPr>
                <w:sz w:val="1"/>
                <w:szCs w:val="1"/>
                <w:color w:val="auto"/>
              </w:rPr>
            </w:pPr>
          </w:p>
        </w:tc>
      </w:tr>
      <w:tr>
        <w:trPr>
          <w:trHeight w:val="216"/>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Scott W. Anderson </w:t>
            </w:r>
            <w:r>
              <w:rPr>
                <w:rFonts w:ascii="Times New Roman" w:cs="Times New Roman" w:eastAsia="Times New Roman" w:hAnsi="Times New Roman"/>
                <w:sz w:val="18"/>
                <w:szCs w:val="18"/>
                <w:color w:val="auto"/>
                <w:w w:val="99"/>
              </w:rPr>
              <w:t>Executive</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Chief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Officer</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529,126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294,800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1,683,076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465,974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631,651</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1,599,355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325,488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675,000</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1,524,113</w:t>
            </w:r>
          </w:p>
        </w:tc>
        <w:tc>
          <w:tcPr>
            <w:tcW w:w="0" w:type="dxa"/>
            <w:vAlign w:val="bottom"/>
          </w:tcPr>
          <w:p>
            <w:pPr>
              <w:spacing w:after="0"/>
              <w:rPr>
                <w:sz w:val="1"/>
                <w:szCs w:val="1"/>
                <w:color w:val="auto"/>
              </w:rPr>
            </w:pPr>
          </w:p>
        </w:tc>
      </w:tr>
      <w:tr>
        <w:trPr>
          <w:trHeight w:val="41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Zeleny</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493,077</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423,288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291,246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1,475,762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470,096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472,159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661,296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1,612,251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431,635</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162,172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359,615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486,516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1,443,074</w:t>
            </w:r>
          </w:p>
        </w:tc>
        <w:tc>
          <w:tcPr>
            <w:tcW w:w="0" w:type="dxa"/>
            <w:vAlign w:val="bottom"/>
          </w:tcPr>
          <w:p>
            <w:pPr>
              <w:spacing w:after="0"/>
              <w:rPr>
                <w:sz w:val="1"/>
                <w:szCs w:val="1"/>
                <w:color w:val="auto"/>
              </w:rPr>
            </w:pPr>
          </w:p>
        </w:tc>
      </w:tr>
      <w:tr>
        <w:trPr>
          <w:trHeight w:val="41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George T. Henley</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Growth Officer</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529,126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228,638</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1,266,913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423,077</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621,285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548,864</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1,743,226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June C. Campbell</w:t>
            </w:r>
            <w:r>
              <w:rPr>
                <w:rFonts w:ascii="Times New Roman" w:cs="Times New Roman" w:eastAsia="Times New Roman" w:hAnsi="Times New Roman"/>
                <w:sz w:val="27"/>
                <w:szCs w:val="27"/>
                <w:b w:val="1"/>
                <w:bCs w:val="1"/>
                <w:color w:val="auto"/>
                <w:vertAlign w:val="superscript"/>
              </w:rPr>
              <w:t>(6)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Vice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Financial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253,942</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402,126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893,161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1,787,230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472,159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451,626</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50,651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1,449,437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324,298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705,375</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137,089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1,641,762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Albert J. Celini</w:t>
            </w:r>
            <w:r>
              <w:rPr>
                <w:rFonts w:ascii="Times New Roman" w:cs="Times New Roman" w:eastAsia="Times New Roman" w:hAnsi="Times New Roman"/>
                <w:sz w:val="27"/>
                <w:szCs w:val="27"/>
                <w:b w:val="1"/>
                <w:bCs w:val="1"/>
                <w:color w:val="auto"/>
                <w:vertAlign w:val="superscript"/>
              </w:rPr>
              <w:t>(7)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Vice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Risk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Compliance Officer</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316,461</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261,368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816,272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-4602480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O’Neil assumed the role of Executive Vice President and Chief Financial Officer on June 13, 2022. In connection with his employment and to entice him to join the company, he received a signing bonus which is reported in the “Bonus” column.</w:t>
      </w:r>
    </w:p>
    <w:p>
      <w:pPr>
        <w:spacing w:after="0" w:line="1" w:lineRule="exact"/>
        <w:rPr>
          <w:rFonts w:ascii="Times New Roman" w:cs="Times New Roman" w:eastAsia="Times New Roman" w:hAnsi="Times New Roman"/>
          <w:sz w:val="30"/>
          <w:szCs w:val="30"/>
          <w:color w:val="auto"/>
          <w:vertAlign w:val="superscript"/>
        </w:rPr>
      </w:pPr>
    </w:p>
    <w:p>
      <w:pPr>
        <w:ind w:left="340" w:right="20" w:hanging="332"/>
        <w:spacing w:after="0" w:line="187"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Messrs. Anderson, Celini and Zeleny and Ms. Campbell received Special Cash Incentives granted September 10, 2020 which are reported in the “Bonus” column.</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36"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21 to our audited financial statements for the fiscal year ended December 31, 2022, which are included in our Annual Report on Form 10-K filed with the Securities and Exchange Commission on February 28, 2023. As to the stock awards granted in 2022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2022” table below, and the value of these awards assuming that the highest level of performance conditions will be achieved is $6,719,080 for Mr. Messina, $2,452,936 for Mr. O’Neil, $839,874 for Messrs. Anderson and Henley, $671,893 for Mr. Zeleny, $638,289 for Ms. Campbell, and $414,865 for Mr. Celini.</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Represents annual cash incentive compensation earned in the corresponding year and paid in the first quarter of the following year.</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94" w:lineRule="auto"/>
        <w:tabs>
          <w:tab w:leader="none" w:pos="340"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shown in this column are set forth in the supplemental “All Other Compensation” table below.</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87"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as of June 30, 2022, Ms. Campbell departed the Company after serving as Executive Vice President and Chief Financial Officer through June 12, 2022, in conjunction with a leadership transition initiated by Ocwen.</w:t>
      </w:r>
    </w:p>
    <w:p>
      <w:pPr>
        <w:ind w:left="340" w:hanging="332"/>
        <w:spacing w:after="0" w:line="187"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Effective as of October 31, 2022, Mr. Celini departed the Company as Executive Vice President and Chief Risk and Compliance Officer in conjunction with a leadership transition initiated by Ocwen.</w:t>
      </w:r>
    </w:p>
    <w:p>
      <w:pPr>
        <w:spacing w:after="0" w:line="20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 more information about the elements of the compensation paid to our named executive officers, see “Compensation Discussion and Analysis”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29"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amounts that appear in the “All Other Compensation” column in the Summary Compensation Table.</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401(k) Matching</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3"/>
        </w:trPr>
        <w:tc>
          <w:tcPr>
            <w:tcW w:w="4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center"/>
              <w:ind w:right="300"/>
              <w:spacing w:after="0" w:line="252" w:lineRule="exact"/>
              <w:rPr>
                <w:sz w:val="20"/>
                <w:szCs w:val="20"/>
                <w:color w:val="auto"/>
              </w:rPr>
            </w:pPr>
            <w:r>
              <w:rPr>
                <w:rFonts w:ascii="Times New Roman" w:cs="Times New Roman" w:eastAsia="Times New Roman" w:hAnsi="Times New Roman"/>
                <w:sz w:val="18"/>
                <w:szCs w:val="18"/>
                <w:b w:val="1"/>
                <w:bCs w:val="1"/>
                <w:color w:val="auto"/>
                <w:w w:val="96"/>
              </w:rPr>
              <w:t>Contributions</w:t>
            </w:r>
            <w:r>
              <w:rPr>
                <w:rFonts w:ascii="Times New Roman" w:cs="Times New Roman" w:eastAsia="Times New Roman" w:hAnsi="Times New Roman"/>
                <w:sz w:val="29"/>
                <w:szCs w:val="29"/>
                <w:b w:val="1"/>
                <w:bCs w:val="1"/>
                <w:color w:val="auto"/>
                <w:w w:val="96"/>
                <w:vertAlign w:val="superscript"/>
              </w:rPr>
              <w:t>(1)</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8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r>
      <w:tr>
        <w:trPr>
          <w:trHeight w:val="24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CEEFF"/>
          </w:tcPr>
          <w:p>
            <w:pPr>
              <w:spacing w:after="0"/>
              <w:rPr>
                <w:sz w:val="21"/>
                <w:szCs w:val="21"/>
                <w:color w:val="auto"/>
              </w:rPr>
            </w:pPr>
          </w:p>
        </w:tc>
      </w:tr>
      <w:tr>
        <w:trPr>
          <w:trHeight w:val="24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CEEFF"/>
          </w:tcPr>
          <w:p>
            <w:pPr>
              <w:spacing w:after="0"/>
              <w:rPr>
                <w:sz w:val="21"/>
                <w:szCs w:val="21"/>
                <w:color w:val="auto"/>
              </w:rPr>
            </w:pPr>
          </w:p>
        </w:tc>
      </w:tr>
      <w:tr>
        <w:trPr>
          <w:trHeight w:val="24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8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tcPr>
          <w:p>
            <w:pPr>
              <w:spacing w:after="0"/>
              <w:rPr>
                <w:sz w:val="21"/>
                <w:szCs w:val="21"/>
                <w:color w:val="auto"/>
              </w:rPr>
            </w:pPr>
          </w:p>
        </w:tc>
      </w:tr>
      <w:tr>
        <w:trPr>
          <w:trHeight w:val="24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CEEFF"/>
          </w:tcPr>
          <w:p>
            <w:pPr>
              <w:spacing w:after="0"/>
              <w:rPr>
                <w:sz w:val="21"/>
                <w:szCs w:val="21"/>
                <w:color w:val="auto"/>
              </w:rPr>
            </w:pPr>
          </w:p>
        </w:tc>
      </w:tr>
      <w:tr>
        <w:trPr>
          <w:trHeight w:val="283"/>
        </w:trPr>
        <w:tc>
          <w:tcPr>
            <w:tcW w:w="432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June C. Campbell</w:t>
            </w:r>
            <w:r>
              <w:rPr>
                <w:rFonts w:ascii="Times New Roman" w:cs="Times New Roman" w:eastAsia="Times New Roman" w:hAnsi="Times New Roman"/>
                <w:sz w:val="29"/>
                <w:szCs w:val="29"/>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887,975</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893,161</w:t>
            </w:r>
          </w:p>
        </w:tc>
        <w:tc>
          <w:tcPr>
            <w:tcW w:w="80" w:type="dxa"/>
            <w:vAlign w:val="bottom"/>
          </w:tcPr>
          <w:p>
            <w:pPr>
              <w:spacing w:after="0"/>
              <w:rPr>
                <w:sz w:val="24"/>
                <w:szCs w:val="24"/>
                <w:color w:val="auto"/>
              </w:rPr>
            </w:pPr>
          </w:p>
        </w:tc>
      </w:tr>
      <w:tr>
        <w:trPr>
          <w:trHeight w:val="283"/>
        </w:trPr>
        <w:tc>
          <w:tcPr>
            <w:tcW w:w="432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Albert J. Celini</w:t>
            </w:r>
            <w:r>
              <w:rPr>
                <w:rFonts w:ascii="Times New Roman" w:cs="Times New Roman" w:eastAsia="Times New Roman" w:hAnsi="Times New Roman"/>
                <w:sz w:val="29"/>
                <w:szCs w:val="29"/>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808,267</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816,272</w:t>
            </w:r>
          </w:p>
        </w:tc>
        <w:tc>
          <w:tcPr>
            <w:tcW w:w="80" w:type="dxa"/>
            <w:vAlign w:val="bottom"/>
            <w:shd w:val="clear" w:color="auto" w:fill="CCEEFF"/>
          </w:tcPr>
          <w:p>
            <w:pPr>
              <w:spacing w:after="0"/>
              <w:rPr>
                <w:sz w:val="24"/>
                <w:szCs w:val="24"/>
                <w:color w:val="auto"/>
              </w:rPr>
            </w:pPr>
          </w:p>
        </w:tc>
      </w:tr>
    </w:tbl>
    <w:p>
      <w:pPr>
        <w:spacing w:after="0" w:line="87"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employer matching contributions made under the Ocwen Financial Corporation 401(k) Savings Plan.</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reflects the values of payments made to Ms. Campbell in exchange for the general release of claims upon her departure from the role of Executive Vice President and Chief Financial Officer effective June 12, 2022 and from the Company effective June 30, 2022, in conjunction with a leadership transition initiated by Ocwen as outlined below, inclusive of (i) $712,500 pursuant to benefits entitled to her under the Company’s United States Basic Severance Plan, (ii) $146,251 pursuant to temporary commuting and relocation benefits, including amounts to gross-up for taxable expenses, and (iii) $29,224 payout of accrued paid time off balances.</w:t>
      </w:r>
    </w:p>
    <w:p>
      <w:pPr>
        <w:spacing w:after="0" w:line="3" w:lineRule="exact"/>
        <w:rPr>
          <w:rFonts w:ascii="Times New Roman" w:cs="Times New Roman" w:eastAsia="Times New Roman" w:hAnsi="Times New Roman"/>
          <w:sz w:val="30"/>
          <w:szCs w:val="30"/>
          <w:color w:val="auto"/>
          <w:vertAlign w:val="superscript"/>
        </w:rPr>
      </w:pPr>
    </w:p>
    <w:p>
      <w:pPr>
        <w:jc w:val="both"/>
        <w:ind w:left="340" w:hanging="332"/>
        <w:spacing w:after="0" w:line="214" w:lineRule="auto"/>
        <w:tabs>
          <w:tab w:leader="none" w:pos="34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reflects the values of payments made to Mr. Celini in exchange for the general release of claims upon his departure from the Company and from his role as Executive Vice President and Chief Risk and Compliance Officer effective October 31, 2022, in conjunction with a leadership transition initiated by Ocwen as outlined below, inclusive of (i) $570,000 pursuant to benefits entitled to him under the Company’s United States Basic Severance Plan, (ii) $197,600 for as-needed consulting through June 30, 2023, and (iii) $40,667 payout of accrued paid time off balances.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awards granted in 2022 under our 2021 Equity Incentive Plan and our 1998 Annual Incentive Plan, as amended.</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7"/>
          <w:szCs w:val="17"/>
          <w:b w:val="1"/>
          <w:bCs w:val="1"/>
          <w:color w:val="auto"/>
        </w:rPr>
        <w:t>Estimated Possible Payouts Under</w:t>
      </w:r>
    </w:p>
    <w:p>
      <w:pPr>
        <w:spacing w:after="0" w:line="43"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8"/>
          <w:szCs w:val="18"/>
          <w:b w:val="1"/>
          <w:bCs w:val="1"/>
          <w:color w:val="auto"/>
        </w:rPr>
        <w:t>Non-Equity Incentive Plan</w:t>
      </w:r>
    </w:p>
    <w:p>
      <w:pPr>
        <w:ind w:left="3320"/>
        <w:spacing w:after="0" w:line="191" w:lineRule="auto"/>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16"/>
        </w:trPr>
        <w:tc>
          <w:tcPr>
            <w:tcW w:w="23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16"/>
        </w:trPr>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Estimated Future Payouts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Base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Under Equity Incentive Plan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and</w:t>
            </w:r>
          </w:p>
        </w:tc>
      </w:tr>
      <w:tr>
        <w:trPr>
          <w:trHeight w:val="252"/>
        </w:trPr>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bl>
    <w:p>
      <w:pPr>
        <w:spacing w:after="0" w:line="9" w:lineRule="exact"/>
        <w:rPr>
          <w:sz w:val="20"/>
          <w:szCs w:val="20"/>
          <w:color w:val="auto"/>
        </w:rPr>
      </w:pPr>
    </w:p>
    <w:p>
      <w:pPr>
        <w:sectPr>
          <w:pgSz w:w="11900" w:h="16838" w:orient="portrait"/>
          <w:cols w:equalWidth="0" w:num="2">
            <w:col w:w="5020" w:space="320"/>
            <w:col w:w="59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0" w:type="dxa"/>
            <w:vAlign w:val="bottom"/>
          </w:tcPr>
          <w:p>
            <w:pPr>
              <w:spacing w:after="0" w:line="20" w:lineRule="exact"/>
              <w:rPr>
                <w:sz w:val="1"/>
                <w:szCs w:val="1"/>
                <w:color w:val="auto"/>
              </w:rPr>
            </w:pPr>
          </w:p>
        </w:tc>
      </w:tr>
      <w:tr>
        <w:trPr>
          <w:trHeight w:val="176"/>
        </w:trPr>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9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Target</w:t>
            </w:r>
          </w:p>
        </w:tc>
        <w:tc>
          <w:tcPr>
            <w:tcW w:w="10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Target</w:t>
            </w:r>
          </w:p>
        </w:tc>
        <w:tc>
          <w:tcPr>
            <w:tcW w:w="9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8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132"/>
              <w:spacing w:after="0" w:line="269" w:lineRule="exact"/>
              <w:rPr>
                <w:sz w:val="20"/>
                <w:szCs w:val="20"/>
                <w:color w:val="auto"/>
              </w:rPr>
            </w:pP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31"/>
                <w:szCs w:val="31"/>
                <w:b w:val="1"/>
                <w:bCs w:val="1"/>
                <w:color w:val="auto"/>
                <w:vertAlign w:val="subscript"/>
              </w:rPr>
              <w:t>($)</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Glen A.</w:t>
            </w:r>
          </w:p>
        </w:tc>
        <w:tc>
          <w:tcPr>
            <w:tcW w:w="880" w:type="dxa"/>
            <w:vAlign w:val="bottom"/>
            <w:gridSpan w:val="3"/>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36,764</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73,529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147,058</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2,486,015</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Messina</w:t>
            </w:r>
          </w:p>
        </w:tc>
        <w:tc>
          <w:tcPr>
            <w:tcW w:w="880" w:type="dxa"/>
            <w:vAlign w:val="bottom"/>
            <w:gridSpan w:val="3"/>
            <w:vMerge w:val="continue"/>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73,529</w:t>
            </w:r>
          </w:p>
        </w:tc>
        <w:tc>
          <w:tcPr>
            <w:tcW w:w="100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1,747,049</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731,918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1,463,836</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2,195,753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Sean B. O’Neil</w:t>
            </w:r>
          </w:p>
        </w:tc>
        <w:tc>
          <w:tcPr>
            <w:tcW w:w="880" w:type="dxa"/>
            <w:vAlign w:val="bottom"/>
            <w:gridSpan w:val="3"/>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7"/>
                <w:szCs w:val="17"/>
                <w:color w:val="auto"/>
              </w:rPr>
              <w:t>6/13/2022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6,547</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13,094</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26,188</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7"/>
                <w:szCs w:val="17"/>
                <w:color w:val="auto"/>
              </w:rPr>
              <w:t>442,708</w:t>
            </w:r>
          </w:p>
        </w:tc>
        <w:tc>
          <w:tcPr>
            <w:tcW w:w="0" w:type="dxa"/>
            <w:vAlign w:val="bottom"/>
          </w:tcPr>
          <w:p>
            <w:pPr>
              <w:spacing w:after="0"/>
              <w:rPr>
                <w:sz w:val="1"/>
                <w:szCs w:val="1"/>
                <w:color w:val="auto"/>
              </w:rPr>
            </w:pPr>
          </w:p>
        </w:tc>
      </w:tr>
      <w:tr>
        <w:trPr>
          <w:trHeight w:val="45"/>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6/13/2022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13,094</w:t>
            </w:r>
          </w:p>
        </w:tc>
        <w:tc>
          <w:tcPr>
            <w:tcW w:w="1000" w:type="dxa"/>
            <w:vAlign w:val="bottom"/>
            <w:gridSpan w:val="2"/>
            <w:shd w:val="clear" w:color="auto" w:fill="CCEEFF"/>
          </w:tcPr>
          <w:p>
            <w:pPr>
              <w:ind w:left="68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317,530</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6/13/2022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(5)</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51,546</w:t>
            </w:r>
          </w:p>
        </w:tc>
        <w:tc>
          <w:tcPr>
            <w:tcW w:w="100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1,249,991</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W.</w:t>
            </w:r>
          </w:p>
        </w:tc>
        <w:tc>
          <w:tcPr>
            <w:tcW w:w="880" w:type="dxa"/>
            <w:vAlign w:val="bottom"/>
            <w:gridSpan w:val="3"/>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4,595</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18,382</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310,748</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Anderson</w:t>
            </w:r>
          </w:p>
        </w:tc>
        <w:tc>
          <w:tcPr>
            <w:tcW w:w="880" w:type="dxa"/>
            <w:vAlign w:val="bottom"/>
            <w:gridSpan w:val="3"/>
            <w:vMerge w:val="continue"/>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9,191</w:t>
            </w:r>
          </w:p>
        </w:tc>
        <w:tc>
          <w:tcPr>
            <w:tcW w:w="100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218,378</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Dennis Zeleny</w:t>
            </w:r>
          </w:p>
        </w:tc>
        <w:tc>
          <w:tcPr>
            <w:tcW w:w="880" w:type="dxa"/>
            <w:vAlign w:val="bottom"/>
            <w:gridSpan w:val="3"/>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7"/>
                <w:szCs w:val="17"/>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3,676</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7,353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14,706</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7"/>
                <w:szCs w:val="17"/>
                <w:color w:val="auto"/>
              </w:rPr>
              <w:t>248,605</w:t>
            </w:r>
          </w:p>
        </w:tc>
        <w:tc>
          <w:tcPr>
            <w:tcW w:w="0" w:type="dxa"/>
            <w:vAlign w:val="bottom"/>
          </w:tcPr>
          <w:p>
            <w:pPr>
              <w:spacing w:after="0"/>
              <w:rPr>
                <w:sz w:val="1"/>
                <w:szCs w:val="1"/>
                <w:color w:val="auto"/>
              </w:rPr>
            </w:pPr>
          </w:p>
        </w:tc>
      </w:tr>
      <w:tr>
        <w:trPr>
          <w:trHeight w:val="45"/>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7,352</w:t>
            </w:r>
          </w:p>
        </w:tc>
        <w:tc>
          <w:tcPr>
            <w:tcW w:w="1000" w:type="dxa"/>
            <w:vAlign w:val="bottom"/>
            <w:gridSpan w:val="2"/>
            <w:shd w:val="clear" w:color="auto" w:fill="CCEEFF"/>
          </w:tcPr>
          <w:p>
            <w:pPr>
              <w:ind w:left="68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174,684</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246,986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493,973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740,959</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George T.</w:t>
            </w:r>
          </w:p>
        </w:tc>
        <w:tc>
          <w:tcPr>
            <w:tcW w:w="880" w:type="dxa"/>
            <w:vAlign w:val="bottom"/>
            <w:gridSpan w:val="3"/>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4,595</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9,191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18,382</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310,748</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Henley</w:t>
            </w:r>
          </w:p>
        </w:tc>
        <w:tc>
          <w:tcPr>
            <w:tcW w:w="880" w:type="dxa"/>
            <w:vAlign w:val="bottom"/>
            <w:gridSpan w:val="3"/>
            <w:vMerge w:val="continue"/>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9,191</w:t>
            </w:r>
          </w:p>
        </w:tc>
        <w:tc>
          <w:tcPr>
            <w:tcW w:w="100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218,378</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June C.</w:t>
            </w:r>
          </w:p>
        </w:tc>
        <w:tc>
          <w:tcPr>
            <w:tcW w:w="880" w:type="dxa"/>
            <w:vAlign w:val="bottom"/>
            <w:gridSpan w:val="3"/>
            <w:vMerge w:val="restart"/>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3,492</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13,970</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236,163</w:t>
            </w: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Campbell</w:t>
            </w:r>
          </w:p>
        </w:tc>
        <w:tc>
          <w:tcPr>
            <w:tcW w:w="880" w:type="dxa"/>
            <w:vAlign w:val="bottom"/>
            <w:gridSpan w:val="3"/>
            <w:vMerge w:val="continue"/>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2" w:lineRule="exact"/>
              <w:rPr>
                <w:sz w:val="20"/>
                <w:szCs w:val="20"/>
                <w:color w:val="auto"/>
              </w:rPr>
            </w:pPr>
            <w:r>
              <w:rPr>
                <w:rFonts w:ascii="Times New Roman" w:cs="Times New Roman" w:eastAsia="Times New Roman" w:hAnsi="Times New Roman"/>
                <w:sz w:val="18"/>
                <w:szCs w:val="18"/>
                <w:color w:val="auto"/>
              </w:rPr>
              <w:t>6,985</w:t>
            </w:r>
          </w:p>
        </w:tc>
        <w:tc>
          <w:tcPr>
            <w:tcW w:w="1000" w:type="dxa"/>
            <w:vAlign w:val="bottom"/>
            <w:gridSpan w:val="2"/>
            <w:shd w:val="clear" w:color="auto" w:fill="CCEEFF"/>
          </w:tcPr>
          <w:p>
            <w:pPr>
              <w:ind w:left="680"/>
              <w:spacing w:after="0" w:line="17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165,964</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237,500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475,000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712,500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Albert J. Celini</w:t>
            </w:r>
          </w:p>
        </w:tc>
        <w:tc>
          <w:tcPr>
            <w:tcW w:w="880" w:type="dxa"/>
            <w:vAlign w:val="bottom"/>
            <w:gridSpan w:val="3"/>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7"/>
                <w:szCs w:val="17"/>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2,270</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4,540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9,080</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7"/>
                <w:szCs w:val="17"/>
                <w:color w:val="auto"/>
              </w:rPr>
              <w:t>153,497</w:t>
            </w:r>
          </w:p>
        </w:tc>
        <w:tc>
          <w:tcPr>
            <w:tcW w:w="0" w:type="dxa"/>
            <w:vAlign w:val="bottom"/>
          </w:tcPr>
          <w:p>
            <w:pPr>
              <w:spacing w:after="0"/>
              <w:rPr>
                <w:sz w:val="1"/>
                <w:szCs w:val="1"/>
                <w:color w:val="auto"/>
              </w:rPr>
            </w:pPr>
          </w:p>
        </w:tc>
      </w:tr>
      <w:tr>
        <w:trPr>
          <w:trHeight w:val="45"/>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3/31/2022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line="171" w:lineRule="exact"/>
              <w:rPr>
                <w:sz w:val="20"/>
                <w:szCs w:val="20"/>
                <w:color w:val="auto"/>
              </w:rPr>
            </w:pPr>
            <w:r>
              <w:rPr>
                <w:rFonts w:ascii="Times New Roman" w:cs="Times New Roman" w:eastAsia="Times New Roman" w:hAnsi="Times New Roman"/>
                <w:sz w:val="18"/>
                <w:szCs w:val="18"/>
                <w:color w:val="auto"/>
              </w:rPr>
              <w:t>4,540</w:t>
            </w:r>
          </w:p>
        </w:tc>
        <w:tc>
          <w:tcPr>
            <w:tcW w:w="1000" w:type="dxa"/>
            <w:vAlign w:val="bottom"/>
            <w:gridSpan w:val="2"/>
            <w:shd w:val="clear" w:color="auto" w:fill="CCEEFF"/>
          </w:tcPr>
          <w:p>
            <w:pPr>
              <w:ind w:left="680"/>
              <w:spacing w:after="0" w:line="17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line="17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107,870</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3/31/2022</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113,615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227,230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340,845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28"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These amounts represent the potential non-equity compensation that would have been earned by each respective executive officer for 2022 service under the different achievement levels under their 2022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2022 service is set forth in the “Non-Equity Incentive Plan Compensation” column of the “Summary Compensation Table” above.</w:t>
      </w:r>
    </w:p>
    <w:p>
      <w:pPr>
        <w:spacing w:after="0" w:line="3"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(2) under “Summary Compensation Table” above for detail regarding the methodology used to calculate Grant Date Fair Value.</w:t>
      </w:r>
    </w:p>
    <w:p>
      <w:pPr>
        <w:spacing w:after="0" w:line="2" w:lineRule="exact"/>
        <w:rPr>
          <w:rFonts w:ascii="Times New Roman" w:cs="Times New Roman" w:eastAsia="Times New Roman" w:hAnsi="Times New Roman"/>
          <w:sz w:val="25"/>
          <w:szCs w:val="25"/>
          <w:color w:val="auto"/>
          <w:vertAlign w:val="superscript"/>
        </w:rPr>
      </w:pPr>
    </w:p>
    <w:p>
      <w:pPr>
        <w:jc w:val="both"/>
        <w:ind w:left="340" w:hanging="332"/>
        <w:spacing w:after="0" w:line="20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PRSU awards are earned based on the Company’s TSR relative to its peer group during multiple performance periods spanning March 31, 2022 through March 31, 2025, and vest at the third anniversary of the grant date. Awards will be settled in equity, if earned. Refer to “Compensation Discussion and Analysis - 2022 Long-Term Incentive (LTIP) Awards” for additional details.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RSU awards granted on March 31, 2022, and June 13, 2022 to Mr. O’Neil, vest in three equal installments on the first, second and third anniversary dates of the grant, subject to continued employment. Awards are settled in equity, but they do not have any rights of a shareholder with respect to any of the shares subject to the award until such units are vested.</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RSU awards granted June 13, 2022 to Mr. O’Neil vest in four equal installments on the first, second, third and fourth anniversary dates of the grant, subject to continued employment. Awards are settled in equity, but they do not have any rights of a shareholder with respect to any of the shares subject to the award until such units are vested.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at December 31, 2022 for Ocwen’s named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or Payout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25"/>
        </w:trPr>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9"/>
                <w:szCs w:val="19"/>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That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22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77"/>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1160" w:type="dxa"/>
            <w:vAlign w:val="bottom"/>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60" w:type="dxa"/>
            <w:vAlign w:val="bottom"/>
          </w:tcPr>
          <w:p>
            <w:pPr>
              <w:spacing w:after="0"/>
              <w:rPr>
                <w:sz w:val="24"/>
                <w:szCs w:val="24"/>
                <w:color w:val="auto"/>
              </w:rPr>
            </w:pPr>
          </w:p>
        </w:tc>
        <w:tc>
          <w:tcPr>
            <w:tcW w:w="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480" w:type="dxa"/>
            <w:vAlign w:val="bottom"/>
          </w:tcPr>
          <w:p>
            <w:pPr>
              <w:spacing w:after="0"/>
              <w:rPr>
                <w:sz w:val="24"/>
                <w:szCs w:val="24"/>
                <w:color w:val="auto"/>
              </w:rPr>
            </w:pPr>
          </w:p>
        </w:tc>
        <w:tc>
          <w:tcPr>
            <w:tcW w:w="7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(3)</w:t>
            </w:r>
          </w:p>
        </w:tc>
        <w:tc>
          <w:tcPr>
            <w:tcW w:w="160" w:type="dxa"/>
            <w:vAlign w:val="bottom"/>
          </w:tcPr>
          <w:p>
            <w:pPr>
              <w:spacing w:after="0"/>
              <w:rPr>
                <w:sz w:val="24"/>
                <w:szCs w:val="24"/>
                <w:color w:val="auto"/>
              </w:rPr>
            </w:pPr>
          </w:p>
        </w:tc>
        <w:tc>
          <w:tcPr>
            <w:tcW w:w="7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460" w:type="dxa"/>
            <w:vAlign w:val="bottom"/>
          </w:tcPr>
          <w:p>
            <w:pPr>
              <w:spacing w:after="0"/>
              <w:rPr>
                <w:sz w:val="24"/>
                <w:szCs w:val="24"/>
                <w:color w:val="auto"/>
              </w:rPr>
            </w:pPr>
          </w:p>
        </w:tc>
        <w:tc>
          <w:tcPr>
            <w:tcW w:w="7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Glen A. Messina</w:t>
            </w:r>
          </w:p>
        </w:tc>
        <w:tc>
          <w:tcPr>
            <w:tcW w:w="2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10/4/2028</w:t>
            </w:r>
          </w:p>
        </w:tc>
        <w:tc>
          <w:tcPr>
            <w:tcW w:w="1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8"/>
                <w:szCs w:val="28"/>
                <w:color w:val="auto"/>
                <w:vertAlign w:val="superscript"/>
              </w:rPr>
              <w:t>(5)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764,500</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38,391</w:t>
            </w:r>
            <w:r>
              <w:rPr>
                <w:rFonts w:ascii="Times New Roman" w:cs="Times New Roman" w:eastAsia="Times New Roman" w:hAnsi="Times New Roman"/>
                <w:sz w:val="28"/>
                <w:szCs w:val="28"/>
                <w:color w:val="auto"/>
                <w:vertAlign w:val="superscript"/>
              </w:rPr>
              <w:t>(6)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1,173,997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73,529</w:t>
            </w:r>
            <w:r>
              <w:rPr>
                <w:rFonts w:ascii="Times New Roman" w:cs="Times New Roman" w:eastAsia="Times New Roman" w:hAnsi="Times New Roman"/>
                <w:sz w:val="28"/>
                <w:szCs w:val="28"/>
                <w:color w:val="auto"/>
                <w:vertAlign w:val="superscript"/>
              </w:rPr>
              <w:t>(7)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2,248,517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150,000</w:t>
            </w:r>
            <w:r>
              <w:rPr>
                <w:rFonts w:ascii="Times New Roman" w:cs="Times New Roman" w:eastAsia="Times New Roman" w:hAnsi="Times New Roman"/>
                <w:sz w:val="28"/>
                <w:szCs w:val="28"/>
                <w:color w:val="auto"/>
                <w:vertAlign w:val="superscript"/>
              </w:rPr>
              <w:t>(8)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4,587,000</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115,174</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3,522,021</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147,058</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4,497,034</w:t>
            </w:r>
          </w:p>
        </w:tc>
        <w:tc>
          <w:tcPr>
            <w:tcW w:w="0" w:type="dxa"/>
            <w:vAlign w:val="bottom"/>
          </w:tcPr>
          <w:p>
            <w:pPr>
              <w:spacing w:after="0"/>
              <w:rPr>
                <w:sz w:val="1"/>
                <w:szCs w:val="1"/>
                <w:color w:val="auto"/>
              </w:rPr>
            </w:pPr>
          </w:p>
        </w:tc>
      </w:tr>
      <w:tr>
        <w:trPr>
          <w:trHeight w:val="48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Sean B. O’Neil</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13,094</w:t>
            </w:r>
            <w:r>
              <w:rPr>
                <w:rFonts w:ascii="Times New Roman" w:cs="Times New Roman" w:eastAsia="Times New Roman" w:hAnsi="Times New Roman"/>
                <w:sz w:val="29"/>
                <w:szCs w:val="29"/>
                <w:color w:val="auto"/>
                <w:vertAlign w:val="superscript"/>
              </w:rPr>
              <w:t>(7)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400,415</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line="243" w:lineRule="exact"/>
              <w:rPr>
                <w:sz w:val="20"/>
                <w:szCs w:val="20"/>
                <w:color w:val="auto"/>
              </w:rPr>
            </w:pPr>
            <w:r>
              <w:rPr>
                <w:rFonts w:ascii="Times New Roman" w:cs="Times New Roman" w:eastAsia="Times New Roman" w:hAnsi="Times New Roman"/>
                <w:sz w:val="17"/>
                <w:szCs w:val="17"/>
                <w:color w:val="auto"/>
              </w:rPr>
              <w:t>51,546</w:t>
            </w:r>
            <w:r>
              <w:rPr>
                <w:rFonts w:ascii="Times New Roman" w:cs="Times New Roman" w:eastAsia="Times New Roman" w:hAnsi="Times New Roman"/>
                <w:sz w:val="28"/>
                <w:szCs w:val="28"/>
                <w:color w:val="auto"/>
                <w:vertAlign w:val="superscript"/>
              </w:rPr>
              <w:t>(11)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1,576,277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26,188</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800,829</w:t>
            </w:r>
          </w:p>
        </w:tc>
        <w:tc>
          <w:tcPr>
            <w:tcW w:w="0" w:type="dxa"/>
            <w:vAlign w:val="bottom"/>
          </w:tcPr>
          <w:p>
            <w:pPr>
              <w:spacing w:after="0"/>
              <w:rPr>
                <w:sz w:val="1"/>
                <w:szCs w:val="1"/>
                <w:color w:val="auto"/>
              </w:rPr>
            </w:pPr>
          </w:p>
        </w:tc>
      </w:tr>
      <w:tr>
        <w:trPr>
          <w:trHeight w:val="441"/>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Scott W.</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Anderson</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5/14/2024</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540"/>
              <w:spacing w:after="0" w:line="243" w:lineRule="exact"/>
              <w:rPr>
                <w:sz w:val="20"/>
                <w:szCs w:val="20"/>
                <w:color w:val="auto"/>
              </w:rPr>
            </w:pPr>
            <w:r>
              <w:rPr>
                <w:rFonts w:ascii="Times New Roman" w:cs="Times New Roman" w:eastAsia="Times New Roman" w:hAnsi="Times New Roman"/>
                <w:sz w:val="17"/>
                <w:szCs w:val="17"/>
                <w:color w:val="auto"/>
                <w:w w:val="92"/>
              </w:rPr>
              <w:t>3,000</w:t>
            </w:r>
            <w:r>
              <w:rPr>
                <w:rFonts w:ascii="Times New Roman" w:cs="Times New Roman" w:eastAsia="Times New Roman" w:hAnsi="Times New Roman"/>
                <w:sz w:val="28"/>
                <w:szCs w:val="28"/>
                <w:color w:val="auto"/>
                <w:w w:val="92"/>
                <w:vertAlign w:val="superscript"/>
              </w:rPr>
              <w:t>(12)</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5/14/2024</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540"/>
              <w:spacing w:after="0" w:line="243" w:lineRule="exact"/>
              <w:rPr>
                <w:sz w:val="20"/>
                <w:szCs w:val="20"/>
                <w:color w:val="auto"/>
              </w:rPr>
            </w:pPr>
            <w:r>
              <w:rPr>
                <w:rFonts w:ascii="Times New Roman" w:cs="Times New Roman" w:eastAsia="Times New Roman" w:hAnsi="Times New Roman"/>
                <w:sz w:val="17"/>
                <w:szCs w:val="17"/>
                <w:color w:val="auto"/>
                <w:w w:val="92"/>
              </w:rPr>
              <w:t>1,500</w:t>
            </w:r>
            <w:r>
              <w:rPr>
                <w:rFonts w:ascii="Times New Roman" w:cs="Times New Roman" w:eastAsia="Times New Roman" w:hAnsi="Times New Roman"/>
                <w:sz w:val="28"/>
                <w:szCs w:val="28"/>
                <w:color w:val="auto"/>
                <w:w w:val="92"/>
                <w:vertAlign w:val="superscript"/>
              </w:rPr>
              <w:t>(13)</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501.75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5/14/2024</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2/24/2025</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3,334</w:t>
            </w:r>
            <w:r>
              <w:rPr>
                <w:rFonts w:ascii="Times New Roman" w:cs="Times New Roman" w:eastAsia="Times New Roman" w:hAnsi="Times New Roman"/>
                <w:sz w:val="28"/>
                <w:szCs w:val="28"/>
                <w:color w:val="auto"/>
                <w:vertAlign w:val="superscript"/>
              </w:rPr>
              <w:t>(5)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101,954</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4,570</w:t>
            </w:r>
            <w:r>
              <w:rPr>
                <w:rFonts w:ascii="Times New Roman" w:cs="Times New Roman" w:eastAsia="Times New Roman" w:hAnsi="Times New Roman"/>
                <w:sz w:val="28"/>
                <w:szCs w:val="28"/>
                <w:color w:val="auto"/>
                <w:vertAlign w:val="superscript"/>
              </w:rPr>
              <w:t>(6)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139,751</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9,191</w:t>
            </w:r>
            <w:r>
              <w:rPr>
                <w:rFonts w:ascii="Times New Roman" w:cs="Times New Roman" w:eastAsia="Times New Roman" w:hAnsi="Times New Roman"/>
                <w:sz w:val="28"/>
                <w:szCs w:val="28"/>
                <w:color w:val="auto"/>
                <w:vertAlign w:val="superscript"/>
              </w:rPr>
              <w:t>(7)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281,061</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20,000</w:t>
            </w:r>
            <w:r>
              <w:rPr>
                <w:rFonts w:ascii="Times New Roman" w:cs="Times New Roman" w:eastAsia="Times New Roman" w:hAnsi="Times New Roman"/>
                <w:sz w:val="28"/>
                <w:szCs w:val="28"/>
                <w:color w:val="auto"/>
                <w:vertAlign w:val="superscript"/>
              </w:rPr>
              <w:t>(8)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611,600</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13,712</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419,313</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18,382</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562,122</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240" w:type="dxa"/>
            <w:vAlign w:val="bottom"/>
            <w:gridSpan w:val="3"/>
          </w:tcPr>
          <w:p>
            <w:pPr>
              <w:spacing w:after="0"/>
              <w:rPr>
                <w:sz w:val="21"/>
                <w:szCs w:val="21"/>
                <w:color w:val="auto"/>
              </w:rPr>
            </w:pPr>
          </w:p>
        </w:tc>
        <w:tc>
          <w:tcPr>
            <w:tcW w:w="12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Dennis Zeleny</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4,723</w:t>
            </w:r>
            <w:r>
              <w:rPr>
                <w:rFonts w:ascii="Times New Roman" w:cs="Times New Roman" w:eastAsia="Times New Roman" w:hAnsi="Times New Roman"/>
                <w:sz w:val="28"/>
                <w:szCs w:val="28"/>
                <w:color w:val="auto"/>
                <w:vertAlign w:val="superscript"/>
              </w:rPr>
              <w:t>(5)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144,419</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4,631</w:t>
            </w:r>
            <w:r>
              <w:rPr>
                <w:rFonts w:ascii="Times New Roman" w:cs="Times New Roman" w:eastAsia="Times New Roman" w:hAnsi="Times New Roman"/>
                <w:sz w:val="28"/>
                <w:szCs w:val="28"/>
                <w:color w:val="auto"/>
                <w:vertAlign w:val="superscript"/>
              </w:rPr>
              <w:t>(6)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141,616</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7,352</w:t>
            </w:r>
            <w:r>
              <w:rPr>
                <w:rFonts w:ascii="Times New Roman" w:cs="Times New Roman" w:eastAsia="Times New Roman" w:hAnsi="Times New Roman"/>
                <w:sz w:val="28"/>
                <w:szCs w:val="28"/>
                <w:color w:val="auto"/>
                <w:vertAlign w:val="superscript"/>
              </w:rPr>
              <w:t>(7)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224,824</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28,333</w:t>
            </w:r>
            <w:r>
              <w:rPr>
                <w:rFonts w:ascii="Times New Roman" w:cs="Times New Roman" w:eastAsia="Times New Roman" w:hAnsi="Times New Roman"/>
                <w:sz w:val="28"/>
                <w:szCs w:val="28"/>
                <w:color w:val="auto"/>
                <w:vertAlign w:val="superscript"/>
              </w:rPr>
              <w:t>(8)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866,433</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13,894</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424,879</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14,706</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449,709</w:t>
            </w:r>
          </w:p>
        </w:tc>
        <w:tc>
          <w:tcPr>
            <w:tcW w:w="0" w:type="dxa"/>
            <w:vAlign w:val="bottom"/>
          </w:tcPr>
          <w:p>
            <w:pPr>
              <w:spacing w:after="0"/>
              <w:rPr>
                <w:sz w:val="1"/>
                <w:szCs w:val="1"/>
                <w:color w:val="auto"/>
              </w:rPr>
            </w:pPr>
          </w:p>
        </w:tc>
      </w:tr>
      <w:tr>
        <w:trPr>
          <w:trHeight w:val="48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George T. Henley</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6,094</w:t>
            </w:r>
            <w:r>
              <w:rPr>
                <w:rFonts w:ascii="Times New Roman" w:cs="Times New Roman" w:eastAsia="Times New Roman" w:hAnsi="Times New Roman"/>
                <w:sz w:val="29"/>
                <w:szCs w:val="29"/>
                <w:color w:val="auto"/>
                <w:vertAlign w:val="superscript"/>
              </w:rPr>
              <w:t>(6)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186,355</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17"/>
                <w:szCs w:val="17"/>
                <w:color w:val="auto"/>
              </w:rPr>
              <w:t>9,191</w:t>
            </w:r>
            <w:r>
              <w:rPr>
                <w:rFonts w:ascii="Times New Roman" w:cs="Times New Roman" w:eastAsia="Times New Roman" w:hAnsi="Times New Roman"/>
                <w:sz w:val="28"/>
                <w:szCs w:val="28"/>
                <w:color w:val="auto"/>
                <w:vertAlign w:val="superscript"/>
              </w:rPr>
              <w:t>(7)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281,061</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18,282</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559,064</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18,382</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562,122</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240" w:type="dxa"/>
            <w:vAlign w:val="bottom"/>
            <w:gridSpan w:val="3"/>
          </w:tcPr>
          <w:p>
            <w:pPr>
              <w:spacing w:after="0"/>
              <w:rPr>
                <w:sz w:val="21"/>
                <w:szCs w:val="21"/>
                <w:color w:val="auto"/>
              </w:rPr>
            </w:pPr>
          </w:p>
        </w:tc>
        <w:tc>
          <w:tcPr>
            <w:tcW w:w="12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C. Campbell</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2,212</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6/30/2025</w:t>
            </w:r>
          </w:p>
        </w:tc>
        <w:tc>
          <w:tcPr>
            <w:tcW w:w="6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19,022</w:t>
            </w:r>
            <w:r>
              <w:rPr>
                <w:rFonts w:ascii="Times New Roman" w:cs="Times New Roman" w:eastAsia="Times New Roman" w:hAnsi="Times New Roman"/>
                <w:sz w:val="29"/>
                <w:szCs w:val="29"/>
                <w:color w:val="auto"/>
                <w:vertAlign w:val="superscript"/>
              </w:rPr>
              <w:t>(8)</w:t>
            </w: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continue"/>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581,693</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6,154</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188,189</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1,170</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486"/>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Albert J. Celini</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11,392</w:t>
            </w:r>
            <w:r>
              <w:rPr>
                <w:rFonts w:ascii="Times New Roman" w:cs="Times New Roman" w:eastAsia="Times New Roman" w:hAnsi="Times New Roman"/>
                <w:sz w:val="29"/>
                <w:szCs w:val="29"/>
                <w:color w:val="auto"/>
                <w:vertAlign w:val="superscript"/>
              </w:rPr>
              <w:t>(8)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348,367</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line="243" w:lineRule="exact"/>
              <w:rPr>
                <w:sz w:val="20"/>
                <w:szCs w:val="20"/>
                <w:color w:val="auto"/>
              </w:rPr>
            </w:pPr>
            <w:r>
              <w:rPr>
                <w:rFonts w:ascii="Times New Roman" w:cs="Times New Roman" w:eastAsia="Times New Roman" w:hAnsi="Times New Roman"/>
                <w:sz w:val="17"/>
                <w:szCs w:val="17"/>
                <w:color w:val="auto"/>
              </w:rPr>
              <w:t>4,018</w:t>
            </w:r>
            <w:r>
              <w:rPr>
                <w:rFonts w:ascii="Times New Roman" w:cs="Times New Roman" w:eastAsia="Times New Roman" w:hAnsi="Times New Roman"/>
                <w:sz w:val="28"/>
                <w:szCs w:val="28"/>
                <w:color w:val="auto"/>
                <w:vertAlign w:val="superscript"/>
              </w:rPr>
              <w:t>(9)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122,870</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line="243" w:lineRule="exact"/>
              <w:rPr>
                <w:sz w:val="20"/>
                <w:szCs w:val="20"/>
                <w:color w:val="auto"/>
              </w:rPr>
            </w:pPr>
            <w:r>
              <w:rPr>
                <w:rFonts w:ascii="Times New Roman" w:cs="Times New Roman" w:eastAsia="Times New Roman" w:hAnsi="Times New Roman"/>
                <w:sz w:val="17"/>
                <w:szCs w:val="17"/>
                <w:color w:val="auto"/>
              </w:rPr>
              <w:t>1,778</w:t>
            </w:r>
            <w:r>
              <w:rPr>
                <w:rFonts w:ascii="Times New Roman" w:cs="Times New Roman" w:eastAsia="Times New Roman" w:hAnsi="Times New Roman"/>
                <w:sz w:val="28"/>
                <w:szCs w:val="28"/>
                <w:color w:val="auto"/>
                <w:vertAlign w:val="superscript"/>
              </w:rPr>
              <w:t>(10)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54,371</w:t>
            </w:r>
          </w:p>
        </w:tc>
        <w:tc>
          <w:tcPr>
            <w:tcW w:w="0" w:type="dxa"/>
            <w:vAlign w:val="bottom"/>
          </w:tcPr>
          <w:p>
            <w:pPr>
              <w:spacing w:after="0"/>
              <w:rPr>
                <w:sz w:val="1"/>
                <w:szCs w:val="1"/>
                <w:color w:val="auto"/>
              </w:rPr>
            </w:pPr>
          </w:p>
        </w:tc>
      </w:tr>
      <w:tr>
        <w:trPr>
          <w:trHeight w:val="439"/>
        </w:trPr>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-5965825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67" w:name="page68"/>
    <w:bookmarkEnd w:id="67"/>
    <w:p>
      <w:pPr>
        <w:ind w:left="340" w:hanging="332"/>
        <w:spacing w:after="0" w:line="19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equity awards with respect to which, as of December 31, 2022, any applicable performance hurdles have been met but awards remain subject to time-based vesting criteria.</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Consists of option awards with respect to which, as of December 31, 2022, the applicable performance hurdles have not been met.</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dollar amounts shown in these columns are determined by multiplying the number of unvested shares or units subject to the award by $30.58, the closing price of a share of our common stock on the New York Stock Exchange on December 30, 2022 (the last trading day of 2022).</w:t>
      </w: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equity awards with respect to which, as of December 31, 2022, the applicable time-based and/or performance vesting criteria have not been met.</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March 30, 2020. One-third of granted units vested on each of the first and second anniversaries of the grant, with the remaining units vesting on the third anniversary of the grant date. Awards for all but Mr. Messina have settled or will settle in cash. Mr. Messina’s award has settled or will settle in shares.</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March 2, 2021. One-third of granted units vested on the first anniversary of the grant, with the remaining units vesting in equal tranches on the second and third anniversaries of the grant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RSUs granted March 31, 2022 (June 13, 2022 to Mr. O’Neil), vesting in equal tranches on the first, second and third anniversaries of the grant date, and which will settle in shares.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5"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PRSUs granted March 30, 2020, vesting on the third anniversary of the grant date. These PRSUs are earned based on the Company’s TSR relative to its peer group during four weighted performance periods (the first from March 30, 2020 through March 30, 2021 weighted at 15%, the second from March 30, 2021 through March 30, 2022 weighted at 15%, the third from March 30, 2022 through March 30, 2023 weighted at 15%, and the fourth from March 30, 2020 through March 30, 2023 weighted at 55%). Performance during the first and second periods earned 141.4% and 53.8% of target units, respectively, subject to continued vesting requirements. Awards for all but Mr. Messina will settle in cash, if earned. Amounts reported assume maximum levels of achievement.</w:t>
      </w:r>
    </w:p>
    <w:p>
      <w:pPr>
        <w:spacing w:after="0" w:line="2" w:lineRule="exact"/>
        <w:rPr>
          <w:rFonts w:ascii="Times New Roman" w:cs="Times New Roman" w:eastAsia="Times New Roman" w:hAnsi="Times New Roman"/>
          <w:sz w:val="30"/>
          <w:szCs w:val="30"/>
          <w:color w:val="auto"/>
          <w:vertAlign w:val="superscript"/>
        </w:rPr>
      </w:pPr>
    </w:p>
    <w:p>
      <w:pPr>
        <w:jc w:val="both"/>
        <w:ind w:left="340" w:hanging="332"/>
        <w:spacing w:after="0" w:line="220"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PRSUs granted March 2, 2021, vesting on the third anniversary of the grant date. These PRSUs are earned based on the Company’s TSR relative to its peer group during four weighted performance periods (the first from March 2, 2021 through March 2, 2022 weighted at 15%, the second from March 2, 2022 through March 2, 2023 weighted at 15%, the third from March 2, 2023 through March 2, 2024 weighted at 15%, and the fourth from March 2, 2021 through March 2, 2024 weighted at 55%). Performance during the first period earned 175.2% of target units, subject to continued vesting requirements. Awards will settle in shares, if earned. Amounts reported assume maximum levels of achievement.</w:t>
      </w:r>
    </w:p>
    <w:p>
      <w:pPr>
        <w:spacing w:after="0" w:line="4" w:lineRule="exact"/>
        <w:rPr>
          <w:rFonts w:ascii="Times New Roman" w:cs="Times New Roman" w:eastAsia="Times New Roman" w:hAnsi="Times New Roman"/>
          <w:sz w:val="30"/>
          <w:szCs w:val="30"/>
          <w:color w:val="auto"/>
          <w:vertAlign w:val="superscript"/>
        </w:rPr>
      </w:pPr>
    </w:p>
    <w:p>
      <w:pPr>
        <w:jc w:val="both"/>
        <w:ind w:left="340" w:hanging="332"/>
        <w:spacing w:after="0" w:line="225" w:lineRule="auto"/>
        <w:tabs>
          <w:tab w:leader="none" w:pos="3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PRSUs granted March 31, 2022 (June 13, 2022 to Mr. O’Neil), vesting on the third anniversary of the grant date. These PRSUs are earned based on the Company’s TSR relative to a performance peer group during multiple performance periods between March 31, 2022 through March 31, 2025, as described in the “2022 Long-Term Incentive (LTIP) Awards” section above. Awards will settle in shares, if earned. Amounts reported assume maximum levels of achievement.</w:t>
      </w:r>
    </w:p>
    <w:p>
      <w:pPr>
        <w:spacing w:after="0" w:line="1" w:lineRule="exact"/>
        <w:rPr>
          <w:rFonts w:ascii="Times New Roman" w:cs="Times New Roman" w:eastAsia="Times New Roman" w:hAnsi="Times New Roman"/>
          <w:sz w:val="29"/>
          <w:szCs w:val="29"/>
          <w:color w:val="auto"/>
          <w:vertAlign w:val="superscript"/>
        </w:rPr>
      </w:pPr>
    </w:p>
    <w:p>
      <w:pPr>
        <w:ind w:left="340" w:hanging="332"/>
        <w:spacing w:after="0" w:line="196" w:lineRule="auto"/>
        <w:tabs>
          <w:tab w:leader="none" w:pos="3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RSUs granted June 13, 2022 to Mr. O’Neil, vesting in equal tranches on the first, second, third and fourth anniversaries of the grant date, and which will settle in shares.</w:t>
      </w:r>
    </w:p>
    <w:p>
      <w:pPr>
        <w:ind w:left="340" w:hanging="332"/>
        <w:spacing w:after="0" w:line="196" w:lineRule="auto"/>
        <w:tabs>
          <w:tab w:leader="none" w:pos="3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non-qualified stock options (NQSOs) granted to Mr. Anderson May 14, 2014, one-fourth of which vest upon achieving a stock price of $1,003.50 and compounded annual gain of 20% over the exercise price, with the balance vesting one-fourth each subsequent anniversary.</w:t>
      </w:r>
    </w:p>
    <w:p>
      <w:pPr>
        <w:ind w:left="340" w:right="20" w:hanging="332"/>
        <w:spacing w:after="0" w:line="196" w:lineRule="auto"/>
        <w:tabs>
          <w:tab w:leader="none" w:pos="340" w:val="left"/>
        </w:tabs>
        <w:numPr>
          <w:ilvl w:val="0"/>
          <w:numId w:val="6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NQSOs granted to Mr. Anderson May 14, 2014, one-fourth of which vest upon achieving a stock price of $1,505.25 and compounded annual gain of 25% over the exercise price, with the balance vesting one-fourth each subsequent anniversary.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amounts realized on the exercise of options and the vesting of restricted stock during fiscal year 2022 for the individuals named in the 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560" w:type="dxa"/>
            <w:vAlign w:val="bottom"/>
            <w:gridSpan w:val="2"/>
            <w:vMerge w:val="continue"/>
          </w:tcPr>
          <w:p>
            <w:pPr>
              <w:spacing w:after="0"/>
              <w:rPr>
                <w:sz w:val="16"/>
                <w:szCs w:val="16"/>
                <w:color w:val="auto"/>
              </w:rPr>
            </w:pPr>
          </w:p>
        </w:tc>
        <w:tc>
          <w:tcPr>
            <w:tcW w:w="15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340"/>
              <w:spacing w:after="0" w:line="216" w:lineRule="exact"/>
              <w:rPr>
                <w:sz w:val="20"/>
                <w:szCs w:val="20"/>
                <w:color w:val="auto"/>
              </w:rPr>
            </w:pPr>
            <w:r>
              <w:rPr>
                <w:rFonts w:ascii="Times New Roman" w:cs="Times New Roman" w:eastAsia="Times New Roman" w:hAnsi="Times New Roman"/>
                <w:sz w:val="16"/>
                <w:szCs w:val="16"/>
                <w:b w:val="1"/>
                <w:bCs w:val="1"/>
                <w:color w:val="auto"/>
              </w:rPr>
              <w:t>on Exercise</w:t>
            </w:r>
            <w:r>
              <w:rPr>
                <w:rFonts w:ascii="Times New Roman" w:cs="Times New Roman" w:eastAsia="Times New Roman" w:hAnsi="Times New Roman"/>
                <w:sz w:val="25"/>
                <w:szCs w:val="25"/>
                <w:b w:val="1"/>
                <w:bCs w:val="1"/>
                <w:color w:val="auto"/>
                <w:vertAlign w:val="superscript"/>
              </w:rPr>
              <w:t>(1)</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c>
          <w:tcPr>
            <w:tcW w:w="0" w:type="dxa"/>
            <w:vAlign w:val="bottom"/>
          </w:tcPr>
          <w:p>
            <w:pPr>
              <w:spacing w:after="0"/>
              <w:rPr>
                <w:sz w:val="1"/>
                <w:szCs w:val="1"/>
                <w:color w:val="auto"/>
              </w:rPr>
            </w:pPr>
          </w:p>
        </w:tc>
      </w:tr>
      <w:tr>
        <w:trPr>
          <w:trHeight w:val="27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56,759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1,403,998</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395,695</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406,322</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85,501</w:t>
            </w: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C. Campbell</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387,371</w:t>
            </w:r>
          </w:p>
        </w:tc>
        <w:tc>
          <w:tcPr>
            <w:tcW w:w="0" w:type="dxa"/>
            <w:vAlign w:val="bottom"/>
          </w:tcPr>
          <w:p>
            <w:pPr>
              <w:spacing w:after="0"/>
              <w:rPr>
                <w:sz w:val="1"/>
                <w:szCs w:val="1"/>
                <w:color w:val="auto"/>
              </w:rPr>
            </w:pPr>
          </w:p>
        </w:tc>
      </w:tr>
      <w:tr>
        <w:trPr>
          <w:trHeight w:val="24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 J. Celini</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10,435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281,254</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 options were exercised during 2022.</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dollar amounts shown in this column for stock awards are calculated based on the closing price of a share of our common stock on the New York Stock Exchange on the date of vesting.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1998 Annual Incentive Plan, our prior 2007 and 2017 equity incentive plans and the 2021 Plan.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Treatment of Options and Equity. </w:t>
      </w:r>
      <w:r>
        <w:rPr>
          <w:rFonts w:ascii="Times New Roman" w:cs="Times New Roman" w:eastAsia="Times New Roman" w:hAnsi="Times New Roman"/>
          <w:sz w:val="18"/>
          <w:szCs w:val="18"/>
          <w:color w:val="auto"/>
        </w:rPr>
        <w:t>Our stock option agreements generally provide that, in the event of death, disability, retirement or termination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without 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 (iii) 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provisions in our equity award agreements relating to change in control support our compelling business need to incentivize the retention of key employees during the uncertain times preceding a potential change in control. As described below, awards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case of death or disability, the awards will immediately vest on a pro-rata basis in proportion to the percentage of the vesting period the participant served prior to termination, and any outstanding and incomplete measurement periods shall be deemed to have been achieved at target level, except that for the awards granted March 30, 2020, the entire performance-based vesting condition shall be deemed to have been achieved at target level. In the event of voluntary resignation (other than for good reason, as defined in the applicable award agreements), any unvested portion of an award will be forfeited.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termination without cause or retirement, the restricted stock units vest in the same pro-rata manner described above, and the pro-rata portion (determined in the same manner described above) of the three-year cliff-vesting performance-restricted stock units remain eligible to become vested, subject to achievement of applicable performance objectives, and the transitional three-year ratable-vesting performance-restricted stock units remain eligible to become vested in full, subject to achievement of performance objectives.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awards continue vesting in accordance with their terms, and any outstanding and incomplete measurement periods shall be deemed to have been achieved at target level, except that for the awards granted March 30, 2020, the entire performance-based vesting condition shall be deemed to have been achieved at target level. If, within 12 months of such change in control, the Company terminates the participant’s employment for any reason other than for cause, or the participant resigns for good reason, the awards will vest at target level as of the date of termination.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Mr. Messina. </w:t>
      </w:r>
      <w:r>
        <w:rPr>
          <w:rFonts w:ascii="Times New Roman" w:cs="Times New Roman" w:eastAsia="Times New Roman" w:hAnsi="Times New Roman"/>
          <w:sz w:val="18"/>
          <w:szCs w:val="18"/>
          <w:color w:val="auto"/>
        </w:rPr>
        <w:t>In the event of Mr. Messina’s termination without cause or resignation for good reason, under the terms of his offer letter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entitled to receive (i) a lump sum termination payment in an amount equal to the sum of his base salary plus his annual target incentive, plus the estimated cost of 18 months’ COBRA benefit premiums, (ii) a pro rata portion of his annual bonus payment based on actual achievement of Ocwen performance objectives, and (iii) payment of any unpaid prior year bonus.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Mr. O’Neil. </w:t>
      </w:r>
      <w:r>
        <w:rPr>
          <w:rFonts w:ascii="Times New Roman" w:cs="Times New Roman" w:eastAsia="Times New Roman" w:hAnsi="Times New Roman"/>
          <w:sz w:val="18"/>
          <w:szCs w:val="18"/>
          <w:color w:val="auto"/>
        </w:rPr>
        <w:t>In the event of Mr. O’Neil’s termination without cause or resignation for good reason within his first four years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his offer letter he will be entitled to receive (i) the value of any unpaid cash sign-on bonus payments, (ii) any unvested sign-on restricted stock units, and (iii) severance benefits consistent with a qualifying termination of employment under the applicable Severance Plan, as described below.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Plans. </w:t>
      </w:r>
      <w:r>
        <w:rPr>
          <w:rFonts w:ascii="Times New Roman" w:cs="Times New Roman" w:eastAsia="Times New Roman" w:hAnsi="Times New Roman"/>
          <w:sz w:val="18"/>
          <w:szCs w:val="18"/>
          <w:color w:val="auto"/>
        </w:rPr>
        <w:t>Messrs. Anderson, O’Neil, Henley and Zeleny are eligible for severance benefits upon a qualifying termination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conditioned upon the execution of a separation and release agreement, consistent with either the United States Basic Severance Plan (the “Severance Plan”) or the United States Change in Control Severance Plan (the “CIC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Severance Plan, if an executive officer’s employment with the Company is terminated by the Company due to an eligible termination as defined in the Severance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CIC Plan, if a Change in Control (as defined in the CIC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Tabular Disclosure of Payments on Termination or Change in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potential benefits that each named executive officer serving as of December 31, 2022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any outstanding equity awards that would accelerate is determined by multiplying (i) the number of unvested restricted stock units held by the named executive officer that would accelerate by (ii) $30.58, the closing price of a share of our common stock on the New York Stock Exchange on December 30, 2022 (the last trading day of the year). Additionally, at that share price, no stock options for which vesting would accelerate had value.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Voluntary</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Reason or</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Voluntary</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Resignation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with Good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 for</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6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2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Cause</w:t>
            </w:r>
          </w:p>
        </w:tc>
        <w:tc>
          <w:tcPr>
            <w:tcW w:w="2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or Death</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Retirement</w:t>
            </w:r>
          </w:p>
        </w:tc>
      </w:tr>
      <w:tr>
        <w:trPr>
          <w:trHeight w:val="27"/>
        </w:trPr>
        <w:tc>
          <w:tcPr>
            <w:tcW w:w="3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3,345,293</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4,977,814</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16,543,983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5,381,044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1,632,521</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200" w:type="dxa"/>
            <w:vAlign w:val="bottom"/>
          </w:tcPr>
          <w:p>
            <w:pPr>
              <w:spacing w:after="0"/>
              <w:rPr>
                <w:sz w:val="21"/>
                <w:szCs w:val="21"/>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2,926,277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3,000,008</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4,002,106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365,253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291,521</w:t>
            </w: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955,990</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2,342,921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685,720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205,990</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200" w:type="dxa"/>
            <w:vAlign w:val="bottom"/>
          </w:tcPr>
          <w:p>
            <w:pPr>
              <w:spacing w:after="0"/>
              <w:rPr>
                <w:sz w:val="21"/>
                <w:szCs w:val="21"/>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974,742</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2,405,314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809,101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224,742</w:t>
            </w:r>
          </w:p>
        </w:tc>
      </w:tr>
      <w:tr>
        <w:trPr>
          <w:trHeight w:val="283"/>
        </w:trPr>
        <w:tc>
          <w:tcPr>
            <w:tcW w:w="31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George T. Henley</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898,274</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2,059,536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389,714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148,274</w:t>
            </w:r>
          </w:p>
        </w:tc>
      </w:tr>
    </w:tbl>
    <w:p>
      <w:pPr>
        <w:spacing w:after="0" w:line="198" w:lineRule="exact"/>
        <w:rPr>
          <w:sz w:val="20"/>
          <w:szCs w:val="20"/>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Henley’s deferrals into Ocwen’s Executive Non-Qualified Deferred Compensation Plan, along with any related credited earnings, are not included in the above amounts, but would be payable to him following any form of employment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Payments for June C. Campbell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June 30, 2022, Ms. Campbell departed the Company after serving as Executive Vice President and Chief Financial Officer through June 12, 2022. The Company entered into a separation and release agreement with Ms. Campbell in connection with a leadership transition initiated by Ocwen, pursuant to which she received the benefits entitled to her under the Severance Plan (see “All Other Compensation” table above). The separation and release agreement provides for a release of claims against the Company and for Ms. Campbell to comply with certain non-solicitation and other covenants in the interest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Payments for Albert J. Celini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October 31, 2022, Mr. Celini departed the Company as Executive Vice President and Chief Risk and Compliance Officer. The Company entered into a separation and release agreement with Mr. Celini in connection with a leadership transition initiated by Ocwen, pursuant to which he received the benefits entitled to him under the Severance Plan, as well as additional compensation for as-needed consulting through June 30, 2023 (see “All Other Compensation” table above). The separation and release agreement provides for a release of claims against the Company and for Mr. Celini to comply with certain non-solicitation and other covenants in the interest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Two)</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Deloitte &amp; Touche LLP, independent registered public accountants, to be our independent registered public accounting firm for the year ending December 31, 2023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RATIFICATION OF DELOITTE &amp; TOUCHE LLP AS OUR INDEPENDENT REGISTERED PUBLIC ACCOUNTING FIRM FOR 2023.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Ocwen’s audited financial statements as of and for the year ended December 31,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Audit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684"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J. Bowers,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Jenne K. Britell,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J. Busquet, Director</w:t>
      </w:r>
    </w:p>
    <w:p>
      <w:pPr>
        <w:spacing w:after="0" w:line="200" w:lineRule="exact"/>
        <w:rPr>
          <w:sz w:val="20"/>
          <w:szCs w:val="20"/>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Deloitte &amp; Touche LLP Fees</w:t>
      </w:r>
    </w:p>
    <w:p>
      <w:pPr>
        <w:sectPr>
          <w:pgSz w:w="11900" w:h="16838" w:orient="portrait"/>
          <w:cols w:equalWidth="0" w:num="1">
            <w:col w:w="11240"/>
          </w:cols>
          <w:pgMar w:left="320" w:top="684"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aggregate fees billed to Ocwen for professional services by Deloitte &amp; Touche LLP for fiscal years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4"/>
              </w:rPr>
              <w:t>3,617,086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4,038,442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tc>
        <w:tc>
          <w:tcPr>
            <w:tcW w:w="3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1,287,416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931,000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1,094,928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1,385,128</w:t>
            </w:r>
          </w:p>
        </w:tc>
      </w:tr>
      <w:tr>
        <w:trPr>
          <w:trHeight w:val="23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320" w:type="dxa"/>
            <w:vAlign w:val="bottom"/>
          </w:tcPr>
          <w:p>
            <w:pPr>
              <w:spacing w:after="0"/>
              <w:rPr>
                <w:sz w:val="20"/>
                <w:szCs w:val="20"/>
                <w:color w:val="auto"/>
              </w:rPr>
            </w:pP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4"/>
              </w:rPr>
              <w:t>5,999,430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This category includes the aggregate fees billed for professional services rendered for the audits of Ocwen’s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years 2022 and 2021, for the reviews of the financial statements included in Ocwen’s quarterly reports on Form 10-Q during fiscal years 2022 and 2021 and for services that are normally provided by the independent registered public accounting firm in connection with statutory and regulatory filings or engagements for the relevant fiscal years.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Related Fees. </w:t>
      </w:r>
      <w:r>
        <w:rPr>
          <w:rFonts w:ascii="Times New Roman" w:cs="Times New Roman" w:eastAsia="Times New Roman" w:hAnsi="Times New Roman"/>
          <w:sz w:val="18"/>
          <w:szCs w:val="18"/>
          <w:color w:val="auto"/>
        </w:rPr>
        <w:t>This category includes the aggregate fees billed for reporting on internal controls relating to servicing operations and evaluation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performed in connection with documentation relating to a collateralized note offering.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This category includes the aggregate fees billed in each of the last two fiscal years for professional services rendered by the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tax compliance, tax planning and tax advice.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Fees. </w:t>
      </w:r>
      <w:r>
        <w:rPr>
          <w:rFonts w:ascii="Times New Roman" w:cs="Times New Roman" w:eastAsia="Times New Roman" w:hAnsi="Times New Roman"/>
          <w:sz w:val="18"/>
          <w:szCs w:val="18"/>
          <w:color w:val="auto"/>
        </w:rPr>
        <w:t>This category includes the aggregate amounts billed in each of the last two fiscal years by the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that are not reported above under “Audit Fees,” “Audit-Related Fees” or “Tax Fees.”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evaluated the non-audit-related services provided by and fees paid to Deloitte &amp; Touche LLP in 2021 and 2022 and the proposed services for 2023 and determined that such services and fees are compatible with the independence of Deloitte &amp; Touche LLP.</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for Audit Committee Pre-Approval of Audit and Non-Audit Services Provided by the Independent Auditor (the “Pre-Approval Principles”). </w:t>
      </w:r>
      <w:r>
        <w:rPr>
          <w:rFonts w:ascii="Times New Roman" w:cs="Times New Roman" w:eastAsia="Times New Roman" w:hAnsi="Times New Roman"/>
          <w:sz w:val="18"/>
          <w:szCs w:val="18"/>
          <w:color w:val="auto"/>
        </w:rPr>
        <w:t>The 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does not delegate its responsibilities to pre-approve services performed by the independent auditor to management.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Three)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2022, we received 94% of votes cast on our Say-on-Pay proposal in favor of our named executive officer compensation.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considered the result of the 2022 Say-on-Pay proposal, as well as input gathered from advisors, shareholders and investors, in designing our 2022 executive compensation program. We discussed progress made toward Ocwen’s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2022.</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2023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Pursuant to SEC regulations, we have included a “Say-on-Frequency” vote as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Proposal Four to this proxy statement to be voted on at the 2023 Annual Meeting of Shareholders. Our Board of Directors continues to believe that Say-on-Pay votes should be conducted every year so that our shareholders may annually express their views on our executive compensation program and have recommended stockholders vote to hold the Say-on-Pay vote every year. Therefore, we expect that the next such vote will occur at the 2024 Annual Meeting of Shareholders.</w:t>
      </w:r>
    </w:p>
    <w:p>
      <w:pPr>
        <w:spacing w:after="0" w:line="185" w:lineRule="exact"/>
        <w:rPr>
          <w:sz w:val="20"/>
          <w:szCs w:val="20"/>
          <w:color w:val="auto"/>
        </w:rPr>
      </w:pPr>
    </w:p>
    <w:p>
      <w:pPr>
        <w:jc w:val="center"/>
        <w:ind w:left="340" w:right="15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FREQUENCY OF FUTURE ADVISORY VOTES ON NAMED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(Proposal Four)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Proposal Three above, the Company is providing shareholders with the opportunity to cast an advisory vote on the compensation of our named executive officers (referred to as a “Say-on-Pay” vote).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2017, the Company provided shareholders with the opportunity to cast an advisory vote on how often we should include a Say-on-Pay vote in our proxy materials for our annual meetings of shareholders or special shareholder meetings for which we must include executive compensation information in the proxy statement for that meeting (referred to as a “Say-on-Frequency” vote). At our 2017 annual meeting, the majority of our shareholders voted to hold a Say-on-Pay vote every year. The Board of Directors continues to believe that Say-on-Pay votes should be conducted every year so that our shareholders may annually express their views on our executive compensation program.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Securities and Exchange Commission rules, we are required to hold a new Say-on-Frequency vote at least every six years. Accordingly, this Proposal Four affords our shareholders the opportunity to cast an advisory vote on how often we should include a Say-on-Pay vote in our proxy materials for future annual meetings of shareholders (or special shareholder meetings for which we must include executive compensation information in the proxy statement for that meeting). Under this Proposal Four, our shareholders may vote to have future advisory votes on executive compensation every year, every two years, every three years, or abstain from voting.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advisory votes on executive compensation should be conducted every year so that our shareholders may annually express their views on our executive compensation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the Say-on-Pay vote, this Say-on-Frequency vote is advisory and will not be binding on the Company, the Compensation Committee, or the Board of Directors. However, the Compensation Committee and our Board of Directors value the opinions expressed by our shareholders and will take the outcome of this vote into account when determining the frequency of future Say-on-Pay votes.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TO HOLD FUTURE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VOTES ON NAMED EXECUTIVE OFFICER COMPENSATION EVERY 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AMENDMENT TO THE OCWEN FINANCIAL CORPORATION 2021 EQUITY INCENTIVE PLAN TO INCREASE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(Proposal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the Annual Meeting, shareholders will be asked to approve an amendment (the “2021 Plan Amendment”) to the Ocwen Financial Corporation 2021 Equity Incentive Plan (the “2021 Plan”) to increase the number of shares that may be issued under the plan as described below. The proposed amendment was adopted, subject to shareholder approval, by our Board of Directors on April 12, 2023. The full text of the 2021 Plan Amendment and the 2021 Plan as currently in effect are included below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incentives and stock-based awards focus employees on the objective of creating shareholder value and promoting the success of the Company, and that incentive compensation plans like the 2021 Plan are an important attraction, retention and motivation tool for participants in the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presently makes grants under the 2021 Plan. In addition, awards remain outstanding under the 2017 Performance Incentive Plan (the “2017 Plan”) and the 2007 Equity Incentive Plan (the “2007 Plan” and together with the 2017 Plan, the “Legacy Plans”). As of April 11, 2023, a total of 581,795 shares of the Company’s common stock were subject to outstanding awards granted under the 2021 Plan and 198,881 shares were subject to outstanding awards granted under Legacy Plans. As of April 11, 2023, 123,319 shares of the Company’s common stock were available for new award grants under the 2021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the number of shares currently available under the 2021 Plan does not give the Company sufficient flexibility to adequately provide for future incentives. If shareholders approve the 2021 Plan Amendment, an additional 300,000 shares of the Company’s common stock will be made available for award grants under the 2021 Plan. In addition, any shares of common stock underlying RSUs granted under the Legacy Plans that fail to vest, are canceled, or otherwise terminate will also be available for award grant purposes under the 2021 Plan. None of the shares of the Company’s common stock underlying stock options that expire, are canceled, or otherwise terminate will be available for award grant purposes under the 2021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December 31, 2020, to December 31, 2022, fully-diluted book value has increased 18% while estimated share count after cashless exercise of warrants issued to Oaktree has decreased 6%. The addition of 300,000 shares to the 2021 Plan would still result in 3% decreased share count,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123190</wp:posOffset>
            </wp:positionV>
            <wp:extent cx="5812155" cy="2511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1215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Shares Outstanding at each year-end also includes warrants, outstanding equity awards and shares available in 2021 Plan.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warrants issued to Oaktree are cashlessly exercised using 10-day average of Volume Weighted Average Price (10 days ending on preceding day of exercise) on 12/31/2022 of $31.51.</w:t>
      </w: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EIP Activity in 2021 and 2022 includes grants, performance adjustments, and share recycling for taxes, forfeits and expiration.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If shareholders do not approve the 2021 Plan Amendment, the Company will continue to have the authority to grant awards subject to share availability under the 2021 Plan. If shareholders approve the 2021 Plan Amendment, there will be no impact on awards then outstanding under the 2021 Plan or Legacy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the 2021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principal terms of the 2021 Plan are summarized below. The following summary is qualified in its entirety by the full text of the 2021 Plan, which is included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2021 Plan is to promote the success of the Company by providing an additional means for us to attract, motivate, retain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reward selected employees and other eligible persons through the grant of awards. Equity-based awards are also intended to further align the interests of award recipients and our shareholders.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one or more committees appointed by our Board of Directors will administer the 2021 Plan.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has delegated general administrative authority for the 2021 Plan to the Compensation Committee. The Board of Directors or a committee thereof (within its delegated authority) may delegate different levels of authority to different committees or persons with administrative and grant authority under the 2021 Plan. (The appropriate acting body, be it the Board of Directors or a committee or other person within its delegated authority, is referred to in this proposal as the “Administrator”.)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has broad authority under the 2021 Plan, including, without limitation, the authority:</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eligible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and determine the terms and conditions of awards, including the price (if any) to be paid for the shares or the award and, in the case of share-based awards, the number of shares to be offered or awarded;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2021 Plan, to make certain adjustments to an outstanding award and to authorize the conversion, succession or substitution of an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method of payment of any purchase price for an award or shares of the Company’s common stock delivered under the 2021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agreements used under the 2021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2021 Plan, make rules for the administration of the 2021 Plan, and make all other determinations for the administration of the 2021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 referred to under “Adjustments” below, or any repricing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at any time that the exercise price or base price of the award is greater than fair market value or under any other circumstances that would constitute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Persons eligible to receive awards under the 2021 Plan include officers or employees of the Company or any of its subsidiaries, directors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and certain consultants and advisors to the Company or any of its subsidiaries. As of April 11, 2023, the Company and its subsidiaries had approximately 4,900 employees (including all of the Company’s named executive officers), and six members of our Board of Directors who are not employed by the Company or any of its subsidiaries (“non-management directors”), all of which are considered eligible under the 2021 Plan. As of April 11, 2023, the Company and its subsidiaries had approximately 5 consultants and advisors who were also considered eligible under the 2021 Plan. In 2022, 111 employees and all non-management directors received awards under the 2021 Plan.</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Aggregate Share Limit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giving effect to the proposed 2021 Plan Amendment, the maximum number of shares of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that may be issued or transferred pursuant to awards under the 2021 Plan, as amended equals the sum of the following (such total number of shares, the “Share Limit”):</w:t>
      </w:r>
    </w:p>
    <w:p>
      <w:pPr>
        <w:spacing w:after="0" w:line="17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plus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additional award grant purposes under the 2017 Plan as of May 25, 2022, the date our shareholders approved the Amendment No. 1 to the 2021 Plan (the “Stockholder Approval Date”), plus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restricted stock and restricted stock unit awards granted under the Legacy Plans that are outstanding and unvested as of the Stockholder Approval Date which are forfeited, terminated, cancelled, or otherwise reacquired after the Stockholder Approval Date without having become vested (with any such shares taken into account based on the premium share-counting rule discussed below for full-value awards).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11, 2023, approximately 159,724 shares were subject to potential forfeit under restricted stock and restricted stock unit awards then outstanding under the Legacy Plans before taking into account the premium share-counting rule discussed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the 2021 Plan will be counted against the Share Limit as 1.2 shares for every one share actually issued in connection with the award. For example, if the Company granted a bonus of 100 shares of its common stock under the 2021 Plan, 120 shares would be counted against the Share Limit with respect to that award. For this purpose, a “full-value award” generally means any award granted under the 2021 Plan other than a stock option or stock appreciation right.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Aggregate Share Limit, if Approved by Shareholders. </w:t>
      </w:r>
      <w:r>
        <w:rPr>
          <w:rFonts w:ascii="Times New Roman" w:cs="Times New Roman" w:eastAsia="Times New Roman" w:hAnsi="Times New Roman"/>
          <w:sz w:val="18"/>
          <w:szCs w:val="18"/>
          <w:color w:val="auto"/>
        </w:rPr>
        <w:t>If shareholders approve the 2021 Plan Amendment, the Share Limit, as defined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increased by an additional 300,000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Share Limits</w:t>
      </w:r>
      <w:r>
        <w:rPr>
          <w:rFonts w:ascii="Times New Roman" w:cs="Times New Roman" w:eastAsia="Times New Roman" w:hAnsi="Times New Roman"/>
          <w:sz w:val="18"/>
          <w:szCs w:val="18"/>
          <w:color w:val="auto"/>
        </w:rPr>
        <w:t>. The following other limits are also contained in the 2021 Plan. These limits are in addition to, and not in lieu of, the Share Limit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plan described above and, in the case of share-based limits, are applied on a one-for-one basis without applying the premium share-counting ratio for full-value awards discussed above.</w:t>
      </w:r>
    </w:p>
    <w:p>
      <w:pPr>
        <w:spacing w:after="0" w:line="175" w:lineRule="exact"/>
        <w:rPr>
          <w:sz w:val="20"/>
          <w:szCs w:val="20"/>
          <w:color w:val="auto"/>
        </w:rPr>
      </w:pPr>
    </w:p>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granted under the plan is 333,333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grant date fair value for awards granted to a non-management director under the 2021 Plan during any one calendar year is $300,000, except that this limit will be $400,000 as to (1) a non-management director who is serving as the independent Chair of the Board of Directors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Share-Limit Counting Rules. </w:t>
      </w:r>
      <w:r>
        <w:rPr>
          <w:rFonts w:ascii="Times New Roman" w:cs="Times New Roman" w:eastAsia="Times New Roman" w:hAnsi="Times New Roman"/>
          <w:sz w:val="18"/>
          <w:szCs w:val="18"/>
          <w:color w:val="auto"/>
        </w:rPr>
        <w:t>The Share Limit of the 2021 Plan is subject to the following rules: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full-value awards which expire or for any reason are canceled, terminated, forfeited, fail to vest, or for any other reason are not paid or delivered under the 2021 Plan will not be counted against the Share Limit and will again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underlie stock appreciation rights and stock options which expire or for any reason are cancelled or terminated, are forfeited, fail to vest, or for any other reason are not paid or delivered under the 2021 Plan shall be counted against the Share Limit and shall not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are delivered pursuant to the exercise of a stock option or stock appreciation right granted under the 2021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to pay the exercise price of a stock option or stock appreciation right granted under the 2021 Plan, as well as any shares exchanged or withheld to satisfy the tax withholding obligations related to any stock option or stock appreciation right, will not be available for subsequent awards under the 2021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full-value award granted under the 2021 Plan or the Legacy Plans, as well as any shares exchanged by a participant or withheld by the Company to satisfy the tax withholding obligations related to any full-value award granted under the 2021 Plan or the Legacy Plans, will not be counted against the Share Limit and will again be available for subsequent awards under the 2021 Plan (with any such shares becoming available for subsequent awards taking into account the premium share-counting rule discussed above for full-value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ind w:lef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2021 Plan other than the aggregate Share Limit.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2021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2021 Plan. The Company may not increase the applicable share limits of the 2021 Plan by repurchasing shares of common stock on the market (by using cash received through the exercise of stock options or otherwise).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2021 Plan authorizes stock options, stock appreciation rights, and other forms of awards granted or denominated 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or units of the Company’s common stock, as well as cash bonus awards. The 2021 Plan retains flexibility to offer competitive incentives and to tailor benefits to specific needs and circumstances. Any award may be structured to be paid or settled in cash.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2021 Plan” below. Incentive stock options are also subject to more restrictive terms and are limited in amount by the U.S. Internal Revenue Code and the 2021 Plan. Incentive stock options may only be granted to employees of the Company or a subsidiary.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stock appreciation right is the right to receive payment of an amount equal to the excess of the fair market value of a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types of awards that may be granted under the 2021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awards under the 2021 Plan (including awards of stock options and stock appreciation rights) may be fully-vested at grant or may be subject to time-and/or performance-based vesting requirements.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Minimum Vesting Requirement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described below, each award granted under the 2021 Plan will be subject to a minimum vesting period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An 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2021 Plan). Awards may, however, be granted under the 2021 Plan with minimum vesting requirements of less than one year, or no vesting requirements, provided that the total number of shares of the Company’s common stock subject to such awards will not exceed 5% of the Share Limit.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 Equivalents; Deferrals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deferred payment of awards, and may determine the other terms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deferrals. The Administrator may provide that awards under the 2021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2021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Assumption and Termination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event occurs in which the Company does not survive (or does not survive as a public company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common stock), including, without limitation, a dissolution, merger, combination, consolidation, conversion, exchange of securities, or other reorganization, or a sale of all or substantially all of the business, stock or assets of the Company, awards then-outstanding under the 2021 Plan may not automatically become fully vested pursuant to the provisions of the 2021 Plan so long as such awards are assumed, substituted for or otherwise continued (i.e. no “single-trigger” awards). However, if awards then-outstanding under the 2021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2021 Plan, subject to the prohibition on “single-trigger” awards. For example, the Administrator could provide for the acceleration of vesting or payment of an award in connection with a corporate event followed by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contained in Section 5.7 of the 2021 Plan, awards under the 2021 Plan generally are not transferable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customary in incentive plans of this nature, each share limit and the number and kind of shares available under the 2021 Plan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Limit on Other 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2021 Plan does not limit the authority of the Board of Directors or any committee to grant awards or authorize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with or without reference to the Company’s common stock, under any other plan or authority.</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Termination of or Changes to the 2021 Plan and Outstanding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may amend or terminate the 2021 Plan at any time and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2021 Plan will terminate on April 14, 2031.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Awards under the 2021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2021 Plan under current federal law, which is subject to change, are summarized in the following discussion of the general tax principles applicable to the 2021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2021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award is accelerated under the 2021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Benefits under the 2021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not approved any awards that are conditioned upon shareholder approval of the 2021 Plan Amendment. The Company is not currently considering any other specific award grants under the 2021 Plan, other than the annual grants of restricted stock units to our non-management directors described in the following paragraph. If the 2021 Plan Amendment had been in existence in fiscal year 2022, the Company expects that its award grants for fiscal year 2022 would not have been substantially different from those actually made in that year under the 2021 Plan. For information regarding stock-based awards granted to the Company’s named executive officers during fiscal year 2022, please see the discussion under the heading “Executive Compensation” above. The Company granted similar awards in March 2023. The Company generally expects to continue granting similar awards on an annual basis under the 2021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under “Board of Directors Compensation” above, our current compensation policy for non-management directors provides for each non-management director to receive an annual award of restricted stock units, with the number of shares subject to each award to be determined by dividing $120,000 by the closing price of our stock as reported on the New York Stock Exchange on the grant date as described above. Assuming, for illustrative purposes only, that the price of the common stock used for the conversion of the dollar amount set forth above into shares is $50, the number of shares that would be allocated to the Company’s six non-management directors as a group pursuant to the annual grant formula is approximately 14,400 shares per year and approximately 115,200 shares in the aggregate over the remaining eight years of the 10-year term of the 2021 Plan. This calculation also assumes that there continue to be six non-management directors seated and that there are no changes to the awards granted under the director equity grant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paragraphs include additional information to help you assess the potential dilutive impact of the Company’s equity awards and the 2021 Plan Amendment. The Legacy Plans and 2021 Plan are the Company’s only equity plans with outstanding awards. No new grants may be authorized under the Legacy Plans.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Overhang</w:t>
      </w:r>
      <w:r>
        <w:rPr>
          <w:rFonts w:ascii="Times New Roman" w:cs="Times New Roman" w:eastAsia="Times New Roman" w:hAnsi="Times New Roman"/>
          <w:sz w:val="18"/>
          <w:szCs w:val="18"/>
          <w:color w:val="auto"/>
        </w:rPr>
        <w:t>” refers to the number of shares of the Company’s common stock that are subject to outstanding awards under our equity compensation plans (i.e. the Legacy Plans and the 2021 Plan) or remain available for new award grants. As of December 31, 2023, 639,590 shares of the Company’s common stock were subject to outstanding restricted stock and restricted stock unit awards, including 327,603 shares subject to performance-based vesting criteria, 114,658 shares of the Company’s common stock were subject to outstanding stock options, including 44,500 shares subject to performance-based vesting criteria, and 404,693 shares of the Company’s common stock were available for new award grants under the 2021 Plan. As of December 31, 2023, the weighted average exercise price and weighted average remaining term of outstanding stock options were $141.27 and 3.8 years, respectively. In this 2021 Plan Amendment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applicable provisions for counting these awards against the plan’s Share Limit as 1.2 for every share actually issued pursuant to the award.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basic weighted-average number of shares of the Company’s common stock issued and outstanding in each of the last three fiscal years was 8,748,725 shares issued and outstanding in 2020, 9,021,975 shares issued and outstanding in 2021, and 8,647,399 shares issued and outstanding in 2022. The number of shares of the Company’s common stock issued and outstanding as of December 31, 2022 and April 11, 2023 was 8,647,399 and 7,640,333 shares, respectively.</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Burn rate</w:t>
      </w:r>
      <w:r>
        <w:rPr>
          <w:rFonts w:ascii="Times New Roman" w:cs="Times New Roman" w:eastAsia="Times New Roman" w:hAnsi="Times New Roman"/>
          <w:sz w:val="18"/>
          <w:szCs w:val="18"/>
          <w:color w:val="auto"/>
        </w:rPr>
        <w:t>” refers to the number of shares that are subject to awards that we grant over a particular period of time. The total number of shares of the Company’s common stock subject to awards that the Company granted under the Legacy Plans and the 2021 Plan since its approval by shareholders on May 25, 2021 and to date (as of April 11, 2023) for 2023, are as follows:</w:t>
      </w:r>
    </w:p>
    <w:p>
      <w:pPr>
        <w:spacing w:after="0" w:line="175" w:lineRule="exact"/>
        <w:rPr>
          <w:sz w:val="20"/>
          <w:szCs w:val="20"/>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204,054 shares in 2020 (which was 2.3% of the weighted-average number of shares of the Company’s common stock issued and outstanding in 2020), all of which were shares subject to restricted stock and restricted stock unit awards (including 75,000 subject to performance-based vesting conditions, assuming achievement of target performance levels).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250,832 shares in 2021 (which was 2.8% of the basic weighted-average number of shares of the Company’s common stock issued and outstanding in 2021), all of which were shares subject to restricted stock and restricted stock unit awards (including 116,207 subject to performance-based vesting conditions, assuming achievement of target performance levels).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388,683 shares in 2022 (which was 4.5% of the basic weighted-average number of shares of the Company’s common stock issued and outstanding in 2022), all of which were shares subject to restricted stock and restricted stock unit awards (including 151,452 subject to performance-based vesting conditions, assuming achievement of target performance levels).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273,851 shares in 2023 through April 11, 2023 (which was 3.6% of the number of shares of the Company’s common stock issued and outstanding on April 11, 2023), all of which were shares subject to restricted stock and restricted stock unit awards (including 136,928 subject to performance-based vesting conditions, assuming achievement of target performance levels).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18"/>
          <w:szCs w:val="18"/>
          <w:color w:val="auto"/>
        </w:rPr>
        <w:t>Thus, the total number of shares of the Company’s common stock subject to awards granted under the 2017 Plan and 2021 Plan per year over the last three fiscal years (2020, 2021 and 2022) has been, on average, 3.2% of the weighted-average number of shares of the Company’s common stock issued and outstanding for the corresponding year. Performance-based vesting awards have been included above in the period in which the award was granted. The actual number of performance-based vesting restricted stock and restricted stock unit awards that became eligible to vest in each period because the applicable performance-based condition was satisfied in that year (subject to the satisfaction of any applicable time-based vesting requirements) was as follows: 21,790 in 2020, 15,873 in 2021, 30,254 in 2022 and 150,146 to date (as of April 11, 2023) in 2023. No stock options have been granted in the last three fiscal years or to date in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shares of our common stock that were subject to awards granted under the 2017 Plan and the 2021 Plan that terminated or expired in each of the last three fiscal years and to date (as of April 11, 2023) in 2023, are as follows: 13,056 in 2020, 20,367 in 2021, 177,354 in 2022, and zero in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anticipates that the 300,000 additional shares requested for the 2021 Plan Amendment (together with the shares available for new award grants under the 2021 Plan on the Annual Meeting date and assuming usual levels of shares becoming available for new awards as a result of forfeitures of outstanding awards) will provide the Company with flexibility to continue to grant equity awards under the 2021 Plan through approximately 2023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and existing employees in connection with acquisitions, the need to attract and retain key talent, including through the use retention incentives especially during volatile periods such as this one, the type of awards the Company grants, and how the Company chooses to balance total compensation between cash and equity-based awards. The Compensation Committee, with the input of its independent consultant, regularly evaluates all the preceding circumstances and evaluates the appropriateness of share utilization.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market price for a share of the Company’s common stock as of April 11, 2023 was $28.88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Aggregate Past Grants under the 2021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11, 2023, awards covering 641,665 shares of our common stock had been granted under the 2021 Plan since its approval by shareholders May 25, 2021. The following table shows information regarding (1) the distribution of those awards among the persons and groups identified below, (2) stock units that have vested and become payable prior to that date, and (3) stock units that are outstanding as of that date. For purposes of this table, outstanding stock units that are subject to performance-based vesting conditions are reflected at the target payout level. No stock options have been granted under the 2021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Restricted Stock / Units</w:t>
            </w:r>
          </w:p>
        </w:tc>
        <w:tc>
          <w:tcPr>
            <w:tcW w:w="1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Shares/Units</w:t>
            </w:r>
          </w:p>
        </w:tc>
      </w:tr>
      <w:tr>
        <w:trPr>
          <w:trHeight w:val="216"/>
        </w:trPr>
        <w:tc>
          <w:tcPr>
            <w:tcW w:w="55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Shares/Units</w:t>
            </w:r>
          </w:p>
        </w:tc>
        <w:tc>
          <w:tcPr>
            <w:tcW w:w="300" w:type="dxa"/>
            <w:vAlign w:val="bottom"/>
          </w:tcPr>
          <w:p>
            <w:pPr>
              <w:spacing w:after="0"/>
              <w:rPr>
                <w:sz w:val="18"/>
                <w:szCs w:val="18"/>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 and</w:t>
            </w:r>
          </w:p>
        </w:tc>
      </w:tr>
      <w:tr>
        <w:trPr>
          <w:trHeight w:val="216"/>
        </w:trPr>
        <w:tc>
          <w:tcPr>
            <w:tcW w:w="55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Subject to Past</w:t>
            </w:r>
          </w:p>
        </w:tc>
        <w:tc>
          <w:tcPr>
            <w:tcW w:w="300" w:type="dxa"/>
            <w:vAlign w:val="bottom"/>
          </w:tcPr>
          <w:p>
            <w:pPr>
              <w:spacing w:after="0"/>
              <w:rPr>
                <w:sz w:val="18"/>
                <w:szCs w:val="18"/>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Shares/Units Vested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Unvested as of April</w:t>
            </w:r>
          </w:p>
        </w:tc>
      </w:tr>
      <w:tr>
        <w:trPr>
          <w:trHeight w:val="245"/>
        </w:trPr>
        <w:tc>
          <w:tcPr>
            <w:tcW w:w="5520" w:type="dxa"/>
            <w:vAlign w:val="bottom"/>
          </w:tcPr>
          <w:p>
            <w:pPr>
              <w:spacing w:after="0"/>
              <w:rPr>
                <w:sz w:val="21"/>
                <w:szCs w:val="21"/>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300" w:type="dxa"/>
            <w:vAlign w:val="bottom"/>
          </w:tcPr>
          <w:p>
            <w:pPr>
              <w:spacing w:after="0"/>
              <w:rPr>
                <w:sz w:val="21"/>
                <w:szCs w:val="21"/>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as of April 11, 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11, 2023</w:t>
            </w:r>
          </w:p>
        </w:tc>
        <w:tc>
          <w:tcPr>
            <w:tcW w:w="100" w:type="dxa"/>
            <w:vAlign w:val="bottom"/>
          </w:tcPr>
          <w:p>
            <w:pPr>
              <w:spacing w:after="0"/>
              <w:rPr>
                <w:sz w:val="21"/>
                <w:szCs w:val="21"/>
                <w:color w:val="auto"/>
              </w:rPr>
            </w:pPr>
          </w:p>
        </w:tc>
      </w:tr>
      <w:tr>
        <w:trPr>
          <w:trHeight w:val="22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Glen A. Messina</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287,310</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24,509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262,801</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 Anderson</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39,419</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36,356</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George T. Henley</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39,419</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3,063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36,356</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B. O’Neil</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100,525</w:t>
            </w:r>
          </w:p>
        </w:tc>
        <w:tc>
          <w:tcPr>
            <w:tcW w:w="3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100,525</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Dennis Zeleny</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35,742</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2,450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33,292</w:t>
            </w:r>
          </w:p>
        </w:tc>
      </w:tr>
      <w:tr>
        <w:trPr>
          <w:trHeight w:val="283"/>
        </w:trPr>
        <w:tc>
          <w:tcPr>
            <w:tcW w:w="55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for All Current Executive Officers as a Group (9 persons)</w:t>
            </w:r>
            <w:r>
              <w:rPr>
                <w:rFonts w:ascii="Times New Roman" w:cs="Times New Roman" w:eastAsia="Times New Roman" w:hAnsi="Times New Roman"/>
                <w:sz w:val="29"/>
                <w:szCs w:val="29"/>
                <w:b w:val="1"/>
                <w:bCs w:val="1"/>
                <w:color w:val="auto"/>
                <w:vertAlign w:val="superscript"/>
              </w:rPr>
              <w:t>(1)</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555,477</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38,339</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517,138</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Alan J. Bowers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Jenne K. Britell</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Jacques J. Busquet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R. Caldwell</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DeForest B. Soaries, Jr.</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Stein</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7,837</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w:t>
            </w: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for all Current Non-Management Directors as a Group (6</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47,022</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18,426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28,596</w:t>
            </w: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Each other person who has received 5% or more of the options,</w:t>
            </w: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or rights under the Plan</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2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39,166</w:t>
            </w:r>
          </w:p>
        </w:tc>
        <w:tc>
          <w:tcPr>
            <w:tcW w:w="2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3,105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36,061</w:t>
            </w:r>
          </w:p>
        </w:tc>
      </w:tr>
      <w:tr>
        <w:trPr>
          <w:trHeight w:val="243"/>
        </w:trPr>
        <w:tc>
          <w:tcPr>
            <w:tcW w:w="55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641,665</w:t>
            </w:r>
          </w:p>
        </w:tc>
        <w:tc>
          <w:tcPr>
            <w:tcW w:w="2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59,870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581,795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 addition to Named Executive Officers, includes Messrs. Grunenwald, Samarias and Wade, and Ms. Evans.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non-employee directors listed in the table above is nominated for election to the Board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as of the end of the most recently completed fiscal year with respect to compensation plans under which our equity securities are authorized for issuance is contained under the heading “Equity Compensation Plan Information”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the Amendment to the 2021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the adoption of the 2021 Plan Amendment will promote the interests of the Company and its shareholders and will help the Company and its subsidiaries to attract, retain and reward persons important to our success.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members of the Board of Directors and all of the Company’s executive officers are eligible for awards under the 2021 Plan and thus have a personal interest in the approval of the 2021 Plan Amendment.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proposal for approval of the 2021 Plan Amendment will be approved if the votes cast by the holders of the shares represented at the Annual Meeting and entitled to vote in favor of the proposal exceed the votes cast opposing the proposal. Abstentions and broker “non-votes” will not be counted as votes cast and therefore will not be counted for purposes of determining whether the 2021 Plan Amendment has received a majority vote in favor of this proposal.</w:t>
      </w:r>
    </w:p>
    <w:p>
      <w:pPr>
        <w:spacing w:after="0" w:line="176" w:lineRule="exact"/>
        <w:rPr>
          <w:sz w:val="20"/>
          <w:szCs w:val="20"/>
          <w:color w:val="auto"/>
        </w:rPr>
      </w:pPr>
    </w:p>
    <w:p>
      <w:pPr>
        <w:jc w:val="both"/>
        <w:ind w:left="1160" w:right="1100" w:hanging="4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OUR BOARD OF DIRECTORS RECOMMENDS THAT YOU VOTE “FOR” APPROVAL OF THE AMENDMENT TO THE 2021 EQUITY INCENTIVE PLAN AS DESCRIBED ABOVE AND SET FORTH IN </w:t>
      </w:r>
      <w:r>
        <w:rPr>
          <w:rFonts w:ascii="Times New Roman" w:cs="Times New Roman" w:eastAsia="Times New Roman" w:hAnsi="Times New Roman"/>
          <w:sz w:val="17"/>
          <w:szCs w:val="17"/>
          <w:b w:val="1"/>
          <w:bCs w:val="1"/>
          <w:u w:val="single" w:color="auto"/>
          <w:color w:val="auto"/>
        </w:rPr>
        <w:t>ANNEX A</w:t>
      </w:r>
      <w:r>
        <w:rPr>
          <w:rFonts w:ascii="Times New Roman" w:cs="Times New Roman" w:eastAsia="Times New Roman" w:hAnsi="Times New Roman"/>
          <w:sz w:val="17"/>
          <w:szCs w:val="17"/>
          <w:b w:val="1"/>
          <w:bCs w:val="1"/>
          <w:color w:val="auto"/>
        </w:rPr>
        <w:t xml:space="preserve"> HERETO.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BUSINESS RELATIONSHIPS AND RELATED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also includes policies and procedures that broadly cover situations in which conflicts of interest may arise.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Risk and Compliance Committee (the “Committee”) of the Board of Directors provides independent review, approval and oversight of Related Party Transactions as required under the Policy. The Committee approved the Related Party Transactions discussed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evaluates whether the transaction is consistent with the interests of the Company and its shareholders. The Committee will prohibit any Related Party Transaction that the Committee determines to be inconsistent with the interests of the Company and its shareholders. In making this determination, the Committee may consider the following factors, as well as any others it deems appropriate, to the extent relevant to the transaction: (i) whether there are any alternatives to the Related Party Transaction; (ii) 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Ocwen and (v) any impact, positive or negative, on borrowers or mortgage loan investors. The Committee may request or require members of management to make certain modifications to a proposed Related Party Transaction prior to its approval of such Related Party Transaction. In addition to pre-approving Related Party Transactions on a transaction-specific basis, the Committee may pre-approve categories of Related Party Transactions meeting certain criteria, on the basis that all such transactions merit pre-approval under the standards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Altisource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contained in filings under the Exchange Act, we understand that Deer Park Road Management Company, LP, an Ocwen shareholder reporting beneficial ownership of over 5% of our common stock, also reports beneficial ownership of 20% of the common stock of Altisource Portfolio Solutions, S.A. (“Altisource”) as of February 14, 2023.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Our relationship with Altisource is governed by a series of agreements that set forth the terms on which we do business with Altisource, including a Services Agreement, under which Altisource provides various services, such as property valuation services, property preservation and inspection services, title services, and real estate sales related services, among other things.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Certain services provided by Altisource under the Services Agreement are charged to the borrower and/or mortgage loan investor. Accordingly, such services, while derived from our loan servicing portfolio, are not reported as expenses by Ocwen. For the year ended December 31, 2022, we did not incur significant expenses payable to Altisource under these agreements, and we received payments of $1.0 million under our General Referral Fee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Oaktree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Secured Notes. </w:t>
      </w:r>
      <w:r>
        <w:rPr>
          <w:rFonts w:ascii="Times New Roman" w:cs="Times New Roman" w:eastAsia="Times New Roman" w:hAnsi="Times New Roman"/>
          <w:sz w:val="18"/>
          <w:szCs w:val="18"/>
          <w:color w:val="auto"/>
        </w:rPr>
        <w:t>On February 9, 2021, we executed an agreement with Oaktree Capital Management, L.P. to issue $285 million of Ocwen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notes via a private placement in two separate tranches. The initial tranche of $199.5 million senior secured notes (the “Notes”) was issued on March 4, 2021 to certain special purpose entities owned by funds and accounts managed by Oaktree (the “Oaktree Investors”). The net proceeds before expenses from the issuance to Oaktree of the initial tranche of senior secured notes was $175.0 million (after $24.5 million of original issue discount) and was used to pay down and support the refinancing of the Company’s existing corporate debt and for general corporate purposes, including supporting growth. The Notes were issued pursuant to a Note and Warrant Purchase Agreement, dated February 9, 2021, between the Company and the Oaktree Investors.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concurrent with the initial issuance of the Notes, we issued the Oaktree Investors warrants to purchase 1,184,768 shares of our common stock at an exercise price of $26.82 per share subject to anti-dilution adjustments. The warrants may be exercised at any time until the expiration date of March 4, 2027. The warrants, however, cannot be exercised to the extent that affiliates of Oaktree would beneficially own in excess of 9.9% of our outstanding stock following such issuance without 61 days advance notice.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2021, concurrent with the closing of the MAV transaction described below, we issued Oaktree the second tranche of the Notes due March 4, 2027 in an aggregate principal amount of $85.5 million with an original issue discount of $10.5 million. Concurrent with the issuance of the second tranche of Notes, Ocwen issued 261,248 warrants to Oaktree to purchase additional common stock equal to 3% of our then outstanding common stock at an exercise price of $24.31 per share, subject to anti-dilution adjustments, and 426,705 shares, or 4.9% of our fully diluted outstanding common stock, at a purchase price of $23.15 per share for an aggregate purchase price of $9.9 million. The net proceeds before expenses from the issuance to Oaktree of the additional tranche of Notes and the warrants was approximately $75.0 million (after $10.5 million of original issue discount) and, together with the proceeds from the sale of shares, was used to fund our investment in our MSR joint venture and for general corporate purposes, including to accelerate the growth of our originations and servicing businesses. The warrants may be exercised at any time through May 3, 2025.</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Observers. </w:t>
      </w:r>
      <w:r>
        <w:rPr>
          <w:rFonts w:ascii="Times New Roman" w:cs="Times New Roman" w:eastAsia="Times New Roman" w:hAnsi="Times New Roman"/>
          <w:sz w:val="18"/>
          <w:szCs w:val="18"/>
          <w:color w:val="auto"/>
        </w:rPr>
        <w:t>In connection with the closing of the initial tranche of Notes to Oaktree on March 4, 2021, Messrs. Jason Keller and Brian Laibow,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in management roles with the Oaktree Investors, joined Ocwen in the role of non-voting observers to our Board of Directors. Under our agreement with Oaktree, the Oaktree Investors may designate two Board of Directors observers for as long as the aggregate outstanding principal amount of the Notes is at least $100 million or the Oaktree Investors and their affiliates collectively own at least 15.0% of all issued and outstanding common stock of Ocwen (assuming the exercise of certain warrants held by them in full).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MSR Asset Vehicle Joint Venture. </w:t>
      </w:r>
      <w:r>
        <w:rPr>
          <w:rFonts w:ascii="Times New Roman" w:cs="Times New Roman" w:eastAsia="Times New Roman" w:hAnsi="Times New Roman"/>
          <w:sz w:val="18"/>
          <w:szCs w:val="18"/>
          <w:color w:val="auto"/>
        </w:rPr>
        <w:t>On May 3, 2021, Ocwen and Oaktree formed a joint venture for the purpose of investing in mortgage servicing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PHH Mortgage Corporation (“PMC”) will subservice. Oaktree and Ocwen hold 85% and 15% interests, respectively, in MAV Canopy HoldCo I, LLC (“MAV Canopy”), the parent of MSR Asset Vehicle LLC, MAV Canopy’s wholly-owned operating company, and have agreed to invest equity on a pro rata basis up to a total aggregate commitment of $250.0 million over three years, subject to extension by mutual agreement. On November 2, 2022, Ocwen and Oaktree entered into an agreement modifying certain terms relating to the capitalization, management, and operations of MAV Canopy. Under the terms of the agreement, Ocwen and Oaktree agreed to increase the aggregate capital contributions to MAV Canopy by up to $250.0 million through May 2, 2024 (in addition to the then contributed capital), subject to extension. Ocwen may elect to contribute its 15% pro rata share of the additional capital commitment. To the extent Ocwen does not contribute its pro rata share of the additional capital commitment, the ownership percentages held by Ocwen and Oaktree will be adjusted based on the parties’ current percentage interests, capital contributions, and book value. As of December 31, 2022, our investment in MAV Canopy amounted to $42.2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18"/>
          <w:szCs w:val="18"/>
          <w:color w:val="auto"/>
        </w:rPr>
        <w:t>This joint venture is structured to provide Oaktree with MSR investment opportunities and returns, while providing PMC scale and incremental income through subservicing and recapture services. Additionally, PMC earns direct MSR investment income through its 15% ownership stake and carry interest on investment returns exceeding certain thresholds. Under the arrangement, MAV has a non-compete to purchase certain Fannie Mae and Freddie Mac (collectively, “GSE”) MSRs through specific channels in cooperation with PMC. In addition, PMC must offer MAV the first opportunity to purchase GSE MSRs sold by PMC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In exchange, PMC receives exclusive subservicing and recapture rights, subject generally to ongoing performance and financial standards. The MAV business relationship is conducted pursuant to a number of agreements among the parties, including a Subservicing Agreement, Joint Marketing Agreement and Recapture Agreement, and Administrative Services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2021 and 2022, PMC entered into sales of MSR portfolios to MAV in bulk transactions, flow sales to MAV of certain MSRs PMC purchased from a GSE Cash Window program, and flow sales to MAV of MSRs PMC recaptured from borrowers that were previously serviced on behalf of MAV. Under the Recapture Agreement, PMC sells the originated MSR for nil proceeds but retains the realized gain on loan sales.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MAV’s servicing portfolio was comprised of $24.5 billion of MSRs acquired from unrelated third parties and $26.1 billion MSRs acquired from PMC.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SUBMISSION OF SHAREHOLDER PROPOSALS FOR 2024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to be Considered for Inclusion in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proposal which a shareholder desires to have considered for inclusion in our proxy materials relating to our 2024 Annual Meeting of Shareholders, must be received by the Secretary of Ocwen at our principal executive offices no later than December 19, 2023 and must comply with the procedures prescribed in Rule 14a-8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Proposals Not Intended for Inclusion in Proxy Materials and for Nomination of Director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shareholder wants to present a proposal, or nominate a person for election as Director, at the 2024 Annual Meeting, we must receive written notice of the proposal or nomination no earlier than December 19, 2023 and no later than January 18, 2024,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Requests to have a shareholder proposal considered for inclusion in our 2024 proxy materials and notices of intent to present a proposal or nomination directly at the 2024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 shareholder who intends to solicit proxies in support of director nominees other than our nominees at the 2024 Annual Meeting of Shareholders must provide written notice to the Company setting forth the information required by Rule 14a-19 under the Securities Exchange Act of 1934, as amended, unless the required information has been provided in a preliminary or definitive proxy statement previously filed by the shareholder. Such written notice must be provided in accordance with Rule 14a-19 no later than March 22, 2024. If we change the date of the 2024 Annual Meeting of Shareholders by more than 30 days from the date of this year’s Annual Meeting, your written notice must be provided by the later of sixty (60) days prior to the date of the 2024 Annual Meeting of Shareholders or the tenth (10th) day following the day on which public announcement of the date of the 2024 Annual Meeting of Shareholders is first made. The notice requirement under Rule 14a-19 is in addition to the applicable notice requirements under our Bylaws as described above.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copy of our annual report on Form 10-K for the year ended December 31, 2022 was mailed on or about April 17, 2023 to shareholders of record as of March 23, 2023. The annual report is not part of the proxy solicitation materials and can be found on our website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2022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Proxies will be solicited on behalf of the Board of Directors by mail or electronic means, and we will pay the solicitation costs. Copies of this proxy statement and our annual report on Form 10-K for the year ended December 31, 2022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of the appointment of Deloitte &amp; Touche LLP as our independent registered public accounting firm for 2023, (iii) “for” the approval, on an advisory basis, of the compensation of our named executive officers as disclosed in this proxy statement, (iv) every “one” year, on an advisory basis, for the frequency of future Say-on-Pay votes; and (v) “for” the approval of the amendment to the 2021 Equity Incentive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2023 Annual Meeting. If you are interested in participating in the virtual Annual Meeting and voting at that time, please see “Annual Meeting Participation” above for further details on participation requirements.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and our 2022 annual report may be viewed online at </w:t>
      </w:r>
      <w:r>
        <w:rPr>
          <w:rFonts w:ascii="Times New Roman" w:cs="Times New Roman" w:eastAsia="Times New Roman" w:hAnsi="Times New Roman"/>
          <w:sz w:val="18"/>
          <w:szCs w:val="18"/>
          <w:u w:val="single" w:color="auto"/>
          <w:color w:val="auto"/>
        </w:rPr>
        <w:t>www.ocwen.com</w:t>
      </w:r>
      <w:r>
        <w:rPr>
          <w:rFonts w:ascii="Times New Roman" w:cs="Times New Roman" w:eastAsia="Times New Roman" w:hAnsi="Times New Roman"/>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May 23, 2023</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Section 4.2 of the Ocwen Financial Corporation 2021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be restated in its entirety as follows (all capitalized terms not defined herein shall have the meanings ascribed to them in the Plan):</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Aggregate Share Limit</w:t>
      </w:r>
      <w:r>
        <w:rPr>
          <w:rFonts w:ascii="Times New Roman" w:cs="Times New Roman" w:eastAsia="Times New Roman" w:hAnsi="Times New Roman"/>
          <w:sz w:val="18"/>
          <w:szCs w:val="18"/>
          <w:color w:val="auto"/>
        </w:rPr>
        <w:t>. The maximum number of shares of Common Stock that may be delivered pursuant to awards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under this Plan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is equal to the sum of the following:</w:t>
      </w:r>
    </w:p>
    <w:p>
      <w:pPr>
        <w:spacing w:after="0" w:line="159" w:lineRule="exact"/>
        <w:rPr>
          <w:sz w:val="20"/>
          <w:szCs w:val="20"/>
          <w:color w:val="auto"/>
        </w:rPr>
      </w:pPr>
    </w:p>
    <w:p>
      <w:pPr>
        <w:ind w:left="1560" w:hanging="256"/>
        <w:spacing w:after="0"/>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940,000 shares of Common Stock, plus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as of the date of stockholder approval of this Plan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determined immediately prior to the termination of the authority to grant new awards under the 2017 Plan as of the Stockholder Approval Date, plus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Legacy Plans</w:t>
      </w:r>
      <w:r>
        <w:rPr>
          <w:rFonts w:ascii="Times New Roman" w:cs="Times New Roman" w:eastAsia="Times New Roman" w:hAnsi="Times New Roman"/>
          <w:sz w:val="18"/>
          <w:szCs w:val="18"/>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provided that in no event shall the Share Limit exceed 1,539,443 shares (which is the sum of (i) the 940,000 shares set forth above, plus</w:t>
      </w:r>
    </w:p>
    <w:p>
      <w:pPr>
        <w:spacing w:after="0" w:line="27" w:lineRule="exact"/>
        <w:rPr>
          <w:sz w:val="20"/>
          <w:szCs w:val="20"/>
          <w:color w:val="auto"/>
        </w:rPr>
      </w:pPr>
    </w:p>
    <w:p>
      <w:pPr>
        <w:ind w:left="280" w:hanging="272"/>
        <w:spacing w:after="0"/>
        <w:tabs>
          <w:tab w:leader="none" w:pos="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shares available under the 2017 Plan for additional award grant purposes as of the Effective Date (as such term is defined in Section 8.6.1), plus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xml:space="preserve">” means any award that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stock option grant or a SAR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purpose of this Ocwen Financial Corporation 2021 Equity Incentive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Ocwen Financial Corporation, a Florida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76"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18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ADMINISTRATION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The Administrator</w:t>
      </w:r>
      <w:r>
        <w:rPr>
          <w:rFonts w:ascii="Times New Roman" w:cs="Times New Roman" w:eastAsia="Times New Roman" w:hAnsi="Times New Roman"/>
          <w:sz w:val="18"/>
          <w:szCs w:val="18"/>
          <w:color w:val="auto"/>
        </w:rPr>
        <w:t>. This Plan shall be administered by and all awards under this Plan shall be authorized by the Administrator.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Powers of the Administrator</w:t>
      </w:r>
      <w:r>
        <w:rPr>
          <w:rFonts w:ascii="Times New Roman" w:cs="Times New Roman" w:eastAsia="Times New Roman" w:hAnsi="Times New Roman"/>
          <w:sz w:val="18"/>
          <w:szCs w:val="18"/>
          <w:color w:val="auto"/>
        </w:rPr>
        <w:t>. Subject to the express provisions of this Plan, the Administrator is authorized and empowered to do all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75" w:lineRule="exact"/>
        <w:rPr>
          <w:sz w:val="20"/>
          <w:szCs w:val="20"/>
          <w:color w:val="auto"/>
        </w:rPr>
      </w:pPr>
    </w:p>
    <w:p>
      <w:pPr>
        <w:ind w:firstLine="1304"/>
        <w:spacing w:after="0" w:line="282" w:lineRule="auto"/>
        <w:tabs>
          <w:tab w:leader="none" w:pos="15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and, from among those persons determined to be eligible, determine the particular Eligible Persons who will receive an award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both"/>
        <w:ind w:firstLine="1304"/>
        <w:spacing w:after="0" w:line="254" w:lineRule="auto"/>
        <w:tabs>
          <w:tab w:leader="none" w:pos="15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5.2),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forms of any award agreements (which need not be identical either as to type of award or among participants);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the Corporation’s rights with respect to, or modify, discontinue, suspend, or terminate any or all outstanding awards, subject to any required consent under Section 8.6.5;</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 provided, that the grant date of any award may not be modified once such grant date has occurred;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settle (subject to Sections 7 and 8.6) rights under awards in cash, stock of equivalent value, or other consideration (subject to the no repricing provision below);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the Common Stock or awards under this Plan from time to time and/or the manner in which such value will be determined.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i w:val="1"/>
          <w:iCs w:val="1"/>
          <w:color w:val="auto"/>
        </w:rPr>
        <w:t>Prohibition on Repricing</w:t>
      </w:r>
      <w:r>
        <w:rPr>
          <w:rFonts w:ascii="Times New Roman" w:cs="Times New Roman" w:eastAsia="Times New Roman" w:hAnsi="Times New Roman"/>
          <w:sz w:val="18"/>
          <w:szCs w:val="18"/>
          <w:color w:val="auto"/>
        </w:rPr>
        <w:t>. Notwithstanding anything to the contrary in Section 3.2 and except for an adjustment pursuant to Section 7.1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repricing approved by stockholders, in no case may the Administrator (1) amend an outstanding stock option or stock appreciation right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to reduce the exercise price or base price of the award, (2) cancel, exchange, or surrender an outstanding stock option or SAR in exchange for cash or other awards at any time that the exercise price or base price of the award is greater than fair market value or under any other circumstances that would constitute repricing the award, or (3) cancel, exchange, or surrender an outstanding stock option or SAR in exchange for an option or SAR with an exercise or base price that is less than the exercise or base price of the original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i w:val="1"/>
          <w:iCs w:val="1"/>
          <w:color w:val="auto"/>
        </w:rPr>
        <w:t>Binding Determinations</w:t>
      </w:r>
      <w:r>
        <w:rPr>
          <w:rFonts w:ascii="Times New Roman" w:cs="Times New Roman" w:eastAsia="Times New Roman" w:hAnsi="Times New Roman"/>
          <w:sz w:val="18"/>
          <w:szCs w:val="18"/>
          <w:color w:val="auto"/>
        </w:rPr>
        <w:t>. Any determination or other action taken by, or inaction of, the Corporation, any Subsidiary, or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applicable to ISOs, should any other award(s) fail to qualify for any intended tax treatment or be subject to tax, penalty, or interest under Section 409A of the Code or other tax penalties,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i w:val="1"/>
          <w:iCs w:val="1"/>
          <w:color w:val="auto"/>
        </w:rPr>
        <w:t>Reliance on Experts</w:t>
      </w:r>
      <w:r>
        <w:rPr>
          <w:rFonts w:ascii="Times New Roman" w:cs="Times New Roman" w:eastAsia="Times New Roman" w:hAnsi="Times New Roman"/>
          <w:sz w:val="18"/>
          <w:szCs w:val="18"/>
          <w:color w:val="auto"/>
        </w:rPr>
        <w:t>. In making any determination or in taking or not taking any action under this Plan, the Administrator may obtain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i w:val="1"/>
          <w:iCs w:val="1"/>
          <w:color w:val="auto"/>
        </w:rPr>
        <w:t>Delegation</w:t>
      </w:r>
      <w:r>
        <w:rPr>
          <w:rFonts w:ascii="Times New Roman" w:cs="Times New Roman" w:eastAsia="Times New Roman" w:hAnsi="Times New Roman"/>
          <w:sz w:val="18"/>
          <w:szCs w:val="18"/>
          <w:color w:val="auto"/>
        </w:rPr>
        <w:t>. The Administrator may delegate ministerial, non-discretionary functions to individuals who are officers or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of its Subsidiaries or to third parties.</w:t>
      </w:r>
    </w:p>
    <w:p>
      <w:pPr>
        <w:spacing w:after="0" w:line="155"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 SHARE LIMITS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Shares Available</w:t>
      </w:r>
      <w:r>
        <w:rPr>
          <w:rFonts w:ascii="Times New Roman" w:cs="Times New Roman" w:eastAsia="Times New Roman" w:hAnsi="Times New Roman"/>
          <w:sz w:val="18"/>
          <w:szCs w:val="18"/>
          <w:color w:val="auto"/>
        </w:rPr>
        <w:t>. Subject to the provisions of Section 7.1, the capital stock that may be delivered under this Plan shall be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authorized but unissued Common Stock and any shares of its Common Stock held as treasury shares. For purposes of this Plan,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shall mean the common stock of the Corporation and such other securities or property as may become the subject of awards under this Plan, or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subject to such awards, pursuant to an adjustment made under Section 7.1.</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Aggregate Share Limit</w:t>
      </w:r>
      <w:r>
        <w:rPr>
          <w:rFonts w:ascii="Times New Roman" w:cs="Times New Roman" w:eastAsia="Times New Roman" w:hAnsi="Times New Roman"/>
          <w:sz w:val="18"/>
          <w:szCs w:val="18"/>
          <w:color w:val="auto"/>
        </w:rPr>
        <w:t>. The maximum number of shares of Common Stock that may be delivered pursuant to awards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under this Plan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is equal to the sum of the following:</w:t>
      </w:r>
    </w:p>
    <w:p>
      <w:pPr>
        <w:spacing w:after="0" w:line="159" w:lineRule="exact"/>
        <w:rPr>
          <w:sz w:val="20"/>
          <w:szCs w:val="20"/>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490,000 shares of Common Stock, plus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as of the date of stockholder approval of this Plan (the “</w:t>
      </w:r>
      <w:r>
        <w:rPr>
          <w:rFonts w:ascii="Times New Roman" w:cs="Times New Roman" w:eastAsia="Times New Roman" w:hAnsi="Times New Roman"/>
          <w:sz w:val="18"/>
          <w:szCs w:val="18"/>
          <w:b w:val="1"/>
          <w:bCs w:val="1"/>
          <w:color w:val="auto"/>
        </w:rPr>
        <w:t>Stockholder Approval Date</w:t>
      </w:r>
      <w:r>
        <w:rPr>
          <w:rFonts w:ascii="Times New Roman" w:cs="Times New Roman" w:eastAsia="Times New Roman" w:hAnsi="Times New Roman"/>
          <w:sz w:val="18"/>
          <w:szCs w:val="18"/>
          <w:color w:val="auto"/>
        </w:rPr>
        <w:t>”) and determined immediately prior to the termination of the authority to grant new awards under the 2017 Plan as of the Stockholder Approval Date,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jc w:val="both"/>
        <w:ind w:firstLine="1304"/>
        <w:spacing w:after="0" w:line="258" w:lineRule="auto"/>
        <w:tabs>
          <w:tab w:leader="none" w:pos="1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8"/>
          <w:szCs w:val="18"/>
          <w:b w:val="1"/>
          <w:bCs w:val="1"/>
          <w:color w:val="auto"/>
        </w:rPr>
        <w:t>“2007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Legacy Plans</w:t>
      </w:r>
      <w:r>
        <w:rPr>
          <w:rFonts w:ascii="Times New Roman" w:cs="Times New Roman" w:eastAsia="Times New Roman" w:hAnsi="Times New Roman"/>
          <w:sz w:val="18"/>
          <w:szCs w:val="18"/>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provided that in no event shall the Share Limit exceed 1,089,443 shares (which is the sum of (i) the 490,000 shares set forth above, plus</w:t>
      </w:r>
    </w:p>
    <w:p>
      <w:pPr>
        <w:spacing w:after="0" w:line="27" w:lineRule="exact"/>
        <w:rPr>
          <w:sz w:val="20"/>
          <w:szCs w:val="20"/>
          <w:color w:val="auto"/>
        </w:rPr>
      </w:pPr>
    </w:p>
    <w:p>
      <w:pPr>
        <w:ind w:left="280" w:hanging="272"/>
        <w:spacing w:after="0"/>
        <w:tabs>
          <w:tab w:leader="none" w:pos="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shares available under the 2017 Plan for additional award grant purposes as of the Effective Date (as such term is defined in Section 8.6.1), plus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xml:space="preserve">” means any award that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stock option grant or a SAR grant.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Additional Share Limits</w:t>
      </w:r>
      <w:r>
        <w:rPr>
          <w:rFonts w:ascii="Times New Roman" w:cs="Times New Roman" w:eastAsia="Times New Roman" w:hAnsi="Times New Roman"/>
          <w:sz w:val="18"/>
          <w:szCs w:val="18"/>
          <w:color w:val="auto"/>
        </w:rPr>
        <w:t>. The following limits also apply with respect to awards granted under this Plan. These limits are in addition to,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lieu of, the aggregate Share Limit in Section 4.2.</w:t>
      </w:r>
    </w:p>
    <w:p>
      <w:pPr>
        <w:spacing w:after="0" w:line="159" w:lineRule="exact"/>
        <w:rPr>
          <w:sz w:val="20"/>
          <w:szCs w:val="20"/>
          <w:color w:val="auto"/>
        </w:rPr>
      </w:pPr>
    </w:p>
    <w:p>
      <w:pPr>
        <w:ind w:firstLine="1304"/>
        <w:spacing w:after="0" w:line="282" w:lineRule="auto"/>
        <w:tabs>
          <w:tab w:leader="none" w:pos="15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may be delivered pursuant to options qualified as incentive stock options granted under this Plan is 333,333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non-employee director for the calendar year in which the non-employee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not increase the Share Limit by repurchasing shares of Common Stock on the market (by using cash received through the exercise of stock options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Share-Limit Counting Rules</w:t>
      </w:r>
      <w:r>
        <w:rPr>
          <w:rFonts w:ascii="Times New Roman" w:cs="Times New Roman" w:eastAsia="Times New Roman" w:hAnsi="Times New Roman"/>
          <w:sz w:val="18"/>
          <w:szCs w:val="18"/>
          <w:color w:val="auto"/>
        </w:rPr>
        <w:t>. The Share Limit shall be subject to the following provisions of this Section 4.4:</w:t>
      </w:r>
    </w:p>
    <w:p>
      <w:pPr>
        <w:spacing w:after="0" w:line="229" w:lineRule="exact"/>
        <w:rPr>
          <w:sz w:val="20"/>
          <w:szCs w:val="20"/>
          <w:color w:val="auto"/>
        </w:rPr>
      </w:pPr>
    </w:p>
    <w:p>
      <w:pPr>
        <w:jc w:val="both"/>
        <w:ind w:firstLine="1304"/>
        <w:spacing w:after="0" w:line="258" w:lineRule="auto"/>
        <w:tabs>
          <w:tab w:leader="none" w:pos="15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Full Value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 Shares that underlie SARS and stock options which expire or for any reason are cancelled or terminated, are forfeited, fail to vest, or for any other reason are not paid or delivered under this Plan shall be counted against the Share Limit and shall not be available for subsequent awards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ind w:firstLine="1304"/>
        <w:spacing w:after="0" w:line="256" w:lineRule="auto"/>
        <w:tabs>
          <w:tab w:leader="none" w:pos="15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Common Stock are delivered pursuant to the exercise of a stock option or SAR granted under this Plan, the number of shares as to which the portion of the stock option or SAR so exercised relates shall be counted against the Share Limit as opposed to only counting the net number of shares actually issued in connection with such exercise. (For purposes of clarity, if a stock option or SAR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Corporation as full or partial payment in connection with any stock option or SAR granted under this Plan, as well as any shares exchanged by a participant or withheld by the Corporation or one of its Subsidiaries to satisfy the tax withholding obligations related to any stock option or SAR granted under this Plan, shall not be available for subsequent awards under this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Corporation as full or partial payment in connection with any Full-Value Award granted under this Plan or the Legacy Plans, as well as any shares exchanged by a participant or withheld by the Corporation or one of its Subsidiaries to satisfy the tax withholding obligations related to any Full-Value Award granted under this Plan or the Legacy Plans, shall not be counted against the Share Limit and shall be available for subsequent awards under this Plan, provided that any one (1) share so exchanged or withheld in connection with any Full-Value Award shall be credited as 1.2 shares when determining the number of shares that shall again become available for subsequent awards under this Plan.</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 Fractional Shares; Minimum Issue</w:t>
      </w:r>
      <w:r>
        <w:rPr>
          <w:rFonts w:ascii="Times New Roman" w:cs="Times New Roman" w:eastAsia="Times New Roman" w:hAnsi="Times New Roman"/>
          <w:sz w:val="18"/>
          <w:szCs w:val="18"/>
          <w:color w:val="auto"/>
        </w:rPr>
        <w:t>. Unless otherwise expressly provided by the Administrator, no fractional shares shall be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9"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Type and Form of Awards</w:t>
      </w:r>
      <w:r>
        <w:rPr>
          <w:rFonts w:ascii="Times New Roman" w:cs="Times New Roman" w:eastAsia="Times New Roman" w:hAnsi="Times New Roman"/>
          <w:sz w:val="18"/>
          <w:szCs w:val="18"/>
          <w:color w:val="auto"/>
        </w:rPr>
        <w:t>. The Administrator shall determine the type or types of award(s) to be made to each selected Eligible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stock option is the grant of a right to purchase a specified number of shares of Common Stock during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as determined by the Administrator. An option may be intended as an incentive stock option within the meaning of Section 422 of the Code (an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w:t>
      </w:r>
    </w:p>
    <w:p>
      <w:pPr>
        <w:spacing w:after="0" w:line="3" w:lineRule="exact"/>
        <w:rPr>
          <w:sz w:val="20"/>
          <w:szCs w:val="20"/>
          <w:color w:val="auto"/>
        </w:rPr>
      </w:pPr>
    </w:p>
    <w:p>
      <w:pPr>
        <w:jc w:val="both"/>
        <w:ind w:firstLine="8"/>
        <w:spacing w:after="0" w:line="255" w:lineRule="auto"/>
        <w:tabs>
          <w:tab w:leader="none" w:pos="3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i w:val="1"/>
          <w:iCs w:val="1"/>
          <w:color w:val="auto"/>
        </w:rPr>
        <w:t>Additional Rules Applicable to ISOs</w:t>
      </w:r>
      <w:r>
        <w:rPr>
          <w:rFonts w:ascii="Times New Roman" w:cs="Times New Roman" w:eastAsia="Times New Roman" w:hAnsi="Times New Roman"/>
          <w:sz w:val="18"/>
          <w:szCs w:val="18"/>
          <w:color w:val="auto"/>
        </w:rPr>
        <w:t>. To the extent that the aggregate fair market value (determined at the time of grant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8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A stock appreciation right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is a right to receive a payment, in cash and/or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the excess of the fair market value of a specified number of shares of Common Stock on the date the SAR is exercised over the “</w:t>
      </w:r>
      <w:r>
        <w:rPr>
          <w:rFonts w:ascii="Times New Roman" w:cs="Times New Roman" w:eastAsia="Times New Roman" w:hAnsi="Times New Roman"/>
          <w:sz w:val="18"/>
          <w:szCs w:val="18"/>
          <w:b w:val="1"/>
          <w:bCs w:val="1"/>
          <w:color w:val="auto"/>
        </w:rPr>
        <w:t>base price</w:t>
      </w:r>
      <w:r>
        <w:rPr>
          <w:rFonts w:ascii="Times New Roman" w:cs="Times New Roman" w:eastAsia="Times New Roman" w:hAnsi="Times New Roman"/>
          <w:sz w:val="18"/>
          <w:szCs w:val="18"/>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i w:val="1"/>
          <w:iCs w:val="1"/>
          <w:color w:val="auto"/>
        </w:rPr>
        <w:t>Other Awards; Dividend Equivalent Rights</w:t>
      </w:r>
      <w:r>
        <w:rPr>
          <w:rFonts w:ascii="Times New Roman" w:cs="Times New Roman" w:eastAsia="Times New Roman" w:hAnsi="Times New Roman"/>
          <w:sz w:val="18"/>
          <w:szCs w:val="18"/>
          <w:color w:val="auto"/>
        </w:rPr>
        <w:t>. The other types of awards that may be granted under this Plan include: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bonuses, restricted stock, performance stock, stock units, phantom stock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The payment of dividends on any unvested award or portion thereof is expressly prohibited, except with respect to restricted stock, regarding which the applicable award agreement shall provide that in the event a dividend is paid on unvested shares which fail to vest, the dividend shall be repaid by the award holder. With respect to all other awards, dividend equivalents may accrue during the vesting period and payment may be made upon vesting.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Minimum Vesting Requirement</w:t>
      </w:r>
      <w:r>
        <w:rPr>
          <w:rFonts w:ascii="Times New Roman" w:cs="Times New Roman" w:eastAsia="Times New Roman" w:hAnsi="Times New Roman"/>
          <w:sz w:val="18"/>
          <w:szCs w:val="18"/>
          <w:color w:val="auto"/>
        </w:rPr>
        <w:t>. Except for any accelerated vesting required pursuant to Section 7 or as provided in the next sentence,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granted under this Plan shall be subject to a minimum 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Times New Roman" w:cs="Times New Roman" w:eastAsia="Times New Roman" w:hAnsi="Times New Roman"/>
          <w:sz w:val="18"/>
          <w:szCs w:val="18"/>
          <w:b w:val="1"/>
          <w:bCs w:val="1"/>
          <w:color w:val="auto"/>
        </w:rPr>
        <w:t>Minimum Vesting Requirement</w:t>
      </w:r>
      <w:r>
        <w:rPr>
          <w:rFonts w:ascii="Times New Roman" w:cs="Times New Roman" w:eastAsia="Times New Roman" w:hAnsi="Times New Roman"/>
          <w:sz w:val="18"/>
          <w:szCs w:val="18"/>
          <w:color w:val="auto"/>
        </w:rPr>
        <w:t>”). Awards may be granted under this Plan with minimum vesting requirements of less than one year, or no vesting requirements, provided that the total number of shares of Common Stock subject to such awards shall not exceed 5% of the Share Limit.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Each award shall be evidenced by a written or electronic award agreement or notice in a form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(an “award agreement”),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i w:val="1"/>
          <w:iCs w:val="1"/>
          <w:color w:val="auto"/>
        </w:rPr>
        <w:t>Deferrals and Settlements</w:t>
      </w:r>
      <w:r>
        <w:rPr>
          <w:rFonts w:ascii="Times New Roman" w:cs="Times New Roman" w:eastAsia="Times New Roman" w:hAnsi="Times New Roman"/>
          <w:sz w:val="18"/>
          <w:szCs w:val="18"/>
          <w:color w:val="auto"/>
        </w:rPr>
        <w:t>. Payment of awards may be in the form of cash, Common Stock, other awards or combinations thereof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i w:val="1"/>
          <w:iCs w:val="1"/>
          <w:color w:val="auto"/>
        </w:rPr>
        <w:t>Consideration for Common Stock or Awards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(if any) for any award granted under this Plan or the Common Stock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pursuant to an award, as applicable, may be paid by means of any lawful consideration as determined by the Administrator, including, without limitation, one or a combination of the following methods:</w:t>
      </w:r>
    </w:p>
    <w:p>
      <w:pPr>
        <w:spacing w:after="0" w:line="175" w:lineRule="exact"/>
        <w:rPr>
          <w:sz w:val="20"/>
          <w:szCs w:val="20"/>
          <w:color w:val="auto"/>
        </w:rPr>
      </w:pPr>
    </w:p>
    <w:p>
      <w:pPr>
        <w:ind w:left="900" w:hanging="244"/>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compensation otherwise payable to the recipient of such award or for services rendered by the recipient of such award;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check payable to the order of the Corporation, or electronic funds transfer;</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and third-party payment in such manner as may be authorized by the Administrator;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previously owned shares of Common Stock;</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reduction in the number of shares otherwise deliverable pursuant to the award;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procedures as the Administrator may adopt, pursuant to a “cashless exercise” with a third party who provides financing for the purposes of (or who otherwise facilitates) the purchase or exercise of awards.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i w:val="1"/>
          <w:iCs w:val="1"/>
          <w:color w:val="auto"/>
        </w:rPr>
        <w:t>Definition of Fair Market Value</w:t>
      </w:r>
      <w:r>
        <w:rPr>
          <w:rFonts w:ascii="Times New Roman" w:cs="Times New Roman" w:eastAsia="Times New Roman" w:hAnsi="Times New Roman"/>
          <w:sz w:val="18"/>
          <w:szCs w:val="18"/>
          <w:color w:val="auto"/>
        </w:rPr>
        <w:t>. For purposes of this Plan, “fair market value” shall mean, unless otherwise determined or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in the circumstances, the closing price (in regular trading) for a share of Common Stock on the New York Stock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5.7.1 </w:t>
      </w:r>
      <w:r>
        <w:rPr>
          <w:rFonts w:ascii="Times New Roman" w:cs="Times New Roman" w:eastAsia="Times New Roman" w:hAnsi="Times New Roman"/>
          <w:sz w:val="18"/>
          <w:szCs w:val="18"/>
          <w:b w:val="1"/>
          <w:bCs w:val="1"/>
          <w:i w:val="1"/>
          <w:iCs w:val="1"/>
          <w:color w:val="auto"/>
        </w:rPr>
        <w:t>Limitations on Exercise and Transfer</w:t>
      </w:r>
      <w:r>
        <w:rPr>
          <w:rFonts w:ascii="Times New Roman" w:cs="Times New Roman" w:eastAsia="Times New Roman" w:hAnsi="Times New Roman"/>
          <w:sz w:val="18"/>
          <w:szCs w:val="18"/>
          <w:color w:val="auto"/>
        </w:rPr>
        <w:t>. Unless otherwise expressly provided in (or pursuant to) this Section 5.7 or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or the award agreement: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5.7.2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color w:val="auto"/>
        </w:rPr>
        <w:t>. The Administrator may permit awards to be exercised by and paid to, or otherwise transferred to, other persons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5.7.3 </w:t>
      </w:r>
      <w:r>
        <w:rPr>
          <w:rFonts w:ascii="Times New Roman" w:cs="Times New Roman" w:eastAsia="Times New Roman" w:hAnsi="Times New Roman"/>
          <w:sz w:val="18"/>
          <w:szCs w:val="18"/>
          <w:b w:val="1"/>
          <w:bCs w:val="1"/>
          <w:i w:val="1"/>
          <w:iCs w:val="1"/>
          <w:color w:val="auto"/>
        </w:rPr>
        <w:t>Further Exceptions to Limits on Transfer</w:t>
      </w:r>
      <w:r>
        <w:rPr>
          <w:rFonts w:ascii="Times New Roman" w:cs="Times New Roman" w:eastAsia="Times New Roman" w:hAnsi="Times New Roman"/>
          <w:sz w:val="18"/>
          <w:szCs w:val="18"/>
          <w:color w:val="auto"/>
        </w:rPr>
        <w:t>. The exercise and transfer restrictions in Section 5.7.1 shall not apply to:</w:t>
      </w:r>
    </w:p>
    <w:p>
      <w:pPr>
        <w:spacing w:after="0" w:line="229" w:lineRule="exact"/>
        <w:rPr>
          <w:sz w:val="20"/>
          <w:szCs w:val="20"/>
          <w:color w:val="auto"/>
        </w:rPr>
      </w:pPr>
    </w:p>
    <w:p>
      <w:pPr>
        <w:ind w:left="1540" w:hanging="236"/>
        <w:spacing w:after="0"/>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Corporation (for example, in connection with the expiration or termination of the award),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limitations on ISOs and to such procedures as the Administrator may prescribe, transfers to a family member (or former family member) pursuant to a domestic relations order if received by the Administrator,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his or her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i w:val="1"/>
          <w:iCs w:val="1"/>
          <w:color w:val="auto"/>
        </w:rPr>
        <w:t>International Awards</w:t>
      </w:r>
      <w:r>
        <w:rPr>
          <w:rFonts w:ascii="Times New Roman" w:cs="Times New Roman" w:eastAsia="Times New Roman" w:hAnsi="Times New Roman"/>
          <w:sz w:val="18"/>
          <w:szCs w:val="18"/>
          <w:color w:val="auto"/>
        </w:rPr>
        <w:t>. One or more awards may be granted to Eligible Persons who provide services to the Corporation or one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EMPLOYMENT OR SERVICE ON AWARDS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Administrator shall establish the effect (if any) of a termination of employment or service on the rights and benefits under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Events Not Deemed Terminations of Employment</w:t>
      </w:r>
      <w:r>
        <w:rPr>
          <w:rFonts w:ascii="Times New Roman" w:cs="Times New Roman" w:eastAsia="Times New Roman" w:hAnsi="Times New Roman"/>
          <w:sz w:val="18"/>
          <w:szCs w:val="18"/>
          <w:color w:val="auto"/>
        </w:rPr>
        <w:t>. Unless the express policy of the Corporation or one of its Subsidiaries,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Effect of Change of Subsidiary Status</w:t>
      </w:r>
      <w:r>
        <w:rPr>
          <w:rFonts w:ascii="Times New Roman" w:cs="Times New Roman" w:eastAsia="Times New Roman" w:hAnsi="Times New Roman"/>
          <w:sz w:val="18"/>
          <w:szCs w:val="18"/>
          <w:color w:val="auto"/>
        </w:rPr>
        <w:t>. For purposes of this Plan and any award, if an entity ceases to be a Subsidiary of the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79" w:lineRule="exact"/>
        <w:rPr>
          <w:sz w:val="20"/>
          <w:szCs w:val="20"/>
          <w:color w:val="auto"/>
        </w:rPr>
      </w:pPr>
    </w:p>
    <w:p>
      <w:pPr>
        <w:ind w:left="660" w:right="7680" w:hanging="652"/>
        <w:spacing w:after="0" w:line="503" w:lineRule="auto"/>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ACCELERATION 7.1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w:t>
      </w:r>
    </w:p>
    <w:p>
      <w:pPr>
        <w:jc w:val="both"/>
        <w:ind w:firstLine="1304"/>
        <w:spacing w:after="0" w:line="253" w:lineRule="auto"/>
        <w:tabs>
          <w:tab w:leader="none" w:pos="15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jc w:val="both"/>
        <w:ind w:left="-660" w:firstLine="1304"/>
        <w:spacing w:after="0" w:line="258" w:lineRule="auto"/>
        <w:tabs>
          <w:tab w:leader="none" w:pos="90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spacing w:after="0" w:line="183" w:lineRule="exact"/>
        <w:rPr>
          <w:rFonts w:ascii="Times New Roman" w:cs="Times New Roman" w:eastAsia="Times New Roman" w:hAnsi="Times New Roman"/>
          <w:sz w:val="18"/>
          <w:szCs w:val="18"/>
          <w:color w:val="auto"/>
        </w:rPr>
      </w:pPr>
    </w:p>
    <w:p>
      <w:pPr>
        <w:jc w:val="both"/>
        <w:ind w:left="-660" w:right="20" w:firstLine="1304"/>
        <w:spacing w:after="0" w:line="282" w:lineRule="auto"/>
        <w:tabs>
          <w:tab w:leader="none" w:pos="9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Corporate Transactions - Assumption and Termination of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304"/>
        <w:spacing w:after="0" w:line="252" w:lineRule="auto"/>
        <w:tabs>
          <w:tab w:leader="none" w:pos="8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or the award otherwise would not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93"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9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granted under this Plan shall provide that such award will automatically accelerate and become vested upon a Change in Control other than as provided in Section 7.2(a) (i.e., in connection with a termination or settlement of the award in connection with a transaction referenced in Section 7.2(a)). For clarity, the Administrator may provide, as to one or more awards granted under this Plan and subject to the minimum vesting provisions of Section 5.2, that the award will accelerate and become vested should the award holder’s employment or service terminate (including, but not limited to, in connection with a Change in Control) in such circumstances as the Administrator may provide.</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8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270510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102" w:name="page103"/>
    <w:bookmarkEnd w:id="102"/>
    <w:p>
      <w:pPr>
        <w:jc w:val="both"/>
        <w:ind w:firstLine="1304"/>
        <w:spacing w:after="0" w:line="256" w:lineRule="auto"/>
        <w:tabs>
          <w:tab w:leader="none" w:pos="15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3.4, any good faith determination by the Administrator pursuant to its authority under this Section 7.2 shall be conclusive and binding on all persons.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7.2(b), 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Definition of Change in Control</w:t>
      </w:r>
      <w:r>
        <w:rPr>
          <w:rFonts w:ascii="Times New Roman" w:cs="Times New Roman" w:eastAsia="Times New Roman" w:hAnsi="Times New Roman"/>
          <w:sz w:val="18"/>
          <w:szCs w:val="18"/>
          <w:color w:val="auto"/>
        </w:rPr>
        <w:t>. As used in this Plan,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mean the occurrence, after the Effective Date,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5" w:lineRule="exact"/>
        <w:rPr>
          <w:sz w:val="20"/>
          <w:szCs w:val="20"/>
          <w:color w:val="auto"/>
        </w:rPr>
      </w:pPr>
    </w:p>
    <w:p>
      <w:pPr>
        <w:jc w:val="both"/>
        <w:ind w:firstLine="1304"/>
        <w:spacing w:after="0" w:line="254" w:lineRule="auto"/>
        <w:tabs>
          <w:tab w:leader="none" w:pos="15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as the context may require) of thirty-three and one third percent or more of (i) the then outstanding shares of the Corporation’s common stock (“</w:t>
      </w:r>
      <w:r>
        <w:rPr>
          <w:rFonts w:ascii="Times New Roman" w:cs="Times New Roman" w:eastAsia="Times New Roman" w:hAnsi="Times New Roman"/>
          <w:sz w:val="18"/>
          <w:szCs w:val="18"/>
          <w:b w:val="1"/>
          <w:bCs w:val="1"/>
          <w:color w:val="auto"/>
        </w:rPr>
        <w:t>Outstanding Company Common Stock</w:t>
      </w:r>
      <w:r>
        <w:rPr>
          <w:rFonts w:ascii="Times New Roman" w:cs="Times New Roman" w:eastAsia="Times New Roman" w:hAnsi="Times New Roman"/>
          <w:sz w:val="18"/>
          <w:szCs w:val="18"/>
          <w:color w:val="auto"/>
        </w:rPr>
        <w:t>”) or (ii) securities representing thirty-three and one-third percent or more of the combined voting power of the Corporation’s then outstanding voting securities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1304"/>
        <w:spacing w:after="0" w:line="252" w:lineRule="auto"/>
        <w:tabs>
          <w:tab w:leader="none" w:pos="155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statutory share exchange or consolidation or similar extraordinary corporate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95" w:lineRule="exact"/>
        <w:rPr>
          <w:rFonts w:ascii="Times New Roman" w:cs="Times New Roman" w:eastAsia="Times New Roman" w:hAnsi="Times New Roman"/>
          <w:sz w:val="18"/>
          <w:szCs w:val="18"/>
          <w:color w:val="auto"/>
        </w:rPr>
      </w:pPr>
    </w:p>
    <w:p>
      <w:pPr>
        <w:ind w:right="20" w:firstLine="1304"/>
        <w:spacing w:after="0" w:line="282" w:lineRule="auto"/>
        <w:tabs>
          <w:tab w:leader="none" w:pos="154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Corporation of a complete liquidation or dissolution of the Corporation other than in the context of a transaction covered by, and that does not constitute a Change in Control under, clause (c) above.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color w:val="auto"/>
        </w:rPr>
        <w:t>. This Plan, the granting and vesting of awards under this Plan, the offer, issuance and delivery of shares of Common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i w:val="1"/>
          <w:iCs w:val="1"/>
          <w:color w:val="auto"/>
        </w:rPr>
        <w:t>No Rights to Award</w:t>
      </w:r>
      <w:r>
        <w:rPr>
          <w:rFonts w:ascii="Times New Roman" w:cs="Times New Roman" w:eastAsia="Times New Roman" w:hAnsi="Times New Roman"/>
          <w:sz w:val="18"/>
          <w:szCs w:val="18"/>
          <w:color w:val="auto"/>
        </w:rPr>
        <w:t>. No person shall have any claim or rights to be granted an award (or additional awards, as the case may be)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subject to any express contractual rights (set forth in a document other than this Plan) to the contrary.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i w:val="1"/>
          <w:iCs w:val="1"/>
          <w:color w:val="auto"/>
        </w:rPr>
        <w:t>No Employment/Service Contract</w:t>
      </w:r>
      <w:r>
        <w:rPr>
          <w:rFonts w:ascii="Times New Roman" w:cs="Times New Roman" w:eastAsia="Times New Roman" w:hAnsi="Times New Roman"/>
          <w:sz w:val="18"/>
          <w:szCs w:val="18"/>
          <w:color w:val="auto"/>
        </w:rPr>
        <w:t>. Nothing contained in this Plan (or in any other documents under this Plan or in any award) shall confer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i w:val="1"/>
          <w:iCs w:val="1"/>
          <w:color w:val="auto"/>
        </w:rPr>
        <w:t>Plan Not Funded</w:t>
      </w:r>
      <w:r>
        <w:rPr>
          <w:rFonts w:ascii="Times New Roman" w:cs="Times New Roman" w:eastAsia="Times New Roman" w:hAnsi="Times New Roman"/>
          <w:sz w:val="18"/>
          <w:szCs w:val="18"/>
          <w:color w:val="auto"/>
        </w:rPr>
        <w:t>. Awards payable under this Plan shall be payable in shares or from the general assets of the Corporation, and no special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Upon any exercise, vesting, or payment of any award, or upon the disposition of shares of Common Stock acquired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spacing w:after="0" w:line="183" w:lineRule="exact"/>
        <w:rPr>
          <w:sz w:val="20"/>
          <w:szCs w:val="20"/>
          <w:color w:val="auto"/>
        </w:rPr>
      </w:pPr>
    </w:p>
    <w:p>
      <w:pPr>
        <w:jc w:val="both"/>
        <w:ind w:firstLine="1304"/>
        <w:spacing w:after="0" w:line="266" w:lineRule="auto"/>
        <w:tabs>
          <w:tab w:leader="none" w:pos="15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i w:val="1"/>
          <w:iCs w:val="1"/>
          <w:color w:val="auto"/>
        </w:rPr>
        <w:t>Effective Date, Termination and Suspension,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8.6.1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Plan is effective as of April 14, 2021, the date of its approval by the Board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8.6.2 </w:t>
      </w:r>
      <w:r>
        <w:rPr>
          <w:rFonts w:ascii="Times New Roman" w:cs="Times New Roman" w:eastAsia="Times New Roman" w:hAnsi="Times New Roman"/>
          <w:sz w:val="18"/>
          <w:szCs w:val="18"/>
          <w:b w:val="1"/>
          <w:bCs w:val="1"/>
          <w:i w:val="1"/>
          <w:iCs w:val="1"/>
          <w:color w:val="auto"/>
        </w:rPr>
        <w:t>Board Authorization</w:t>
      </w:r>
      <w:r>
        <w:rPr>
          <w:rFonts w:ascii="Times New Roman" w:cs="Times New Roman" w:eastAsia="Times New Roman" w:hAnsi="Times New Roman"/>
          <w:sz w:val="18"/>
          <w:szCs w:val="18"/>
          <w:color w:val="auto"/>
        </w:rPr>
        <w:t>. The Board may, at any time, terminate or, from time to time, amend, modify or suspend this Plan, in whole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part. No awards may be granted during any period that the Board suspends this Plan.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8.6.3 </w:t>
      </w:r>
      <w:r>
        <w:rPr>
          <w:rFonts w:ascii="Times New Roman" w:cs="Times New Roman" w:eastAsia="Times New Roman" w:hAnsi="Times New Roman"/>
          <w:sz w:val="18"/>
          <w:szCs w:val="18"/>
          <w:b w:val="1"/>
          <w:bCs w:val="1"/>
          <w:i w:val="1"/>
          <w:iCs w:val="1"/>
          <w:color w:val="auto"/>
        </w:rPr>
        <w:t>Stockholder Approval</w:t>
      </w:r>
      <w:r>
        <w:rPr>
          <w:rFonts w:ascii="Times New Roman" w:cs="Times New Roman" w:eastAsia="Times New Roman" w:hAnsi="Times New Roman"/>
          <w:sz w:val="18"/>
          <w:szCs w:val="18"/>
          <w:color w:val="auto"/>
        </w:rPr>
        <w:t>. Only to the extent then required by applicable law or deemed necessary or advisable by the Board,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this Plan shall be subject to stockholder approval.</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8.6.4 </w:t>
      </w:r>
      <w:r>
        <w:rPr>
          <w:rFonts w:ascii="Times New Roman" w:cs="Times New Roman" w:eastAsia="Times New Roman" w:hAnsi="Times New Roman"/>
          <w:sz w:val="18"/>
          <w:szCs w:val="18"/>
          <w:b w:val="1"/>
          <w:bCs w:val="1"/>
          <w:i w:val="1"/>
          <w:iCs w:val="1"/>
          <w:color w:val="auto"/>
        </w:rPr>
        <w:t>Amendments to Awards</w:t>
      </w:r>
      <w:r>
        <w:rPr>
          <w:rFonts w:ascii="Times New Roman" w:cs="Times New Roman" w:eastAsia="Times New Roman" w:hAnsi="Times New Roman"/>
          <w:sz w:val="18"/>
          <w:szCs w:val="18"/>
          <w:color w:val="auto"/>
        </w:rPr>
        <w:t>. Without limiting any other express authority of the Administrator under (but subject to) the express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5" w:name="page106"/>
    <w:bookmarkEnd w:id="105"/>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8.6.5 </w:t>
      </w:r>
      <w:r>
        <w:rPr>
          <w:rFonts w:ascii="Times New Roman" w:cs="Times New Roman" w:eastAsia="Times New Roman" w:hAnsi="Times New Roman"/>
          <w:sz w:val="18"/>
          <w:szCs w:val="18"/>
          <w:b w:val="1"/>
          <w:bCs w:val="1"/>
          <w:i w:val="1"/>
          <w:iCs w:val="1"/>
          <w:color w:val="auto"/>
        </w:rPr>
        <w:t>Limitations on Amendments to Plan and Awards</w:t>
      </w:r>
      <w:r>
        <w:rPr>
          <w:rFonts w:ascii="Times New Roman" w:cs="Times New Roman" w:eastAsia="Times New Roman" w:hAnsi="Times New Roman"/>
          <w:sz w:val="18"/>
          <w:szCs w:val="18"/>
          <w:color w:val="auto"/>
        </w:rPr>
        <w:t>. No amendment, suspension or termination of this Plan or amendment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i w:val="1"/>
          <w:iCs w:val="1"/>
          <w:color w:val="auto"/>
        </w:rPr>
        <w:t>Privileges of Stock Ownership</w:t>
      </w:r>
      <w:r>
        <w:rPr>
          <w:rFonts w:ascii="Times New Roman" w:cs="Times New Roman" w:eastAsia="Times New Roman" w:hAnsi="Times New Roman"/>
          <w:sz w:val="18"/>
          <w:szCs w:val="18"/>
          <w:color w:val="auto"/>
        </w:rPr>
        <w:t>. Except as otherwise expressly authorized by the Administrator or this Plan, a participant shall not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8.8 </w:t>
      </w:r>
      <w:r>
        <w:rPr>
          <w:rFonts w:ascii="Times New Roman" w:cs="Times New Roman" w:eastAsia="Times New Roman" w:hAnsi="Times New Roman"/>
          <w:sz w:val="18"/>
          <w:szCs w:val="18"/>
          <w:b w:val="1"/>
          <w:bCs w:val="1"/>
          <w:i w:val="1"/>
          <w:iCs w:val="1"/>
          <w:color w:val="auto"/>
        </w:rPr>
        <w:t>Governing Law; 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8.8.1 </w:t>
      </w:r>
      <w:r>
        <w:rPr>
          <w:rFonts w:ascii="Times New Roman" w:cs="Times New Roman" w:eastAsia="Times New Roman" w:hAnsi="Times New Roman"/>
          <w:sz w:val="18"/>
          <w:szCs w:val="18"/>
          <w:b w:val="1"/>
          <w:bCs w:val="1"/>
          <w:i w:val="1"/>
          <w:iCs w:val="1"/>
          <w:color w:val="auto"/>
        </w:rPr>
        <w:t>Choice of Law</w:t>
      </w:r>
      <w:r>
        <w:rPr>
          <w:rFonts w:ascii="Times New Roman" w:cs="Times New Roman" w:eastAsia="Times New Roman" w:hAnsi="Times New Roman"/>
          <w:sz w:val="18"/>
          <w:szCs w:val="18"/>
          <w:color w:val="auto"/>
        </w:rPr>
        <w:t>. This Plan, the awards, all documents evidencing awards and all other related documents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Florida, notwithstanding any Florida or other conflict of law provision to the contrary.</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8.8.2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 court of competent jurisdiction holds any provision invalid and unenforceable, the remaining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continue in effect.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8.8.3 </w:t>
      </w:r>
      <w:r>
        <w:rPr>
          <w:rFonts w:ascii="Times New Roman" w:cs="Times New Roman" w:eastAsia="Times New Roman" w:hAnsi="Times New Roman"/>
          <w:sz w:val="18"/>
          <w:szCs w:val="18"/>
          <w:b w:val="1"/>
          <w:bCs w:val="1"/>
          <w:i w:val="1"/>
          <w:iCs w:val="1"/>
          <w:color w:val="auto"/>
        </w:rPr>
        <w:t>Plan Construction</w:t>
      </w:r>
      <w:r>
        <w:rPr>
          <w:rFonts w:ascii="Times New Roman" w:cs="Times New Roman" w:eastAsia="Times New Roman" w:hAnsi="Times New Roman"/>
          <w:sz w:val="18"/>
          <w:szCs w:val="18"/>
          <w:color w:val="auto"/>
        </w:rPr>
        <w:t>. It is intended that this Plan, as well as awards granted under this Plan, comply with, and not result in any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penalty or interest under, Section 409A of the Code. This Plan, as well as awards granted under this Plan, shall be construed and interpreted accordingly.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8.9 </w:t>
      </w:r>
      <w:r>
        <w:rPr>
          <w:rFonts w:ascii="Times New Roman" w:cs="Times New Roman" w:eastAsia="Times New Roman" w:hAnsi="Times New Roman"/>
          <w:sz w:val="18"/>
          <w:szCs w:val="18"/>
          <w:b w:val="1"/>
          <w:bCs w:val="1"/>
          <w:i w:val="1"/>
          <w:iCs w:val="1"/>
          <w:color w:val="auto"/>
        </w:rPr>
        <w:t>Captions</w:t>
      </w:r>
      <w:r>
        <w:rPr>
          <w:rFonts w:ascii="Times New Roman" w:cs="Times New Roman" w:eastAsia="Times New Roman" w:hAnsi="Times New Roman"/>
          <w:sz w:val="18"/>
          <w:szCs w:val="18"/>
          <w:color w:val="auto"/>
        </w:rPr>
        <w:t>. Captions and headings are given to the sections and subsections of this Plan solely as a convenience to facilitate reference.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shall not be deemed in any way material or relevant to the construction or interpretation of this Plan or any provision thereof.</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8.10 </w:t>
      </w:r>
      <w:r>
        <w:rPr>
          <w:rFonts w:ascii="Times New Roman" w:cs="Times New Roman" w:eastAsia="Times New Roman" w:hAnsi="Times New Roman"/>
          <w:sz w:val="18"/>
          <w:szCs w:val="18"/>
          <w:b w:val="1"/>
          <w:bCs w:val="1"/>
          <w:i w:val="1"/>
          <w:iCs w:val="1"/>
          <w:color w:val="auto"/>
        </w:rPr>
        <w:t>Stock-Based Awards in Substitution for Stock Options or Awards Granted by Other Corporation</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may be granted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b w:val="1"/>
          <w:bCs w:val="1"/>
          <w:i w:val="1"/>
          <w:iCs w:val="1"/>
          <w:color w:val="auto"/>
        </w:rPr>
        <w:t>Non-Exclusivity of Plan</w:t>
      </w:r>
      <w:r>
        <w:rPr>
          <w:rFonts w:ascii="Times New Roman" w:cs="Times New Roman" w:eastAsia="Times New Roman" w:hAnsi="Times New Roman"/>
          <w:sz w:val="18"/>
          <w:szCs w:val="18"/>
          <w:color w:val="auto"/>
        </w:rPr>
        <w:t>. Nothing in this Plan shall limit or be deemed to limit the authority of the Board or the Administrator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or authorize any other compensation, with or without reference to the Common Stock, under any other plan or authority.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b w:val="1"/>
          <w:bCs w:val="1"/>
          <w:i w:val="1"/>
          <w:iCs w:val="1"/>
          <w:color w:val="auto"/>
        </w:rPr>
        <w:t>No Corporate Action Restriction</w:t>
      </w:r>
      <w:r>
        <w:rPr>
          <w:rFonts w:ascii="Times New Roman" w:cs="Times New Roman" w:eastAsia="Times New Roman" w:hAnsi="Times New Roman"/>
          <w:sz w:val="18"/>
          <w:szCs w:val="18"/>
          <w:color w:val="auto"/>
        </w:rPr>
        <w:t>. The existence of this Plan, the award agreements and the awards granted hereunder shall not limit,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8.13 </w:t>
      </w:r>
      <w:r>
        <w:rPr>
          <w:rFonts w:ascii="Times New Roman" w:cs="Times New Roman" w:eastAsia="Times New Roman" w:hAnsi="Times New Roman"/>
          <w:sz w:val="18"/>
          <w:szCs w:val="18"/>
          <w:b w:val="1"/>
          <w:bCs w:val="1"/>
          <w:i w:val="1"/>
          <w:iCs w:val="1"/>
          <w:color w:val="auto"/>
        </w:rPr>
        <w:t>Other Company Benefit and Compensation Programs</w:t>
      </w:r>
      <w:r>
        <w:rPr>
          <w:rFonts w:ascii="Times New Roman" w:cs="Times New Roman" w:eastAsia="Times New Roman" w:hAnsi="Times New Roman"/>
          <w:sz w:val="18"/>
          <w:szCs w:val="18"/>
          <w:color w:val="auto"/>
        </w:rPr>
        <w:t>. Payments and other benefits received by a participant under an award made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b w:val="1"/>
          <w:bCs w:val="1"/>
          <w:i w:val="1"/>
          <w:iCs w:val="1"/>
          <w:color w:val="auto"/>
        </w:rPr>
        <w:t>Clawback Policy and Forfeiture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8.14.1 </w:t>
      </w:r>
      <w:r>
        <w:rPr>
          <w:rFonts w:ascii="Times New Roman" w:cs="Times New Roman" w:eastAsia="Times New Roman" w:hAnsi="Times New Roman"/>
          <w:sz w:val="18"/>
          <w:szCs w:val="18"/>
          <w:color w:val="auto"/>
        </w:rPr>
        <w:t>All awards granted under this Plan (including any proceeds, gains or other economic benefit actually or constructively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holder upon any receipt, vesting, payment or exercise of any award or upon the receipt or resale of any shares of Common Stock underlying the award) are subject to the terms and provisions of the Corporation’s recoupment, clawback or similar policy as it may be in effect from time to time, as well as any similar provisions of applicable law, such as the Dodd-Frank Wall Street Reform and Consumer Protection Act and any rules or regulations promulgated thereunder,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21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7621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621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7621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amp;"/>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6"/>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1)"/>
      <w:numFmt w:val="lowerLetter"/>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lowerLetter"/>
      <w:start w:val="1"/>
    </w:lvl>
  </w:abstractNum>
  <w:abstractNum w:abstractNumId="32">
    <w:nsid w:val="4AD084E9"/>
    <w:multiLevelType w:val="hybridMultilevel"/>
    <w:lvl w:ilvl="0">
      <w:lvlJc w:val="left"/>
      <w:lvlText w:val="(%1)"/>
      <w:numFmt w:val="decimal"/>
      <w:start w:val="3"/>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6"/>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bullet"/>
      <w:start w:val="1"/>
    </w:lvl>
  </w:abstractNum>
  <w:abstractNum w:abstractNumId="56">
    <w:nsid w:val="8F2B15E"/>
    <w:multiLevelType w:val="hybridMultilevel"/>
    <w:lvl w:ilvl="0">
      <w:lvlJc w:val="left"/>
      <w:lvlText w:val="2"/>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lowerRoman"/>
      <w:start w:val="2"/>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decimal"/>
      <w:start w:val="2"/>
    </w:lvl>
  </w:abstractNum>
  <w:abstractNum w:abstractNumId="76">
    <w:nsid w:val="14E17E33"/>
    <w:multiLevelType w:val="hybridMultilevel"/>
    <w:lvl w:ilvl="0">
      <w:lvlJc w:val="left"/>
      <w:lvlText w:val="%1."/>
      <w:numFmt w:val="decimal"/>
      <w:start w:val="3"/>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decimal"/>
      <w:start w:val="4"/>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3"/>
    </w:lvl>
  </w:abstractNum>
  <w:abstractNum w:abstractNumId="82">
    <w:nsid w:val="4A2AC315"/>
    <w:multiLevelType w:val="hybridMultilevel"/>
    <w:lvl w:ilvl="0">
      <w:lvlJc w:val="left"/>
      <w:lvlText w:val="(%1)"/>
      <w:numFmt w:val="lowerRoman"/>
      <w:start w:val="2"/>
    </w:lvl>
  </w:abstractNum>
  <w:abstractNum w:abstractNumId="83">
    <w:nsid w:val="39EE015C"/>
    <w:multiLevelType w:val="hybridMultilevel"/>
    <w:lvl w:ilvl="0">
      <w:lvlJc w:val="left"/>
      <w:lvlText w:val="%1"/>
      <w:numFmt w:val="decimal"/>
      <w:start w:val="1"/>
    </w:lvl>
    <w:lvl w:ilvl="1">
      <w:lvlJc w:val="left"/>
      <w:lvlText w:val="(%2)"/>
      <w:numFmt w:val="lowerLetter"/>
      <w:start w:val="1"/>
    </w:lvl>
  </w:abstractNum>
  <w:abstractNum w:abstractNumId="84">
    <w:nsid w:val="57FC4FBB"/>
    <w:multiLevelType w:val="hybridMultilevel"/>
    <w:lvl w:ilvl="0">
      <w:lvlJc w:val="left"/>
      <w:lvlText w:val="(%1)"/>
      <w:numFmt w:val="decimal"/>
      <w:start w:val="2"/>
    </w:lvl>
    <w:lvl w:ilvl="1">
      <w:lvlJc w:val="left"/>
      <w:lvlText w:val="(%2)"/>
      <w:numFmt w:val="lowerLetter"/>
      <w:start w:val="3"/>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2"/>
    </w:lvl>
  </w:abstractNum>
  <w:abstractNum w:abstractNumId="87">
    <w:nsid w:val="60EF0119"/>
    <w:multiLevelType w:val="hybridMultilevel"/>
    <w:lvl w:ilvl="0">
      <w:lvlJc w:val="left"/>
      <w:lvlText w:val="%1."/>
      <w:numFmt w:val="decimal"/>
      <w:start w:val="5"/>
    </w:lvl>
  </w:abstractNum>
  <w:abstractNum w:abstractNumId="88">
    <w:nsid w:val="26F324BA"/>
    <w:multiLevelType w:val="hybridMultilevel"/>
    <w:lvl w:ilvl="0">
      <w:lvlJc w:val="left"/>
      <w:lvlText w:val="(%1)"/>
      <w:numFmt w:val="decimal"/>
      <w:start w:val="10"/>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lowerLetter"/>
      <w:start w:val="1"/>
    </w:lvl>
  </w:abstractNum>
  <w:abstractNum w:abstractNumId="91">
    <w:nsid w:val="7055A5F5"/>
    <w:multiLevelType w:val="hybridMultilevel"/>
    <w:lvl w:ilvl="0">
      <w:lvlJc w:val="left"/>
      <w:lvlText w:val="%1."/>
      <w:numFmt w:val="decimal"/>
      <w:start w:val="6"/>
    </w:lvl>
  </w:abstractNum>
  <w:abstractNum w:abstractNumId="92">
    <w:nsid w:val="5FB8370B"/>
    <w:multiLevelType w:val="hybridMultilevel"/>
    <w:lvl w:ilvl="0">
      <w:lvlJc w:val="left"/>
      <w:lvlText w:val="%1."/>
      <w:numFmt w:val="decimal"/>
      <w:start w:val="7"/>
    </w:lvl>
    <w:lvl w:ilvl="1">
      <w:lvlJc w:val="left"/>
      <w:lvlText w:val="(%2)"/>
      <w:numFmt w:val="lowerLetter"/>
      <w:start w:val="1"/>
    </w:lvl>
  </w:abstractNum>
  <w:abstractNum w:abstractNumId="93">
    <w:nsid w:val="50801EE1"/>
    <w:multiLevelType w:val="hybridMultilevel"/>
    <w:lvl w:ilvl="0">
      <w:lvlJc w:val="left"/>
      <w:lvlText w:val="(%1)"/>
      <w:numFmt w:val="lowerLetter"/>
      <w:start w:val="3"/>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1)"/>
      <w:numFmt w:val="lowerLetter"/>
      <w:start w:val="4"/>
    </w:lvl>
  </w:abstractNum>
  <w:abstractNum w:abstractNumId="96">
    <w:nsid w:val="6AA78F7F"/>
    <w:multiLevelType w:val="hybridMultilevel"/>
    <w:lvl w:ilvl="0">
      <w:lvlJc w:val="left"/>
      <w:lvlText w:val="(%1)"/>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3"/>
    </w:lvl>
  </w:abstractNum>
  <w:abstractNum w:abstractNumId="98">
    <w:nsid w:val="6FC75AF8"/>
    <w:multiLevelType w:val="hybridMultilevel"/>
    <w:lvl w:ilvl="0">
      <w:lvlJc w:val="left"/>
      <w:lvlText w:val="%1."/>
      <w:numFmt w:val="decimal"/>
      <w:start w:val="8"/>
    </w:lvl>
    <w:lvl w:ilvl="1">
      <w:lvlJc w:val="left"/>
      <w:lvlText w:val="%2"/>
      <w:numFmt w:val="lowerLetter"/>
      <w:start w:val="1"/>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2023-04-17T16:59:07Z</dcterms:created>
  <dcterms:modified xsi:type="dcterms:W3CDTF">2023-04-17T16:59:07Z</dcterms:modified>
</cp:coreProperties>
</file>