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UNITED STATES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5" w:lineRule="exact"/>
        <w:rPr>
          <w:sz w:val="24"/>
          <w:szCs w:val="24"/>
          <w:color w:val="auto"/>
        </w:rPr>
      </w:pPr>
    </w:p>
    <w:p>
      <w:pPr>
        <w:ind w:left="440" w:right="3539" w:hanging="431"/>
        <w:spacing w:after="0" w:line="258"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160"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For the fiscal year ended December 31, 2000</w:t>
      </w:r>
    </w:p>
    <w:p>
      <w:pPr>
        <w:spacing w:after="0" w:line="175" w:lineRule="exact"/>
        <w:rPr>
          <w:sz w:val="24"/>
          <w:szCs w:val="24"/>
          <w:color w:val="auto"/>
        </w:rPr>
      </w:pPr>
    </w:p>
    <w:p>
      <w:pPr>
        <w:ind w:left="3400"/>
        <w:spacing w:after="0"/>
        <w:rPr>
          <w:sz w:val="20"/>
          <w:szCs w:val="20"/>
          <w:color w:val="auto"/>
        </w:rPr>
      </w:pPr>
      <w:r>
        <w:rPr>
          <w:rFonts w:ascii="Courier New" w:cs="Courier New" w:eastAsia="Courier New" w:hAnsi="Courier New"/>
          <w:sz w:val="14"/>
          <w:szCs w:val="14"/>
          <w:color w:val="auto"/>
        </w:rPr>
        <w:t>OR</w:t>
      </w:r>
    </w:p>
    <w:p>
      <w:pPr>
        <w:spacing w:after="0" w:line="175" w:lineRule="exact"/>
        <w:rPr>
          <w:sz w:val="24"/>
          <w:szCs w:val="24"/>
          <w:color w:val="auto"/>
        </w:rPr>
      </w:pPr>
    </w:p>
    <w:p>
      <w:pPr>
        <w:ind w:left="440" w:right="3979" w:hanging="431"/>
        <w:spacing w:after="0" w:line="258" w:lineRule="auto"/>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transition period from: __________________to __________________</w:t>
      </w:r>
    </w:p>
    <w:p>
      <w:pPr>
        <w:spacing w:after="0" w:line="175"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Commission File No. 0-21341</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OCWEN FINANCIAL CORPORATION</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0" w:gutter="0" w:footer="0" w:header="0"/>
        </w:sectPr>
      </w:pPr>
    </w:p>
    <w:p>
      <w:pPr>
        <w:spacing w:after="0" w:line="17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Florida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65-0039856</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580" w:space="720"/>
            <w:col w:w="4939"/>
          </w:cols>
          <w:pgMar w:left="220" w:top="230" w:right="1440" w:bottom="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1675 Palm Beach Lakes Boulevard</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West Palm Beach, Florida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33401</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5360" w:space="720"/>
            <w:col w:w="4159"/>
          </w:cols>
          <w:pgMar w:left="220" w:top="230" w:right="1440" w:bottom="0" w:gutter="0" w:footer="0" w:header="0"/>
          <w:type w:val="continuous"/>
        </w:sectPr>
      </w:pPr>
    </w:p>
    <w:p>
      <w:pPr>
        <w:jc w:val="center"/>
        <w:ind w:right="3279"/>
        <w:spacing w:after="0"/>
        <w:rPr>
          <w:sz w:val="20"/>
          <w:szCs w:val="20"/>
          <w:color w:val="auto"/>
        </w:rPr>
      </w:pPr>
      <w:r>
        <w:rPr>
          <w:rFonts w:ascii="Courier New" w:cs="Courier New" w:eastAsia="Courier New" w:hAnsi="Courier New"/>
          <w:sz w:val="14"/>
          <w:szCs w:val="14"/>
          <w:color w:val="auto"/>
        </w:rPr>
        <w:t>(561) 682-8000</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39"/>
          </w:cols>
          <w:pgMar w:left="220" w:top="230" w:right="1440" w:bottom="0" w:gutter="0" w:footer="0" w:header="0"/>
          <w:type w:val="continuous"/>
        </w:sectPr>
      </w:pPr>
    </w:p>
    <w:p>
      <w:pPr>
        <w:spacing w:after="0" w:line="175"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30" w:right="1440" w:bottom="0" w:gutter="0" w:footer="0" w:header="0"/>
          <w:type w:val="continuous"/>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$.01 par Value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New York Stock Exchange (NYSE)</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200" w:lineRule="exact"/>
        <w:rPr>
          <w:sz w:val="24"/>
          <w:szCs w:val="24"/>
          <w:color w:val="auto"/>
        </w:rPr>
      </w:pPr>
    </w:p>
    <w:p>
      <w:pPr>
        <w:sectPr>
          <w:pgSz w:w="11900" w:h="16838" w:orient="portrait"/>
          <w:cols w:equalWidth="0" w:num="2">
            <w:col w:w="2620" w:space="600"/>
            <w:col w:w="7019"/>
          </w:cols>
          <w:pgMar w:left="220" w:top="230" w:right="1440" w:bottom="0" w:gutter="0" w:footer="0" w:header="0"/>
          <w:type w:val="continuous"/>
        </w:sectPr>
      </w:pPr>
    </w:p>
    <w:p>
      <w:pPr>
        <w:spacing w:after="0" w:line="142"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registered pursuant to Section 12 (g) of the Act: Not applicable.</w:t>
      </w:r>
    </w:p>
    <w:p>
      <w:pPr>
        <w:spacing w:after="0" w:line="175"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162" w:lineRule="exact"/>
        <w:rPr>
          <w:sz w:val="24"/>
          <w:szCs w:val="24"/>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62" w:lineRule="exact"/>
        <w:rPr>
          <w:sz w:val="24"/>
          <w:szCs w:val="24"/>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Aggregate market value of the Common Stock, $.01 par value, held by nonaffiliates of the registrant, computed by reference to the closing price as reported on the NYSE as of the close of business on March 9, 2001: $354,631,433 (for purposes of this calculation affiliates include only directors and executive officers of the registrant).</w:t>
      </w:r>
    </w:p>
    <w:p>
      <w:pPr>
        <w:spacing w:after="0" w:line="162" w:lineRule="exact"/>
        <w:rPr>
          <w:sz w:val="24"/>
          <w:szCs w:val="24"/>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Number of shares of Common Stock, $.01 par value, outstanding as of March 9, 2001: 67,152,363 shares</w:t>
      </w:r>
    </w:p>
    <w:p>
      <w:pPr>
        <w:spacing w:after="0" w:line="160" w:lineRule="exact"/>
        <w:rPr>
          <w:sz w:val="24"/>
          <w:szCs w:val="24"/>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DOCUMENTS INCORPORATED BY REFERENCE: Portions of the Annual Report to Shareholders for fiscal year ended December 31, 2000 are incorporated by reference into Part I, Items 1 and 3, and Part II, Items 5-8, and portions of the Company's definitive Proxy Statement with respect to the Company's Annual Meeting of Shareholders to be held on May 17, 2001, and as filed with the Commission on or about March 30, 2001, are incorporated by reference into Part III, Items 10-13.</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OCWEN FINANCIAL CORPORATION</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2000 FORM 10-K ANNUAL REPORT</w:t>
      </w:r>
    </w:p>
    <w:p>
      <w:pPr>
        <w:spacing w:after="0" w:line="8"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175" w:lineRule="exact"/>
        <w:rPr>
          <w:sz w:val="24"/>
          <w:szCs w:val="24"/>
          <w:color w:val="auto"/>
        </w:rPr>
      </w:pPr>
    </w:p>
    <w:p>
      <w:pPr>
        <w:jc w:val="right"/>
        <w:ind w:right="327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4"/>
          <w:szCs w:val="24"/>
          <w:color w:val="auto"/>
        </w:rPr>
      </w:pPr>
    </w:p>
    <w:p>
      <w:pPr>
        <w:jc w:val="right"/>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4"/>
          <w:szCs w:val="24"/>
          <w:color w:val="auto"/>
        </w:rPr>
      </w:pPr>
    </w:p>
    <w:p>
      <w:pPr>
        <w:spacing w:after="0"/>
        <w:tabs>
          <w:tab w:leader="none" w:pos="1040" w:val="left"/>
          <w:tab w:leader="dot" w:pos="676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3"/>
          <w:szCs w:val="13"/>
          <w:color w:val="auto"/>
        </w:rPr>
        <w:t>5</w:t>
      </w:r>
    </w:p>
    <w:p>
      <w:pPr>
        <w:spacing w:after="0" w:line="8" w:lineRule="exact"/>
        <w:rPr>
          <w:sz w:val="24"/>
          <w:szCs w:val="24"/>
          <w:color w:val="auto"/>
        </w:rPr>
      </w:pPr>
    </w:p>
    <w:p>
      <w:pPr>
        <w:ind w:left="1220"/>
        <w:spacing w:after="0"/>
        <w:tabs>
          <w:tab w:leader="dot" w:pos="6760" w:val="left"/>
        </w:tabs>
        <w:rPr>
          <w:sz w:val="20"/>
          <w:szCs w:val="20"/>
          <w:color w:val="auto"/>
        </w:rPr>
      </w:pP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3"/>
          <w:szCs w:val="13"/>
          <w:color w:val="auto"/>
        </w:rPr>
        <w:t>5</w:t>
      </w:r>
    </w:p>
    <w:p>
      <w:pPr>
        <w:spacing w:after="0" w:line="8" w:lineRule="exact"/>
        <w:rPr>
          <w:sz w:val="24"/>
          <w:szCs w:val="24"/>
          <w:color w:val="auto"/>
        </w:rPr>
      </w:pPr>
    </w:p>
    <w:p>
      <w:pPr>
        <w:ind w:left="1220"/>
        <w:spacing w:after="0"/>
        <w:tabs>
          <w:tab w:leader="dot" w:pos="6760" w:val="left"/>
        </w:tabs>
        <w:rPr>
          <w:sz w:val="20"/>
          <w:szCs w:val="20"/>
          <w:color w:val="auto"/>
        </w:rPr>
      </w:pPr>
      <w:r>
        <w:rPr>
          <w:rFonts w:ascii="Courier New" w:cs="Courier New" w:eastAsia="Courier New" w:hAnsi="Courier New"/>
          <w:sz w:val="14"/>
          <w:szCs w:val="14"/>
          <w:color w:val="auto"/>
        </w:rPr>
        <w:t>Business Acquisitions and Dispositions</w:t>
      </w:r>
      <w:r>
        <w:rPr>
          <w:sz w:val="20"/>
          <w:szCs w:val="20"/>
          <w:color w:val="auto"/>
        </w:rPr>
        <w:tab/>
      </w:r>
      <w:r>
        <w:rPr>
          <w:rFonts w:ascii="Courier New" w:cs="Courier New" w:eastAsia="Courier New" w:hAnsi="Courier New"/>
          <w:sz w:val="13"/>
          <w:szCs w:val="13"/>
          <w:color w:val="auto"/>
        </w:rPr>
        <w:t>5</w:t>
      </w:r>
    </w:p>
    <w:p>
      <w:pPr>
        <w:spacing w:after="0" w:line="8" w:lineRule="exact"/>
        <w:rPr>
          <w:sz w:val="24"/>
          <w:szCs w:val="24"/>
          <w:color w:val="auto"/>
        </w:rPr>
      </w:pPr>
    </w:p>
    <w:p>
      <w:pPr>
        <w:ind w:left="1220"/>
        <w:spacing w:after="0"/>
        <w:tabs>
          <w:tab w:leader="dot" w:pos="6760" w:val="left"/>
        </w:tabs>
        <w:rPr>
          <w:sz w:val="20"/>
          <w:szCs w:val="20"/>
          <w:color w:val="auto"/>
        </w:rPr>
      </w:pPr>
      <w:r>
        <w:rPr>
          <w:rFonts w:ascii="Courier New" w:cs="Courier New" w:eastAsia="Courier New" w:hAnsi="Courier New"/>
          <w:sz w:val="14"/>
          <w:szCs w:val="14"/>
          <w:color w:val="auto"/>
        </w:rPr>
        <w:t>Segments</w:t>
      </w:r>
      <w:r>
        <w:rPr>
          <w:sz w:val="20"/>
          <w:szCs w:val="20"/>
          <w:color w:val="auto"/>
        </w:rPr>
        <w:tab/>
      </w:r>
      <w:r>
        <w:rPr>
          <w:rFonts w:ascii="Courier New" w:cs="Courier New" w:eastAsia="Courier New" w:hAnsi="Courier New"/>
          <w:sz w:val="13"/>
          <w:szCs w:val="13"/>
          <w:color w:val="auto"/>
        </w:rPr>
        <w:t>6</w:t>
      </w:r>
    </w:p>
    <w:p>
      <w:pPr>
        <w:spacing w:after="0" w:line="8" w:lineRule="exact"/>
        <w:rPr>
          <w:sz w:val="24"/>
          <w:szCs w:val="24"/>
          <w:color w:val="auto"/>
        </w:rPr>
      </w:pPr>
    </w:p>
    <w:p>
      <w:pPr>
        <w:ind w:left="1400"/>
        <w:spacing w:after="0"/>
        <w:tabs>
          <w:tab w:leader="dot" w:pos="6760" w:val="left"/>
        </w:tabs>
        <w:rPr>
          <w:sz w:val="20"/>
          <w:szCs w:val="20"/>
          <w:color w:val="auto"/>
        </w:rPr>
      </w:pPr>
      <w:r>
        <w:rPr>
          <w:rFonts w:ascii="Courier New" w:cs="Courier New" w:eastAsia="Courier New" w:hAnsi="Courier New"/>
          <w:sz w:val="14"/>
          <w:szCs w:val="14"/>
          <w:color w:val="auto"/>
        </w:rPr>
        <w:t>Single Family Residential Discount Loans</w:t>
      </w:r>
      <w:r>
        <w:rPr>
          <w:sz w:val="20"/>
          <w:szCs w:val="20"/>
          <w:color w:val="auto"/>
        </w:rPr>
        <w:tab/>
      </w:r>
      <w:r>
        <w:rPr>
          <w:rFonts w:ascii="Courier New" w:cs="Courier New" w:eastAsia="Courier New" w:hAnsi="Courier New"/>
          <w:sz w:val="13"/>
          <w:szCs w:val="13"/>
          <w:color w:val="auto"/>
        </w:rPr>
        <w:t>6</w:t>
      </w:r>
    </w:p>
    <w:p>
      <w:pPr>
        <w:spacing w:after="0" w:line="8" w:lineRule="exact"/>
        <w:rPr>
          <w:sz w:val="24"/>
          <w:szCs w:val="24"/>
          <w:color w:val="auto"/>
        </w:rPr>
      </w:pPr>
    </w:p>
    <w:p>
      <w:pPr>
        <w:ind w:left="1400"/>
        <w:spacing w:after="0"/>
        <w:tabs>
          <w:tab w:leader="dot" w:pos="6760" w:val="left"/>
        </w:tabs>
        <w:rPr>
          <w:sz w:val="20"/>
          <w:szCs w:val="20"/>
          <w:color w:val="auto"/>
        </w:rPr>
      </w:pPr>
      <w:r>
        <w:rPr>
          <w:rFonts w:ascii="Courier New" w:cs="Courier New" w:eastAsia="Courier New" w:hAnsi="Courier New"/>
          <w:sz w:val="14"/>
          <w:szCs w:val="14"/>
          <w:color w:val="auto"/>
        </w:rPr>
        <w:t>Commercial Loans</w:t>
      </w:r>
      <w:r>
        <w:rPr>
          <w:sz w:val="20"/>
          <w:szCs w:val="20"/>
          <w:color w:val="auto"/>
        </w:rPr>
        <w:tab/>
      </w:r>
      <w:r>
        <w:rPr>
          <w:rFonts w:ascii="Courier New" w:cs="Courier New" w:eastAsia="Courier New" w:hAnsi="Courier New"/>
          <w:sz w:val="13"/>
          <w:szCs w:val="13"/>
          <w:color w:val="auto"/>
        </w:rPr>
        <w:t>7</w:t>
      </w:r>
    </w:p>
    <w:p>
      <w:pPr>
        <w:sectPr>
          <w:pgSz w:w="11900" w:h="16838" w:orient="portrait"/>
          <w:cols w:equalWidth="0" w:num="1">
            <w:col w:w="10239"/>
          </w:cols>
          <w:pgMar w:left="220" w:top="230"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Domestic Residential Mortgage Loan Servicing..............</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Investments in Low-Income Housing Tax Credit Interests....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OTX.......................................................</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Commercial Real Estate....................................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UK Operations.............................................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Domestic Subprime Single Family Residential Lending.......</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Unsecured Collections.....................................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Ocwen Realty Advisors.....................................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Corporate Items and Other.................................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Sources of Funds............................................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Risk Factors................................................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Competition.................................................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Subsidiaries................................................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Employees...................................................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Regulation..................................................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The Company...............................................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The Bank..................................................</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Federal Taxation............................................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State Taxation..............................................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Properties....................................................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Legal Proceedings.............................................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4"/>
        </w:trPr>
        <w:tc>
          <w:tcPr>
            <w:tcW w:w="880" w:type="dxa"/>
            <w:vAlign w:val="bottom"/>
          </w:tcPr>
          <w:p>
            <w:pPr>
              <w:spacing w:after="0"/>
              <w:rPr>
                <w:sz w:val="24"/>
                <w:szCs w:val="24"/>
                <w:color w:val="auto"/>
              </w:rPr>
            </w:pPr>
          </w:p>
        </w:tc>
        <w:tc>
          <w:tcPr>
            <w:tcW w:w="5680" w:type="dxa"/>
            <w:vAlign w:val="bottom"/>
          </w:tcPr>
          <w:p>
            <w:pPr>
              <w:jc w:val="right"/>
              <w:ind w:right="2668"/>
              <w:spacing w:after="0"/>
              <w:rPr>
                <w:sz w:val="20"/>
                <w:szCs w:val="20"/>
                <w:color w:val="auto"/>
              </w:rPr>
            </w:pPr>
            <w:r>
              <w:rPr>
                <w:rFonts w:ascii="Courier New" w:cs="Courier New" w:eastAsia="Courier New" w:hAnsi="Courier New"/>
                <w:sz w:val="14"/>
                <w:szCs w:val="14"/>
                <w:color w:val="auto"/>
              </w:rPr>
              <w:t>PART II</w:t>
            </w:r>
          </w:p>
        </w:tc>
        <w:tc>
          <w:tcPr>
            <w:tcW w:w="300" w:type="dxa"/>
            <w:vAlign w:val="bottom"/>
          </w:tcPr>
          <w:p>
            <w:pPr>
              <w:spacing w:after="0"/>
              <w:rPr>
                <w:sz w:val="24"/>
                <w:szCs w:val="24"/>
                <w:color w:val="auto"/>
              </w:rPr>
            </w:pP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5680" w:type="dxa"/>
            <w:vAlign w:val="bottom"/>
          </w:tcPr>
          <w:p>
            <w:pPr>
              <w:ind w:left="180"/>
              <w:spacing w:after="0"/>
              <w:rPr>
                <w:sz w:val="20"/>
                <w:szCs w:val="20"/>
                <w:color w:val="auto"/>
              </w:rPr>
            </w:pPr>
            <w:r>
              <w:rPr>
                <w:rFonts w:ascii="Courier New" w:cs="Courier New" w:eastAsia="Courier New" w:hAnsi="Courier New"/>
                <w:sz w:val="14"/>
                <w:szCs w:val="14"/>
                <w:color w:val="auto"/>
              </w:rPr>
              <w:t>Market for the Registrant's Common Equity and Related</w:t>
            </w:r>
          </w:p>
        </w:tc>
        <w:tc>
          <w:tcPr>
            <w:tcW w:w="300" w:type="dxa"/>
            <w:vAlign w:val="bottom"/>
          </w:tcPr>
          <w:p>
            <w:pPr>
              <w:spacing w:after="0"/>
              <w:rPr>
                <w:sz w:val="24"/>
                <w:szCs w:val="24"/>
                <w:color w:val="auto"/>
              </w:rPr>
            </w:pP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Stockholder Matters..........................................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Selected Consolidated Financial Data..........................</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5680" w:type="dxa"/>
            <w:vAlign w:val="bottom"/>
          </w:tcPr>
          <w:p>
            <w:pPr>
              <w:ind w:left="180"/>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300" w:type="dxa"/>
            <w:vAlign w:val="bottom"/>
          </w:tcPr>
          <w:p>
            <w:pPr>
              <w:spacing w:after="0"/>
              <w:rPr>
                <w:sz w:val="24"/>
                <w:szCs w:val="24"/>
                <w:color w:val="auto"/>
              </w:rPr>
            </w:pPr>
          </w:p>
        </w:tc>
      </w:tr>
      <w:tr>
        <w:trPr>
          <w:trHeight w:val="167"/>
        </w:trPr>
        <w:tc>
          <w:tcPr>
            <w:tcW w:w="880" w:type="dxa"/>
            <w:vAlign w:val="bottom"/>
          </w:tcPr>
          <w:p>
            <w:pPr>
              <w:spacing w:after="0"/>
              <w:rPr>
                <w:sz w:val="14"/>
                <w:szCs w:val="14"/>
                <w:color w:val="auto"/>
              </w:rPr>
            </w:pP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and Results of Operations....................................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Item 7A.</w:t>
            </w: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5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4"/>
        </w:trPr>
        <w:tc>
          <w:tcPr>
            <w:tcW w:w="880" w:type="dxa"/>
            <w:vAlign w:val="bottom"/>
          </w:tcPr>
          <w:p>
            <w:pPr>
              <w:spacing w:after="0"/>
              <w:rPr>
                <w:sz w:val="24"/>
                <w:szCs w:val="24"/>
                <w:color w:val="auto"/>
              </w:rPr>
            </w:pPr>
          </w:p>
        </w:tc>
        <w:tc>
          <w:tcPr>
            <w:tcW w:w="5680" w:type="dxa"/>
            <w:vAlign w:val="bottom"/>
          </w:tcPr>
          <w:p>
            <w:pPr>
              <w:jc w:val="right"/>
              <w:ind w:right="3008"/>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2" w:name="page3"/>
    <w:bookmarkEnd w:id="2"/>
    <w:p>
      <w:pPr>
        <w:ind w:left="2360"/>
        <w:spacing w:after="0"/>
        <w:rPr>
          <w:sz w:val="20"/>
          <w:szCs w:val="20"/>
          <w:color w:val="auto"/>
        </w:rPr>
      </w:pPr>
      <w:r>
        <w:rPr>
          <w:rFonts w:ascii="Courier New" w:cs="Courier New" w:eastAsia="Courier New" w:hAnsi="Courier New"/>
          <w:sz w:val="14"/>
          <w:szCs w:val="14"/>
          <w:color w:val="auto"/>
        </w:rPr>
        <w:t>OCWEN FINANCIAL CORPORATION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2000 FORM 10-K ANNUAL REPORT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w:t>
      </w:r>
    </w:p>
    <w:p>
      <w:pPr>
        <w:spacing w:after="0" w:line="8" w:lineRule="exact"/>
        <w:rPr>
          <w:sz w:val="20"/>
          <w:szCs w:val="20"/>
          <w:color w:val="auto"/>
        </w:rPr>
      </w:pPr>
    </w:p>
    <w:p>
      <w:pPr>
        <w:ind w:left="1140"/>
        <w:spacing w:after="0"/>
        <w:tabs>
          <w:tab w:leader="dot" w:pos="6680" w:val="left"/>
        </w:tabs>
        <w:rPr>
          <w:sz w:val="20"/>
          <w:szCs w:val="20"/>
          <w:color w:val="auto"/>
        </w:rPr>
      </w:pPr>
      <w:r>
        <w:rPr>
          <w:rFonts w:ascii="Courier New" w:cs="Courier New" w:eastAsia="Courier New" w:hAnsi="Courier New"/>
          <w:sz w:val="14"/>
          <w:szCs w:val="14"/>
          <w:color w:val="auto"/>
        </w:rPr>
        <w:t>and Financial Disclosure</w:t>
      </w:r>
      <w:r>
        <w:rPr>
          <w:sz w:val="20"/>
          <w:szCs w:val="20"/>
          <w:color w:val="auto"/>
        </w:rPr>
        <w:tab/>
      </w:r>
      <w:r>
        <w:rPr>
          <w:rFonts w:ascii="Courier New" w:cs="Courier New" w:eastAsia="Courier New" w:hAnsi="Courier New"/>
          <w:sz w:val="13"/>
          <w:szCs w:val="13"/>
          <w:color w:val="auto"/>
        </w:rPr>
        <w:t>23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tabs>
          <w:tab w:leader="none" w:pos="1040" w:val="left"/>
          <w:tab w:leader="dot" w:pos="668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Registrant</w:t>
      </w:r>
      <w:r>
        <w:rPr>
          <w:sz w:val="20"/>
          <w:szCs w:val="20"/>
          <w:color w:val="auto"/>
        </w:rPr>
        <w:tab/>
      </w:r>
      <w:r>
        <w:rPr>
          <w:rFonts w:ascii="Courier New" w:cs="Courier New" w:eastAsia="Courier New" w:hAnsi="Courier New"/>
          <w:sz w:val="13"/>
          <w:szCs w:val="13"/>
          <w:color w:val="auto"/>
        </w:rPr>
        <w:t>24</w:t>
      </w:r>
    </w:p>
    <w:p>
      <w:pPr>
        <w:spacing w:after="0" w:line="175" w:lineRule="exact"/>
        <w:rPr>
          <w:sz w:val="20"/>
          <w:szCs w:val="20"/>
          <w:color w:val="auto"/>
        </w:rPr>
      </w:pPr>
    </w:p>
    <w:p>
      <w:pPr>
        <w:spacing w:after="0"/>
        <w:tabs>
          <w:tab w:leader="none" w:pos="1040" w:val="left"/>
          <w:tab w:leader="dot" w:pos="668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r>
        <w:rPr>
          <w:sz w:val="20"/>
          <w:szCs w:val="20"/>
          <w:color w:val="auto"/>
        </w:rPr>
        <w:tab/>
      </w:r>
      <w:r>
        <w:rPr>
          <w:rFonts w:ascii="Courier New" w:cs="Courier New" w:eastAsia="Courier New" w:hAnsi="Courier New"/>
          <w:sz w:val="13"/>
          <w:szCs w:val="13"/>
          <w:color w:val="auto"/>
        </w:rPr>
        <w:t>24</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w:t>
      </w:r>
    </w:p>
    <w:p>
      <w:pPr>
        <w:spacing w:after="0" w:line="8" w:lineRule="exact"/>
        <w:rPr>
          <w:sz w:val="20"/>
          <w:szCs w:val="20"/>
          <w:color w:val="auto"/>
        </w:rPr>
      </w:pPr>
    </w:p>
    <w:p>
      <w:pPr>
        <w:ind w:left="1140"/>
        <w:spacing w:after="0"/>
        <w:tabs>
          <w:tab w:leader="dot" w:pos="6680" w:val="left"/>
        </w:tabs>
        <w:rPr>
          <w:sz w:val="20"/>
          <w:szCs w:val="20"/>
          <w:color w:val="auto"/>
        </w:rPr>
      </w:pPr>
      <w:r>
        <w:rPr>
          <w:rFonts w:ascii="Courier New" w:cs="Courier New" w:eastAsia="Courier New" w:hAnsi="Courier New"/>
          <w:sz w:val="14"/>
          <w:szCs w:val="14"/>
          <w:color w:val="auto"/>
        </w:rPr>
        <w:t>Management</w:t>
      </w:r>
      <w:r>
        <w:rPr>
          <w:sz w:val="20"/>
          <w:szCs w:val="20"/>
          <w:color w:val="auto"/>
        </w:rPr>
        <w:tab/>
      </w:r>
      <w:r>
        <w:rPr>
          <w:rFonts w:ascii="Courier New" w:cs="Courier New" w:eastAsia="Courier New" w:hAnsi="Courier New"/>
          <w:sz w:val="13"/>
          <w:szCs w:val="13"/>
          <w:color w:val="auto"/>
        </w:rPr>
        <w:t>24</w:t>
      </w:r>
    </w:p>
    <w:p>
      <w:pPr>
        <w:spacing w:after="0" w:line="175" w:lineRule="exact"/>
        <w:rPr>
          <w:sz w:val="20"/>
          <w:szCs w:val="20"/>
          <w:color w:val="auto"/>
        </w:rPr>
      </w:pPr>
    </w:p>
    <w:p>
      <w:pPr>
        <w:spacing w:after="0"/>
        <w:tabs>
          <w:tab w:leader="none" w:pos="1040" w:val="left"/>
          <w:tab w:leader="dot" w:pos="668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r>
        <w:rPr>
          <w:sz w:val="20"/>
          <w:szCs w:val="20"/>
          <w:color w:val="auto"/>
        </w:rPr>
        <w:tab/>
      </w:r>
      <w:r>
        <w:rPr>
          <w:rFonts w:ascii="Courier New" w:cs="Courier New" w:eastAsia="Courier New" w:hAnsi="Courier New"/>
          <w:sz w:val="13"/>
          <w:szCs w:val="13"/>
          <w:color w:val="auto"/>
        </w:rPr>
        <w:t>24</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IV</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w:t>
      </w:r>
    </w:p>
    <w:p>
      <w:pPr>
        <w:spacing w:after="0" w:line="8" w:lineRule="exact"/>
        <w:rPr>
          <w:sz w:val="20"/>
          <w:szCs w:val="20"/>
          <w:color w:val="auto"/>
        </w:rPr>
      </w:pPr>
    </w:p>
    <w:p>
      <w:pPr>
        <w:ind w:left="1140"/>
        <w:spacing w:after="0"/>
        <w:tabs>
          <w:tab w:leader="dot" w:pos="6680" w:val="left"/>
        </w:tabs>
        <w:rPr>
          <w:sz w:val="20"/>
          <w:szCs w:val="20"/>
          <w:color w:val="auto"/>
        </w:rPr>
      </w:pPr>
      <w:r>
        <w:rPr>
          <w:rFonts w:ascii="Courier New" w:cs="Courier New" w:eastAsia="Courier New" w:hAnsi="Courier New"/>
          <w:sz w:val="14"/>
          <w:szCs w:val="14"/>
          <w:color w:val="auto"/>
        </w:rPr>
        <w:t>Form 8-K</w:t>
      </w:r>
      <w:r>
        <w:rPr>
          <w:sz w:val="20"/>
          <w:szCs w:val="20"/>
          <w:color w:val="auto"/>
        </w:rPr>
        <w:tab/>
      </w:r>
      <w:r>
        <w:rPr>
          <w:rFonts w:ascii="Courier New" w:cs="Courier New" w:eastAsia="Courier New" w:hAnsi="Courier New"/>
          <w:sz w:val="13"/>
          <w:szCs w:val="13"/>
          <w:color w:val="auto"/>
        </w:rPr>
        <w:t>25</w:t>
      </w:r>
    </w:p>
    <w:p>
      <w:pPr>
        <w:spacing w:after="0" w:line="175" w:lineRule="exact"/>
        <w:rPr>
          <w:sz w:val="20"/>
          <w:szCs w:val="20"/>
          <w:color w:val="auto"/>
        </w:rPr>
      </w:pPr>
    </w:p>
    <w:p>
      <w:pPr>
        <w:ind w:left="1060"/>
        <w:spacing w:after="0"/>
        <w:tabs>
          <w:tab w:leader="dot" w:pos="668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3"/>
          <w:szCs w:val="13"/>
          <w:color w:val="auto"/>
        </w:rPr>
        <w:t>28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Certain statements contained herein are not, and certain statements contained in future filings by the Company with the Securities and Exchange Commission (the "Commission"), in the Company's press releases or in the Company's other public or shareholder communications may not be, based on historical facts and are "forward-looking statements" within the meaning of Section 27A of the Securities Act of 1933, as amended, and Section 21E of the Securities Exchange Act of 1934, as amended. These forward-looking statements, which are based on various assumptions (some of which are beyond the Company's control), may be identified by reference to a future period(s) or by the use of forward-looking terminology such as "anticipate," "believe," "commitment," "consider," "continue," "could," "estimate," "expect," "foresee," "intend," "in the event of," "may," "plan," "propose," "prospect," "whether," "will," "would," future or conditional verb tenses, similar terms, variations on such terms or negatives of such terms. Although the Company believes the anticipated results or other expectations reflected in such forward-looking statements are based on reasonable assumptions, it can give no assurance that those results or expectations will be attained. Actual results could differ materially from those indicated in such statements due to risks, uncertainties and changes with respect to a variety of factors, including, but not limited to, international, national, regional or local economic environments (particularly in the market areas where the Company operates), government fiscal and monetary policies (particularly in the market areas where the Company operates), prevailing interest or currency exchange rates, effectiveness of interest rate, currency and other hedging strategies, laws and regulations affecting financial institutions, investment companies and real estate (including regulatory fees, capital requirements, access for disabled persons and environmental compliance), uncertainty of foreign laws, competitive products, pricing and conditions (including from competitors that have significantly greater resources than the Company), credit, prepayment, basis, default, subordination and asset/liability risks, loan servicing effectiveness, ability to identify acquisitions and investment opportunities meeting the Company's investment strategy, the course of negotiations and the ability to reach agreement with respect to the material terms of any particular transaction, satisfactory due diligence results, satisfaction or fulfillment of agreed upon terms and conditions of closing or performance, the timing of transaction closings, software integration, development and licensing, change to the Company's computer equipment and the information stored in its data centers, availability of and costs associated with obtaining adequate and timely sources of liquidity, ability to repay or refinance indebtedness (at maturity or upon acceleration), to meet collateral calls by lenders (upon re-valuation of the underlying assets or otherwise), to generate revenues sufficient to meet debt service payments and other operating expenses, availability of discount loans and servicing rights for purchase, size of, nature of and yields available with respect to the secondary market for mortgage loans, financial, securities and securitization markets in general, allowances for loan losses, changes in real estate conditions (including liquidity, valuation, revenues, rental rates, occupancy levels and competing properties), adequacy of insurance coverage in the event of a loss, other factors generally understood to affect the real estate acquisition, mortgage, servicing and leasing markets, securities investments and the software and</w:t>
      </w:r>
    </w:p>
    <w:p>
      <w:pPr>
        <w:spacing w:after="0" w:line="35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3" w:name="page4"/>
    <w:bookmarkEnd w:id="3"/>
    <w:p>
      <w:pPr>
        <w:ind w:right="3279"/>
        <w:spacing w:after="0" w:line="253" w:lineRule="auto"/>
        <w:rPr>
          <w:sz w:val="20"/>
          <w:szCs w:val="20"/>
          <w:color w:val="auto"/>
        </w:rPr>
      </w:pPr>
      <w:r>
        <w:rPr>
          <w:rFonts w:ascii="Courier New" w:cs="Courier New" w:eastAsia="Courier New" w:hAnsi="Courier New"/>
          <w:sz w:val="14"/>
          <w:szCs w:val="14"/>
          <w:color w:val="auto"/>
        </w:rPr>
        <w:t>technology industry, and other risks detailed from time to time in the Company's reports and filings with the Commission, including its Registration Statements on Forms S-1 and S-3 and periodic reports on Forms 10-Q, 8-K and 10-K and Exhibit 99.1, Risk Factors (filed herewith). Given these uncertainties, readers are cautioned not to place undue reliance on such statements. The Company does not undertake, and specifically disclaims any obligation, to publicly release the result of any revisions that may be made to any forward-looking statements to reflect the occurrence of anticipated or unanticipated events or circumstances after the date of such statements.</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4" w:name="page5"/>
    <w:bookmarkEnd w:id="4"/>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0"/>
          <w:szCs w:val="20"/>
          <w:color w:val="auto"/>
        </w:rPr>
      </w:pPr>
    </w:p>
    <w:p>
      <w:pPr>
        <w:spacing w:after="0"/>
        <w:tabs>
          <w:tab w:leader="none" w:pos="780" w:val="left"/>
          <w:tab w:leader="none" w:pos="1640" w:val="left"/>
        </w:tabs>
        <w:rPr>
          <w:sz w:val="20"/>
          <w:szCs w:val="20"/>
          <w:color w:val="auto"/>
        </w:rPr>
      </w:pPr>
      <w:r>
        <w:rPr>
          <w:rFonts w:ascii="Courier New" w:cs="Courier New" w:eastAsia="Courier New" w:hAnsi="Courier New"/>
          <w:sz w:val="14"/>
          <w:szCs w:val="14"/>
          <w:color w:val="auto"/>
        </w:rPr>
        <w:t>ITEM 1.</w:t>
        <w:tab/>
        <w:t>BUSINESS</w:t>
        <w:tab/>
        <w:t>(DOLLARS IN THOUSANDS)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Ocwen Financial Corporation ("OCN" or the "Company") is a financial services company headquartered in West Palm Beach, Florida. The Company's primary businesses are the servicing and resolution of subperforming and nonperforming residential and commercial mortgage loans, as well as the related development of loan servicing technology and business-to-business e-commerce solutions for the mortgage and real estate industries.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is a Florida corporation which was organized in February 1988 in connection with its acquisition of Ocwen Federal Bank FSB (the "Bank"). The Company is a registered savings and loan holding company subject to regulation by the Office of Thrift Supervision (the "OTS"). The Bank is a wholly owned subsidiary of the Company and is also subject to regulation by the OTS, as its chartering authority, and by the Federal Deposit Insurance Corporation ("FDIC"), as a result of its membership in the Savings Association Insurance Fund ("SAIF"), which insures the Bank's deposits to the maximum extent permitted by law. The Bank is also subject to regulation by the Board of Governors of the Federal Reserve System ("Federal Reserve Board") and currently is a member of the Federal Home Loan Bank ("FHLB") of New York, one of the 12 regional banks which comprise the FHLB System.</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Company's business activities in recent years reflect a change in strategic direction from capital-intensive lines of business to fee-based lines of business such as mortgage loan servicing and developing technology solutions for the mortgage and real estate industries.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ACQUISITIONS AND DISPOSITIONS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November 22, 2000, the Company sold its minority investment in Kensington Group plc ("Kensington"), an originator of subprime residential mortgages in the United Kingdom ("UK"), for the pound sterling equivalent of approximately $48,600, net of stamp duty and other fees. The Company had purchased 36.07% of the total outstanding common stock of Kensington in February 1998. See "Segments - UK Operations."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On October 7, 1999, Ocwen Acquisition Company, an indirect wholly-owned subsidiary of OCN, merged with (the "Merger") and into Ocwen Asset Investment Corp. ("OAC"). OAC was a real estate investment company that invested in several categories of real estate and real estate related assets. Prior to the Merger, the Company, through Investors Mortgage Insurance Holding Company, owned 8.12% of the outstanding common stock of OAC and 8.71% of the outstanding partnership units of Ocwen Partnership L.P. ("OPLP"). OPLP is the operating partnership subsidiary of OAC. In accordance with the terms of the Merger, OAC shareholders (except for OCN or its subsidiaries) received 0.71 shares of OCN stock for each outstanding share of OAC common stock, and a total of 12,371,750 shares of OCN stock at a value of $96,809 were issued to OAC shareholders. The Merger, which resulted in OCN acquiring the remaining interest in OAC, reflected an aggregate purchase price of $101,271, including direct costs of the acquisition. The Merger was accounted for as a purchase, and the purchase price was allocated to OAC's assets and liabilities based on their fair market values, resulting in $60,042 of excess of net assets acquired over the purchase price.</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September 30, 1999, the Company sold all the shares of its wholly-owned subsidiary, Ocwen UK plc ("Ocwen UK"), to Malvern House Acquisition Limited for the pound sterling equivalent of $122,101 in cash. Ocwen UK was originally formed to acquire the UK mortgage loan portfolio and residential subprime mortgage loan origination and servicing operations of Cityscape Financial Corp. ("Cityscape UK") in April 1998. See "Segments - UK Operations."</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On June 2, 1999, Ocwen Technology Xchange ("OTX"), a wholly-owned subsidiary of OCN, acquired the assets of Synergy Software, LLC ("Synergy"), a developer of commercial and multifamily mortgage servicing systems for $10,000, of which $5,000 has been paid and $5,000 is a holdback which will be released over time if certain performance objectives are attained. The acquisition was accounted for as a purchase. See "Segments - OTX."</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On January 20, 1998, the Company acquired DTS Communications, Inc. ("DTS"), a real estate technology company located in San Diego, California, for a purchase price of $13,025 in cash, common stock of the Company and repayment of certain indebtedness. The acquisition was accounted for as a purchase. DTS has developed technology tools to automate real estate transactions. DTS is a wholly-owned subsidiary of OTX. See "Segments - OTX."</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On November 6, 1997, the Company acquired AMOS, Inc. ("AMOS"), a Connecticut-based company engaged primarily in the development of residential mortgage loan servicing software. The acquisition was accounted for as a purchase. The aggregate purchase price was $9,718, including $4,815 that is contingent on AMOS meeting certain software development performance criteria. AMOS is a wholly-owned subsidiary of OTX. See "Segments - OTX."</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SEGMENTS</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Company's business segments consist of the following: (i) single family residential discount loan acquisition and resolution activities, including real estate owned; (ii) commercial loan activities, including commercial discount loans and real estate owned; (iii) servicing of domestic residential mortgage loans for others; (iv) investments in low-income housing tax credit interests (v) technology, which is conducted through OTX and its subsidiaries; (vi) commercial real estate; (vii) United Kingdom ("UK") operations; (viii) domestic subprime single family residential lending; (ix) unsecured collections; (x) Ocwen Realty Advisors ("ORA"); and (xi) corporate items and other.</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Segment activity in recent years reflects growth in the domestic loan servicing segment, continued investment in the development of new technology products at OTX, an exit from the subprime loan origination business, both in the US and the UK, the cessation of commercial and multi-family loan origination activity and the acquisition of OAC. This activity reflects the Company's transition in business strategy from capital-intensive businesses to fee-based businesses.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SINGLE FAMILY RESIDENTIAL DISCOUNT LOANS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Certain mortgage loans, for which the borrower is not current as to principal and interest payments or for which there is a reason to believe the borrower will be unable to continue to make scheduled principal and interest payments, are acquired at a discount. Discount loans generally have collateral coverage which is sufficiently in excess of the purchase price of the loan, such that successful resolutions can produce total returns which are in excess of an equivalent investment in performing mortgage loans.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began its discount loan operations in 1991 and initially focused on the acquisition of single family residential loans. In 1994 the Company expanded this business to include the acquisition and resolution of discount multi-family residential and commercial real estate loans (together, unless the context otherwise requires, "commercial real estate loans"). Prior to entering the discount loan business, management of the Company had substantial loan resolution experience through former subsidiaries of the Company which had been engaged in the business of providing private mortgage insurance for residential loans. This experience assisted the Company in developing the procedures, facilities and systems to evaluate, acquire and resolve such loans.</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volume of discount loan acquisitions has declined in recent years, primarily because of two factors: the strength of the domestic economy, which has led to a decline in the volume of nonperforming loans being brought to the market; and the Company's change in strategic direction from capital intensive lines of business to fee-based businesses.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ACQUISITION OF DISCOUNT LOANS. Discount real estate loans generally are acquired in pools, although discount commercial real estate loans may be acquired individually. These pools generally are acquired in auctions or other competitive bid circumstances. The Company obtains a substantial amount of discount loans from various private sector sellers, such as banks, savings institutions, mortgage companies, subprime lenders and insurance companies. In addition, governmental agencies, including the Department of Housing and Urban Development ("HUD"), are potential sources of discount loans.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generally acquires discount loans solely for its own portfolio. From time to time, however, the Company and one or more co-investors may submit a joint bid to acquire a pool of discount loans in order to enhance the prospects of submitting a successful bid. If successful, the Company and the co-investors generally allocate ownership of the acquired loans in an agreed upon manner, although in certain instances the Company and the co-investor may continue to have a joint interest in the acquired loans. In addition, from time to time the Company and a co-investor may acquire discount loans through a joint venture.</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Prior to making an offer to purchase a portfolio of discount loans, the Company conducts an investigation and evaluation of the loans in the portfolio. Evaluations of potential discount loan acquisitions are conducted primarily by the Company's employees who specialize in the analysis of nonperforming loans, often with further specialization based on geographic or collateral-specific factors. The Company's employees regularly use third parties, such as brokers, who are familiar with a property's type and location, to assist them in conducting an evaluation of the value of collateral property, and depending on the circumstances, particularly in the case of commercial real estate loans, may use subcontractors, such as local counsel and engineering and environmental experts, to assist in the evaluation and verification of information and the gathering of other information not previously made available by a potential seller.</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6" w:name="page7"/>
    <w:bookmarkEnd w:id="6"/>
    <w:p>
      <w:pPr>
        <w:ind w:right="3459" w:firstLine="781"/>
        <w:spacing w:after="0" w:line="253" w:lineRule="auto"/>
        <w:rPr>
          <w:sz w:val="20"/>
          <w:szCs w:val="20"/>
          <w:color w:val="auto"/>
        </w:rPr>
      </w:pPr>
      <w:r>
        <w:rPr>
          <w:rFonts w:ascii="Courier New" w:cs="Courier New" w:eastAsia="Courier New" w:hAnsi="Courier New"/>
          <w:sz w:val="14"/>
          <w:szCs w:val="14"/>
          <w:color w:val="auto"/>
        </w:rPr>
        <w:t>The Company determines the purchase offer by using a proprietary modeling system and loan information database which focuses on the anticipated recovery amount and the timing and cost of the resolution of the loans. The amount offered by the Company generally is at a discount from both the stated value of the loan and the value of the underlying collateral which the Company estimates is sufficient to generate an acceptable return on its investment.</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RESOLUTION OF DISCOUNT LOANS. After a discount loan is acquired, the Company utilizes its information technology software systems, including OTX's residential loan servicing system REAL-e(TM), to resolve the loan as expeditiously as possible in accordance with specified procedures. The various resolution alternatives generally include the following: (i) the borrower brings the loan current in accordance with original or modified terms; (ii) the borrower repays the loan or a negotiated amount of the loan; (iii) the borrower agrees to deed the property to the Company in lieu of foreclosure, in which case it is classified as real estate owned and held for sale by the Company; or (iv) the Company forecloses on the loan and the property is acquired at the foreclosure sale either by a third party or by the Company, in which case it is classified as real estate owned and held for sale by the Company. In addition, in the case of single family residential loans, assistance is provided to borrowers in the form of forbearance agreements under which the borrower either makes a monthly payment less than or equal to the original monthly payment or makes a monthly payment more than the contractual monthly payment to make up for arrearages.</w:t>
      </w:r>
    </w:p>
    <w:p>
      <w:pPr>
        <w:spacing w:after="0" w:line="34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appropriate cases, the Company works with borrowers to resolve the loan in advance of foreclosure. One method is through forbearance agreements, which generally allow the borrower to pay the contractual monthly payment plus a portion of the arrearage each month, and other means. Although this strategy may result in an initial reduction in the yield on a discounted loan, the Company believes that it is advantageous because it (i) generally results in a higher resolution value than foreclosure; (ii) reduces the amount of real estate owned acquired by foreclosure or by deed-in-lieu thereof and related risks, costs and expenses; (iii) enhances the ability of the Company to sell the loan in the secondary market, either on a whole loan basis or through securitizations (in which case the Company may continue to earn fee income from servicing such loans); and (iv) permits the borrower to retain ownership of the home and, thus, enhances relations between the Company and the borrower.</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general goal of the Company's asset resolution process is to maximize, in a timely manner, cash recovery on each loan in the discount loan portfolio. The Company generally anticipates a longer period (approximately 12 to 30 months) to resolve discount commercial real estate loans than to resolve discount single family residential loans because of their complexity and the wide variety of issues that may occur in connection with the resolution of such loans.</w:t>
      </w:r>
    </w:p>
    <w:p>
      <w:pPr>
        <w:spacing w:after="0" w:line="33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Credit Committee of the Board of Directors of the Bank actively monitors the asset resolution process to identify discount loans which have exceeded their expected foreclosure period and real estate owned which has been held longer than anticipated. Plans of action are developed for each of these assets to remedy the cause for delay and are reviewed by the Credit Committee.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SALE OF DISCOUNT LOANS. From time to time the Company has sold performing discount loans either on a whole loan basis or indirectly through the securitization of such loans and sale of the mortgage-related securities backed by them. During the third quarter of 1999, the Company made a strategic decision to structure future securitizations as financing transactions, which will preclude the use of gain-on-sale accounting. There were no securitizations of loans executed by the Company during 2000 or the second half of 1999.</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14 to 15 and "Note 32: Business Segment Reporting" on pages 113 to 115 of the Company's 2000 Annual Report to Shareholders (the "Annual Report to Shareholders") and is incorporated herein by reference.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LOANS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Commercial loan activities include both discount loans and originated loans. See "Single Family Residential Discount Loans" above for a discussion regarding discount loan acquisition, resolution and sale activities, including commercial. A discussion regarding commercial loans originated by the Company follows.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Company's investment in multi-family residential and commercial real estate loans have declined significantly during 1999 and 2000, reflecting the Company's decision to cease the origination of such loans. The Company's lending activities have historically included the acquisition of loans secured by commercial real estate, particularly loans secured by hotels and office buildings, which the Company began originating in late 1994 and late 1995, respectively. Commercial real estate loans have also been made to finance the purchase and refinance of commercial properties, the refurbishment of distressed properties and the construction of hotels. Additionally, the Company has originated loans for the construction of multi-family residences, as well as bridge loans to finance the acquisition and rehabilitation of distressed multi-family residential properties.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807" w:gutter="0" w:footer="0" w:header="0"/>
        </w:sectPr>
      </w:pPr>
    </w:p>
    <w:bookmarkStart w:id="7" w:name="page8"/>
    <w:bookmarkEnd w:id="7"/>
    <w:p>
      <w:pPr>
        <w:ind w:right="3379" w:firstLine="781"/>
        <w:spacing w:after="0" w:line="253" w:lineRule="auto"/>
        <w:rPr>
          <w:sz w:val="20"/>
          <w:szCs w:val="20"/>
          <w:color w:val="auto"/>
        </w:rPr>
      </w:pPr>
      <w:r>
        <w:rPr>
          <w:rFonts w:ascii="Courier New" w:cs="Courier New" w:eastAsia="Courier New" w:hAnsi="Courier New"/>
          <w:sz w:val="14"/>
          <w:szCs w:val="14"/>
          <w:color w:val="auto"/>
        </w:rPr>
        <w:t>Multi-family residential and commercial real estate loans are secured by a first priority lien on the real property, all improvements thereon and, in the case of hotel loans, all fixtures and equipment used in connection therewith, as well as a first priority assignment of all revenue and gross receipts generated in connection with the property. The liability of a borrower on multi-family residential and commercial real estate loans generally is limited to the borrower's interest in the property, except with respect to certain specified circumstances.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to stated interest, certain of the multi-family residential and commercial real estate loans originated by the Company include provisions pursuant to which the borrower agrees to pay the Company as additional interest on the loan an amount based on specified percentages of the net cash flow from the property during the term of the loan and/or the net proceeds from the sale or refinancing of the property upon maturity of the loan. Participating interests have also been obtained in the form of additional fees which must be paid by the borrower in connection with a prepayment of the loan, generally after an initial lock-out period during which prepayments are prohibited. The fees which could be payable by a borrower during specified periods of the loan consist of either fixed exit fees or yield maintenance payments, which are required to be paid over a specified number of years after the prepayment and are intended to increase the yield to the Company on the proceeds from the loan payoff to a level which is comparable to the yield on the prepaid loan.</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Construction loans generally have terms of three to four years and interest rates which float on a monthly basis in accordance with designated reference rates. Payments during the term of the loan may be made to the Company monthly on an interest-only basis. The loan amount may include an interest reserve which is maintained by the Company and utilized to pay interest on the loan during a portion of its term.</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Construction loans are secured by a first priority lien on the real property, all improvements thereon and all fixtures and equipment used in connection therewith, as well as a first priority assignment of all revenues and gross receipts generated in connection with the property. Construction loans are made without pre-leasing requirements or any requirement of a commitment by another lender to "take-out" the construction loan by making a permanent loan secured by the property upon completion of construction. Disbursements on a construction loan are subject to a retainage percentage of 10% and are made only after evidence that available funds have been utilized by the borrower, available funds are sufficient to pay for all construction costs through the date of the construction advance and funds remain in the construction budget and from sources other than the loan to complete construction of the project.</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Company generally has required the general contractor selected by the borrower, which along with the general construction contract is subject to the Company's review and approval, to provide payment and performance bonds issued by a surety approved by the Company in an amount at least equal to the costs which are estimated to be necessary to complete construction of the project in accordance with the construction contract. Moreover, the Company generally conducts site inspections of projects under construction at least bi-monthly and of completed projects at least semi-annually.</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14 to 15 and "Note 32: Business Segment Reporting" on pages 113 to 115 of the Company's 2000 Annual Report to Shareholders (the "Annual Report to Shareholders") and is incorporated herein by reference.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RESIDENTIAL MORTGAGE LOAN SERVICING</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In connection with the securitization and sale of loans, the Company generally retained the rights to service such loans for investors. More recently, the Company also purchased mortgage servicing rights, which are recorded at the amount paid.</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During 1996, the Company developed a program to provide loan servicing and various other asset management and resolution services to third party owners of nonperforming assets, underperforming assets and subprime assets such as Class B, C and D single family residential mortgage loans. Servicing contracts entered into by the Company provide for the payment to the Company of specified fees and in some cases may include terms which allow the Company to participate in the profits resulting from the successful resolution of the assets being serviced. Servicing fees, generally expressed as a percent of the unpaid principal balance, are collected from the borrowers' payments. During any period in which the borrower is not making payments, the Company is required under certain servicing agreements to advance its own funds to meet contractual principal and interest remittance requirements for certain investors, maintain property taxes and insurance, and process foreclosures. The Company generally recovers such advances from borrowers for reinstated and performing loans and from investors for foreclosed loans.</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Bank has been approved as a loan servicer by HUD, Federal Home Loan Mortgage Corporation ("FHLMC") and Federal National Mortgage Association ("FNMA"). The Bank is rated a Tier 1 servicer and as a preferred servicer for high-risk mortgages by FHLMC, the highest rating categories. The Bank is one of only six special servicers of commercial mortgage loans to have received a "Strong" rating from Standard &amp; Poor's. The Bank is recognized and/or designated by four rating agencies (Standard &amp; Poor's, Duff and Phelps, IBC Fitch</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473" w:gutter="0" w:footer="0" w:header="0"/>
        </w:sectPr>
      </w:pPr>
    </w:p>
    <w:bookmarkStart w:id="8" w:name="page9"/>
    <w:bookmarkEnd w:id="8"/>
    <w:p>
      <w:pPr>
        <w:ind w:right="4059"/>
        <w:spacing w:after="0" w:line="255" w:lineRule="auto"/>
        <w:rPr>
          <w:sz w:val="20"/>
          <w:szCs w:val="20"/>
          <w:color w:val="auto"/>
        </w:rPr>
      </w:pPr>
      <w:r>
        <w:rPr>
          <w:rFonts w:ascii="Courier New" w:cs="Courier New" w:eastAsia="Courier New" w:hAnsi="Courier New"/>
          <w:sz w:val="14"/>
          <w:szCs w:val="14"/>
          <w:color w:val="auto"/>
        </w:rPr>
        <w:t>Investors, and Moody's) as a "Special Servicer" for both commercial and residential mortgage loans and is the only special servicer with this designation for all mortgage categories.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developed the concept of residential special servicing in 1997 and, in 1998, began entering into special servicing arrangements wherein the Company acted as a special servicer for third parties, typically as part of a securitization. The Company services loans that become greater than 90 days past due and receives incentive fees to the extent certain loss mitigation parameters are achieved.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continues to grow and develop its servicing business as part of its change in strategic focus from capital intensive to fee-based businesses. As a result, the Company has seen steady growth in the average unpaid principal balance of loans serviced for others from $7,998,093 during 1998 to $10,798,857 during 2000. In 2001, the Company will be boarding approximately an additional $1,027,600 of loans under a servicing agreement that was concluded on December 31, 2000 and approximately an additional $3,184,200 of loans under a servicing agreement that was concluded on January 11, 2001.</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Company's loan servicing operations are conducted out of its 125,000 square foot national servicing center in Orlando, Florida. The service center has capacity to house 900 employees per shift handling customer contact on up to one million loans.</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In December 1999, OCN announced a joint venture with independent Italian loan servicer, FBS SpA, to service mortgage loans in Italy. The new joint venture gives OCN 50% ownership in a newly formed company, Ocwen FBS SpA.</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14 to 15 and "Note 32: Business Segment Reporting" on pages 113 to 115 of the Company's 2000 Annual Report to Shareholders (the "Annual Report to Shareholders") and is incorporated herein by reference.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LOW-INCOME HOUSING TAX CREDIT INTERESTS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invests in low-income housing tax credit interests primarily through limited partnerships for the purpose of obtaining Federal income tax credits pursuant to Section 42 of the Internal Revenue Code of 1986, as amended (the "Code"), which provides a tax credit to investors in qualified low-income rental housing that is constructed, rehabilitated or acquired after December 31, 1986. To be eligible for housing tax credits, a property generally must first be allocated an amount of tax credits by the tax credit allocating agency, which in most cases also serves as the housing finance agency, of the state in which the property is located. If the property is to be constructed or rehabilitated, it must be completed and placed in service within a specified time, generally within two years after the year in which the tax credit allocation is received. A specified portion of the apartment units in a qualifying project may be rented only to qualified tenants for a period of 15 years, or a portion of any previously claimed tax credits will be subject to recapture, as discussed below.</w:t>
      </w:r>
    </w:p>
    <w:p>
      <w:pPr>
        <w:spacing w:after="0" w:line="33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Company's investments in low-income housing tax credit interests are made by the Company indirectly through its subsidiaries, which may be a general partner and/or a limited partner in the partnership. Low-income housing tax credit partnerships in which the Company, through a subsidiary, acts as a general partner are presented on a consolidated basis.</w:t>
      </w:r>
    </w:p>
    <w:p>
      <w:pPr>
        <w:spacing w:after="0" w:line="16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affordable housing projects owned by the low-income housing tax credit partnerships in which the Company has invested are located throughout the United States.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ownership of low-income housing tax credit interests produces two types of tax benefits. The primary tax benefit flows from the low-income housing tax credits under the Code which are generated by the ownership and operation of the real property in the manner required to obtain such tax credits. These credits may be used to offset Federal income tax on a dollar for dollar basis but may not offset the alternative minimum tax; tax credits thus may reduce the overall Federal income tax to an effective rate of 20%. In addition, the operation of the rental properties produces losses for financial statement and tax purposes in the early years and sometimes throughout the anticipated ownership period. These tax losses may be used to offset taxable income from other operations and thereby reduce income tax which would otherwise be paid on such taxable income.</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Tax credits may be claimed over a ten-year period on a straight-line basis once the underlying multi-family residential properties are placed in service. Tax credits claimed reduce the tax payments computed based upon taxable income to not less than the alternative minimum tax computed for that year or any year not more than three years before or 15 years after the year the tax credit is earned. The Taxpayer Relief Act of 1997 changed the tax credit carryback period from 3 years to 1 year and the carry forward period from 15 years to 20 years for credits that become available for use in years beginning after December 31, 1997. Tax credits are realized even if units in the project do not continue to be occupied once the units in the project have been initially rented to qualifying tenants, and tax credits are not dependent on a project's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807" w:gutter="0" w:footer="0" w:header="0"/>
        </w:sectPr>
      </w:pPr>
    </w:p>
    <w:bookmarkStart w:id="9" w:name="page10"/>
    <w:bookmarkEnd w:id="9"/>
    <w:p>
      <w:pPr>
        <w:ind w:right="3279"/>
        <w:spacing w:after="0" w:line="253" w:lineRule="auto"/>
        <w:rPr>
          <w:sz w:val="20"/>
          <w:szCs w:val="20"/>
          <w:color w:val="auto"/>
        </w:rPr>
      </w:pPr>
      <w:r>
        <w:rPr>
          <w:rFonts w:ascii="Courier New" w:cs="Courier New" w:eastAsia="Courier New" w:hAnsi="Courier New"/>
          <w:sz w:val="14"/>
          <w:szCs w:val="14"/>
          <w:color w:val="auto"/>
        </w:rPr>
        <w:t>operating income or appreciation. Tax credits can be claimed over a ten-year period and generally can be lost or recaptured only if non-qualifying tenants are placed in units, ownership of the project is transferred or the project is destroyed and not rebuilt during a 15-year compliance period for the project. The Company has established specific investment criteria for investment in multi-family residential projects which have been allocated tax credits, which require, among other things, a third party developer of the project and/or the seller of the interest therein to provide a guarantee against loss or recapture of tax credits and to maintain appropriate insurance to fund rebuilding in case of destruction of the project. Notwithstanding the Company's efforts, there can be no assurance that the multi-family residential projects owned by the low-income housing tax credit partnerships in which it has invested will satisfy applicable criteria during the 15-year compliance period and that there will not be loss or recapture of the tax credits associated therewith.</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During 2000, the Company began reducing its investment in low-income housing tax credit interests both as part of its change in strategic focus away from capital intensive lines of business and because the volume of tax credits being generated was exceeding its ability to utilize them effectively. As a result, the Company has sold or has entered into agreements to sell the majority of the properties that represent its investment in such interests. The Company will continue to develop those projects that are currently under construction, which may also be sold in the future.</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14 to 15 and "Note 32: Business Segment Reporting" on pages 113 to 115 of the Company's 2000 Annual Report to Shareholders (the "Annual Report to Shareholders") and is incorporated herein by reference.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OTX</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OTX, which was formed in 1998, designs software solutions for mortgage and real estate transactions, provides business-to-business e-commerce solutions via the Internet for the mortgage and real estate industries, and also provides implementation, integration and consulting services related to its software and internet products. OTX's principal products are REALTrans(SM), REAL-e(SM) and REALSynergy(TM).</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Company's acquisition of DTS and its product in 1998 served as the basis for the REALTrans system, an internet-based mortgage loan processing application and vendor management system that facilitates the electronic ordering, tracking and fulfillment of mortgage and real estate products and services. It automates the mortgage process, eliminating duplicate manual data entry, reducing errors and speeding delivery time. It also provides a task-based workflow management system, allowing users to track the progress of all tasks and vendor requests required to fulfill an order from any location, at any time. REALTrans also provides for bulk order management that allows customers to order real estate documents and services for an entire portfolio of loans.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Company's acquisition of AMOS, Inc. and its products in 1997 became the basis for the REAL-e software, a Microsoft(R) Windows(R)-based, residential loan-servicing platform that manages the entire servicing life cycle of single family loans. The REAL-e software was developed through years of experience in the loan servicing industry. It provides powerful workflow management capability, leading to increased effectiveness and lower operational costs, and it integrates with the Internet, call center telephony and data warehouse technology. It can be implemented in its entirety or as a series of modules, including Loan Servicing, Collections, Loss Mitigation, Default Loan Management, REO Management, Construction Loan Servicing and Single Family Bond Series Tracking. The table-driven architecture of REAL-e permits workflow customization by users without requiring support from their information technology staffs. REAL-e was fully implemented by the Bank on January 1, 2001. The Bank has used REAL-e since that time as the platform for managing both its own portfolio of single family residential mortgage loans and the loans that it services for third parties.</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acquisition of Synergy's product in 1999 was the basis for the REALSynergy software, an advanced, Windows-based full-service commercial and multi-family loan servicing software. It handles virtually any loan structure, including complex remittance requirements, monitors multiple properties for each loan, tracks building and site information reports, details extensive appraisal summaries, and includes dynamic, easy-to-use contact management, call tracking and task management capabilities. REALSynergy and its MS-DOS(R)-based predecessor, AMICUS, represent one of the most widely used commercial and multi-family loan servicing systems in the country.</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The losses incurred by OTX to date reflect OCN's continuing efforts to develop and market OTX and its suite of technology products.</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14 to 15 and "Note 32: Business Segment Reporting" on pages 113 to 115 of the Company's 2000 Annual Report to Shareholders (the "Annual Report to Shareholders") and is incorporated herein by reference.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141"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COMMERCIAL REAL ESTATE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entered the commercial real estate business largely as a result of its acquisition of OAC in 1999. OAC had followed a strategy that sought to capitalize on inefficiencies in the real estate markets by investing in distressed commercial and multi-family real properties, including properties acquired by a mortgage lender at foreclosure (or through deed in lieu of foreclosure), as well as in properties that were environmentally distressed or located outside the United States. Most of the properties purchased as part of this strategy were in markets, such as San Francisco, that were characterized by limited new supply and barriers to entry as a result of government regulation of development and lack of developable land.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properties acquired were substantially renovated, including tenant improvements and improvements to lobbies and other public areas. The Company also upgraded mechanical, HVAC, electrical, fire and life/safety systems and made other improvements necessary to comply with the Americans with Disabilities Act of 1990. As a result of these improvements, the Company has been able to increase occupancy rates greatly while at the same time significantly increasing average rents.</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enhanced cash flow and improved physical condition of the properties has increased market values and marketability for most properties. As a result, the Company has been able to successfully market and sell several of the properties at gains. As of December 31, 2000, the Company was actively marketing two of its four remaining properties, one of which was sold in January 2001.</w:t>
      </w:r>
    </w:p>
    <w:p>
      <w:pPr>
        <w:spacing w:after="0" w:line="329"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14 to 15 and "Note 32: Business Segment Reporting" on pages 113 to 115 of the Company's 2000 Annual Report to Shareholders (the "Annual Report to Shareholders") and is incorporated herein by reference.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UK OPERATIONS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completed its exit from the UK subprime loan origination business in 2000 with the sale of Kensington on November 22, 2000 for a pretax gain of $20,025. The Company had entered the UK subprime residential mortgage market in 1998 through the acquisition of 36.07% of the total outstanding common stock of Kensington on February 25, 1998 for $45,858. The Company's investment was accounted for under the equity method. Kensington is an originator of subprime residential mortgages in the UK. The Company's investment at December 31, 1999 represented 35.84% of Kensington's total outstanding common stock.</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On September 30, 1999, the Company sold all the shares of Ocwen UK and recorded a pretax gain on sale of $50,371. On April 24, 1998, the Company, through its then wholly-owned subsidiary Ocwen UK, had acquired substantially all of the assets, and certain liabilities, of Cityscape UK. The Company acquired Cityscape UK's mortgage loan portfolio and its residential subprime mortgage loan origination and servicing businesses for the pound sterling equivalent of $421,326 and assumed $12,393 of Cityscape UK's liabilities. The acquisition was accounted for as a purchase.</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14 to 15 and "Note 32: Business Segment Reporting" on pages 113 to 115 of the Company's 2000 Annual Report to Shareholders (the "Annual Report to Shareholders") and is incorporated herein by reference.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SUBPRIME SINGLE FAMILY RESIDENTIAL LENDING</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August 1999, the Company closed its domestic subprime residential loan origination offices and reassigned or terminated employees who were involved in loan origination and related management and support functions. Since late 1994, the Company's lending activities had included the origination and purchase of domestic single family residential loans to borrowers who because of prior credit problems, the absence of a credit history or other factors are unable or unwilling to qualify as borrowers for a single family residential loan under guidelines of the FNMA and the FHLMC ("conforming loans") and who have substantial equity in the properties which secure the loans.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Through 1996, the Company had acquired subprime single family residential loans primarily through a correspondent relationship with Admiral Home Loan ("Admiral") and, to a lesser extent, correspondent relationships with three other financial services companies. Correspondent institutions originated loans based on guidelines provided by the Company and promptly sold the loans to the Company on a servicing-released basis.</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Company, through Ocwen Financial Services, Inc. ("OFS"), acquired substantially all of the assets of Admiral in a transaction which closed on May 1, 1997. In connection with the Company's acquisition of assets from Admiral, the Bank transferred its retail and wholesale subprime single family residential lending operations to OFS.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1" w:name="page12"/>
    <w:bookmarkEnd w:id="11"/>
    <w:p>
      <w:pPr>
        <w:ind w:right="3539" w:firstLine="781"/>
        <w:spacing w:after="0" w:line="254" w:lineRule="auto"/>
        <w:rPr>
          <w:sz w:val="20"/>
          <w:szCs w:val="20"/>
          <w:color w:val="auto"/>
        </w:rPr>
      </w:pPr>
      <w:r>
        <w:rPr>
          <w:rFonts w:ascii="Courier New" w:cs="Courier New" w:eastAsia="Courier New" w:hAnsi="Courier New"/>
          <w:sz w:val="14"/>
          <w:szCs w:val="14"/>
          <w:color w:val="auto"/>
        </w:rPr>
        <w:t>The terms of the loan products offered by the Company directly or through its correspondents emphasized real estate loans which generally were underwritten with significant reliance on a borrower's level of equity in the property securing the loan.</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14 to 15 and "Note 32: Business Segment Reporting" on pages 113 to 115 of the Company's 2000 Annual Report to Shareholders (the "Annual Report to Shareholders") and is incorporated herein by reference.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UNSECURED COLLECTIONS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1998, the Company began acquiring charged-off unsecured credit card receivables at a discount. Collections of unsecured credit card receivables are accounted for under the cost recovery method, whereby revenue is recognized only to the extent that collections have exceeded original cost. The Company's contractual obligations to acquire these receivables expired June 2000. No purchases were made in the third and fourth quarters of 2000 and no future purchases are contemplated at this time. This business segment also provides collection services for third party mortgage investors as well as for the Company's own portfolio of loans.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14 to 15 and "Note 32: Business Segment Reporting" on pages 113 to 115 of the Company's 2000 Annual Report to Shareholders (the "Annual Report to Shareholders") and is incorporated herein by reference.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REALTY ADVISORS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As part of its strategic focus on fee-based businesses, the Company established Ocwen Realty Advisors ("ORA") in 1999 as a new division within the Company. ORA provides valuation services to external customers in the wholesale lending community as well as due diligence and research analysis for the Company's own commercial and residential real estate transactions.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An important part of the process of acquiring and managing mortgage loans portfolios is the accurate review and analysis of the collateral offered as security for the loans. ORA not only provides traditional valuation products such as appraisals and broker price opinions, it also employs proprietary Internet-based valuation models and other alternative valuation products that can more precisely meet the specific risk management needs of its customers.</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ORA also monitors the state of the economy in 60 of the largest U.S real estate markets. The resulting data allows ORA to assist customers in making loan decisions in riskier markets and in timing loan and asset dispositions. ORA can customize reports down to the specific property level to fit the needs of a customer.</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14 to 15 and "Note 32: Business Segment Reporting" on pages 113 to 115 of the Company's 2000 Annual Report to Shareholders (the "Annual Report to Shareholders") and is incorporated herein by reference.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ITEMS AND OTHER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Corporate items and other consists primarily of extraordinary gains on repurchases of debt, individually insignificant business activities, amounts not allocated to the operating segments, distributions on the Company's 10-7/8% Capital Trust Securities, transfer pricing mismatches and other general corporate expenses.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Corporate items and other also includes the results of the securities portfolio, whether available for sale, trading or held for investment, other than subprime residuals and subordinate interests (which have been included in the related business activity). The investment policy of the Company, which is established by the Investment Committee and approved by the Board of Directors, is designed primarily to provide a portfolio of diversified instruments while seeking to optimize net interest income within acceptable limits of interest rate risk, credit risk and liquidity.</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On July 27, 1998, the Company sold its entire portfolio of AAA-rated agency interest-only securities ("IOs") at book value. As a result of an increase in prepayment speeds due to declining interest rates, the Company recorded significant impairment charges on the IOs in 1998 prior to the sale resulting from the Company's decision to discontinue this investment activity and write down the book value. The AAA-rated agency IOs consisted of IOs, which</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2" w:name="page13"/>
    <w:bookmarkEnd w:id="12"/>
    <w:p>
      <w:pPr>
        <w:ind w:right="3379"/>
        <w:spacing w:after="0" w:line="254" w:lineRule="auto"/>
        <w:rPr>
          <w:sz w:val="20"/>
          <w:szCs w:val="20"/>
          <w:color w:val="auto"/>
        </w:rPr>
      </w:pPr>
      <w:r>
        <w:rPr>
          <w:rFonts w:ascii="Courier New" w:cs="Courier New" w:eastAsia="Courier New" w:hAnsi="Courier New"/>
          <w:sz w:val="14"/>
          <w:szCs w:val="14"/>
          <w:color w:val="auto"/>
        </w:rPr>
        <w:t>are classes of mortgage-related securities that are entitled to payments of interest but no (or only nominal) principal, and inverse IOs, which bear interest at a floating rate that varies inversely with (and often at a multiple of) changes in a specified index.</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14 to 15 and "Note 32: Business Segment Reporting" on pages 113 to 115 of the Company's 2000 Annual Report to Shareholders (the "Annual Report to Shareholders") and is incorporated herein by reference.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SOURCES OF FUNDS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GENERAL. Deposits, FHLB advances, reverse repurchase agreements, lines of credit, and maturities and payments of principal and interest on loans and securities, proceeds from the sales thereof and servicing fees currently are the principal sources of funds for use in the Company's investment and lending activities and for other general business purposes. Management of the Company closely monitors rates and terms of competing sources of funds on a regular basis and generally utilizes the sources which are the most cost effective.</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DEPOSITS. A significant source of deposits for the Company is brokered certificates of deposit obtained primarily through national investment banking firms which, pursuant to agreements with the Company, solicit funds from their customers for deposit with the Company ("brokered deposits"). In addition, during 1995, the Company commenced a program to obtain certificates of deposit from customers of regional and local investment banking firms which are made aware of the Company's products by the Company's direct solicitation and marketing efforts. The Company also solicits certificates of deposit from institutional investors and high net worth individuals identified by the Company. The Company's brokered deposits are reported net of unamortized deferred fees, which have been paid to investment banking firms.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believes that the effective cost of brokered and other wholesale deposits is more attractive to the Company than deposits obtained on a retail basis from branch offices after the general and administrative expense associated with the maintenance of branch offices is taken into account. Moreover, brokered and other wholesale deposits generally give the Company more flexibility than retail sources of funds in structuring the maturities of its deposits and in matching liabilities with comparably maturing assets.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Although management of the Company believes that brokered and other wholesale deposits are advantageous in certain respects, such funding sources, when compared to retail deposits attracted through a branch network, are generally more sensitive to changes in interest rates and volatility in the capital markets and are more likely to be compared by the investor to competing investments. In addition, such funding sources may be more sensitive to significant changes in the financial condition of the Company. There are also various regulatory limitations on the ability of all but well-capitalized insured financial institutions to obtain brokered deposits. See "Regulation - The Bank - Brokered Deposits." These limitations currently are not applicable to the Company because the Bank is a well-capitalized financial institution under applicable laws and regulations. See "Regulation - The Bank -Regulatory Capital Requirements." There can be no assurances, however, that the Company will not become subject to such limitations in the future.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a result of the Company's reliance on brokered and other wholesale deposits, significant changes in the prevailing interest rate environment, in the availability of alternative investments for individual and institutional investors or in the Company's financial condition, among other factors, could affect the Company's liquidity and results of operations much more significantly than might be the case with an institution that obtained a greater portion of its funds from retail or core deposits attracted through a branch network.</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addition to brokered and other wholesale deposits, the Company obtains deposits from its office located in New Jersey. These deposits include non-interest bearing checking accounts, NOW and money market checking accounts, savings accounts and certificates of deposit and are obtained through advertising, walk-ins and other traditional means. At December 31, 2000, the deposits which were allocated to this office comprised approximately 11% of the Company's total deposits.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BORROWINGS. Through the Bank, the Company can obtain advances from the FHLB of New York upon the security of certain of its residential first mortgage loans, mortgage-backed and mortgage-related securities and other assets, including FHLB stock, provided certain standards related to the creditworthiness of the Bank have been met. FHLB advances are available to member financial institutions, such as the Bank, for investment and lending activities and other general business purposes. FHLB advances are made pursuant to several different credit programs, each of which has its own interest rate, which may be fixed or adjustable, and range of maturities.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also obtains funds pursuant to securities sold under reverse repurchase agreements. Under these agreements, the Company sells securities (generally mortgage-backed and mortgage-related securities) under an agreement to repurchase such securities at a specified price at a later date. Reverse repurchase agreements have short-term maturities (typically 90 days or less) and are deemed to be financing transactions. All securities underlying reverse repurchase agreements are reflected as assets in the Company's consolidated financial statements and are held in safekeeping by broker-dealers.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306" w:gutter="0" w:footer="0" w:header="0"/>
        </w:sectPr>
      </w:pPr>
    </w:p>
    <w:bookmarkStart w:id="13" w:name="page14"/>
    <w:bookmarkEnd w:id="13"/>
    <w:p>
      <w:pPr>
        <w:ind w:right="4159" w:firstLine="781"/>
        <w:spacing w:after="0" w:line="255" w:lineRule="auto"/>
        <w:rPr>
          <w:sz w:val="20"/>
          <w:szCs w:val="20"/>
          <w:color w:val="auto"/>
        </w:rPr>
      </w:pPr>
      <w:r>
        <w:rPr>
          <w:rFonts w:ascii="Courier New" w:cs="Courier New" w:eastAsia="Courier New" w:hAnsi="Courier New"/>
          <w:sz w:val="14"/>
          <w:szCs w:val="14"/>
          <w:color w:val="auto"/>
        </w:rPr>
        <w:t>The Company's borrowings also include lines of credit, notes, subordinated debentures, bonds-match funded agreements and other interest-bearing obligations.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OTHER. Additional information on the Company's sources of funds appears under the captions "Liquidity, Commitments and Off-Balance Sheet Risks" on pages 58 to 59, "Deposits" on pages 51 to 52, "Note 18: Deposits" on pages 95 to 96, "Note 19: Bonds - Match Funded Agreements" on page 96, "Note 20: Lines of Credit and Other Short-Term Borrowings" on pages 96 to 97 and "Note 21: Notes, Debentures and Other Interest-Bearing Obligations" on pages 97 to 98 of the 2000 Annual Report to Shareholders and is incorporated herein by reference.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Information related to risk factors which could directly or indirectly, affect the Company's results of operations and financial condition set forth in Exhibit 99.1 and are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The information under the caption "Competition" set forth in Exhibit 99.1 is incorporated herein by reference.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A list of the Company's significant subsidiaries is set forth in Exhibit 21.0 and is incorporated herein by reference.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At December 31, 2000 the Company had 1,217 full time employees. The employees are not represented by a collective bargaining agreement. Management considers the Company's employee relations to be satisfactory.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Financial institutions and their holding companies are extensively regulated under federal and state laws. As a result, the business, financial condition and prospects of the Company can be materially affected not only by management decisions and general economic conditions, but also by applicable statutes and regulations and other regulatory pronouncements and policies promulgated by regulatory agencies with jurisdiction over the Company and the Bank, such as the OTS and the FDIC, which insures up to legal limits deposits placed at the bank. The effect of such statutes, regulations and other pronouncements and policies can be significant, cannot be predicted with a high degree of certainty and can change over time. Moreover, such statutes, regulations and other pronouncements and policies are intended to protect depositors and the insurance funds administered by the FDIC and not stockholders or holders of indebtedness which are not insured by the FDIC.</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enforcement powers available to Federal banking regulators are substantial and include, among other things, the ability to assess civil monetary penalties, to issue cease-and-desist or removal orders and to initiate injunctive actions against banking organizations and institution-affiliated parties, as defined. In general, these enforcement actions must be initiated for violations of laws and regulations and unsafe or unsound practices. Other actions or inactions may provide the basis for enforcement action, including misleading or untimely reports filed with regulatory authorities.</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following discussion and other references to and descriptions of the regulation of financial institutions contained herein constitute brief summaries thereof as currently in effect. This discussion is not intended to constitute, and does not purport to be, a complete statement of all legal restrictions and requirements applicable to the Company and the Bank and all such descriptions are qualified in their entirety by reference to applicable statutes, regulations and other regulatory pronouncements.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GENERAL. The Company is a registered savings and loan holding company under the Home Owner's Loan Act (the "HOLA"). As such, the Company is subject to regulation, supervision and examination by the OTS.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4" w:name="page15"/>
    <w:bookmarkEnd w:id="14"/>
    <w:p>
      <w:pPr>
        <w:ind w:right="3279" w:firstLine="781"/>
        <w:spacing w:after="0" w:line="252" w:lineRule="auto"/>
        <w:rPr>
          <w:sz w:val="20"/>
          <w:szCs w:val="20"/>
          <w:color w:val="auto"/>
        </w:rPr>
      </w:pPr>
      <w:r>
        <w:rPr>
          <w:rFonts w:ascii="Courier New" w:cs="Courier New" w:eastAsia="Courier New" w:hAnsi="Courier New"/>
          <w:sz w:val="14"/>
          <w:szCs w:val="14"/>
          <w:color w:val="auto"/>
        </w:rPr>
        <w:t>ACTIVITIES RESTRICTION. There are generally no restrictions on the activities of a savings and loan holding company, such as the Company, that held only one savings institution subsidiary as of May 4, 1999. However, if the Director of the OTS determines that there is reasonable cause to believe that the continuation by a savings and loan holding company of an activity constitutes a serious risk to the financial safety, soundness or stability of its subsidiary savings institution, the Director may impose such restrictions as are deemed necessary to address such risk, including limiting: (i) payment of dividends by the savings institution; (ii) transactions between the savings institution and its affiliates; and (iii) any activities of the savings institution that might create a serious risk that the liabilities of the holding company and its affiliates may be imposed on the savings institution. Notwithstanding the above rules as to permissible business activities of unitary savings and loan holding companies, if the savings institution subsidiary of such a holding company fails to meet the qualified thrift lender ("QTL") test set forth in OTS regulations, then such unitary holding company shall</w:t>
      </w:r>
    </w:p>
    <w:p>
      <w:pPr>
        <w:spacing w:after="0" w:line="6"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after one year be subject to the restrictions applicable to a bank holding company. See "The Bank-Qualified Thrift Lender Test."</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If the Company were to acquire control of another savings institution other than through merger or other business combination with the Bank, the Company would thereupon become a multiple savings and loan holding company. Except where such acquisition is pursuant to the authority to approve emergency thrift acquisition and where each subsidiary savings institution meets the QTL test, as set forth below, the activities of the Company and any of its subsidiaries (other than the Bank or other subsidiary savings institutions) would thereafter be subject to further restrictions. Among other things, no multiple savings and loan holding company or subsidiary thereof which is not a savings institution generally shall commence or continue for a limited period of time after becoming a multiple savings and loan holding company or subsidiary thereof any business activity, other than: (i) furnishing or performing management services for a subsidiary savings institution; (ii) conducting an insurance agency or escrow business; (iii) holding, managing, or liquidating assets owned by or acquired from a subsidiary savings institution; (iv) holding or managing properties used or occupied by a subsidiary savings institution; (v) acting as trustee under deeds of trust; (vi) those activities authorized by regulation as of March 5, 1987 to be engaged in by multiple savings and loan holding companies; or (vii) unless the Director of the OTS by regulation prohibits or limits such activities for savings and loan holding companies, those activities authorized by the Federal Reserve Board as permissible for bank holding companies. Those activities described in clause (vii) above also must be approved by the Director of the OTS prior to being engaged in by a multiple savings and loan holding company.</w:t>
      </w:r>
    </w:p>
    <w:p>
      <w:pPr>
        <w:spacing w:after="0" w:line="34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RESTRICTIONS ON ACQUISITIONS. Except under limited circumstances, savings and loan holding companies are prohibited from acquiring, without prior approval of the Director of the OTS: (i) control of any other savings institution or savings and loan holding company or substantially all of the assets thereof; or (ii) more than 5% of the voting shares of a savings institution or holding company thereof which is not a subsidiary. Except with the prior approval of the Director of the OTS, no director or officer of a savings and loan holding company, or person owning or controlling by proxy or otherwise more than 25% of such company's stock, may acquire control of any savings institution, other than a subsidiary savings institution, or of any other savings and loan holding company.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Director of the OTS may approve acquisitions resulting in the formation of a multiple savings and loan holding company which controls savings institutions in more than one state only if: (i) the multiple savings and loan holding company involved controls a savings institution which operated a home or branch office located in the state of the institution to be acquired as of March 5, 1987; (ii) the acquiror is authorized to acquire control of the savings institution pursuant to the emergency acquisition provisions of the Federal Deposit Insurance Act ("FDIA"); or (iii) the statutes of the state in which the institution to be acquired is located specifically permit institutions to be acquired by state-chartered savings institutions located in the state where the acquiring entity is located (or by a holding company that controls such state-chartered savings institutions).</w:t>
      </w:r>
    </w:p>
    <w:p>
      <w:pPr>
        <w:spacing w:after="0" w:line="164"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RESTRICTIONS ON TRANSACTIONS WITH AFFILIATES. Transactions between the Company or any of its non-bank subsidiaries and the Bank are subject to various restrictions, which are described below under "The Bank-Affiliate Transactions."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GENERAL. The Bank is a federally-chartered savings bank organized under the HOLA. As such, the Bank is subject to regulation, supervision and examination by the OTS. The deposit accounts of the Bank are insured up to applicable limits by the SAIF administered by the FDIC and, as a result, the Bank also is subject to regulation, supervision and examination by the FDIC.</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business and affairs of the Bank are regulated in a variety of ways. Regulations apply to, among other things, insurance of deposit accounts, capital ratios, payment of dividends, liquidity requirements, the nature and amount of the investments that the Bank may make, transactions with affiliates, community and consumer lending laws, internal policies and controls, reporting by and examination of the Bank and changes in control of the Bank, as well as subsidiaries established by the Bank.</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640" w:gutter="0" w:footer="0" w:header="0"/>
        </w:sectPr>
      </w:pPr>
    </w:p>
    <w:bookmarkStart w:id="15" w:name="page16"/>
    <w:bookmarkEnd w:id="15"/>
    <w:p>
      <w:pPr>
        <w:spacing w:after="0" w:line="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INSURANCE OF ACCOUNTS. Pursuant to legislation enacted in September 1996, a fee was required to be paid by all SAIF-insured institutions at the rate of $0.657 per $100 of deposits held by such institutions at March 31, 1995. The money collected recapitalized the SAIF reserve to the level of 1.25% of insured deposits as required by law for this assessment. The recapitalization of the SAIF has resulted in lower deposit insurance premiums for most SAIF-insured financial institutions, including the Bank.</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Insured institutions also are required to share in the payment of interest on the bonds issued by a specially created government entity, the Finance Corporation ("FICO"), the proceeds of which were applied toward resolution of the thrift industry crisis in the 1980s. Beginning on January 1, 1997, in addition to the insurance premiums paid by SAIF-insured institutions to maintain the SAIF reserve at its required level pursuant to the current risk classification system, SAIF-insured institutions pay deposit insurance premiums towards the payment of interest on the FICO bonds. The FICO assessment rate is adjusted quarterly.</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current risk classification system, institutions are assigned to one of three capital groups which are based solely on the level of an institution's capital - "well capitalized," "adequately capitalized" and "undercapitalized" - which are defined in the same manner as the regulations establishing the prompt corrective action system under Section 38 of the FDIA, as discussed below. These three groups are then divided into three subgroups, which are based on supervisory evaluations by the institution's primary federal regulator, resulting in nine assessment classifications. Assessment rates currently range from 0 basis points for well capitalized, healthy institutions to 27 basis points for undercapitalized institutions with substantial supervisory concerns.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FDIC may terminate the deposit insurance of any insured depository institution, including the Bank, if it determines after a hearing that the institution has engaged or is engaging in unsafe or unsound practices, is in an unsafe or unsound condition to continue operations, or has violated any applicable law, regulation, order or any condition imposed by an agreement with the FDIC. It also may suspend deposit insurance temporarily during the hearing process for the permanent termination of insurance, if the institution has no tangible capital. If insurance of accounts is terminated, the accounts at the institution at the time of the termination, less subsequent withdrawals, shall continue to be insured for a period of six months to two years, as determined by the FDIC. Management is aware of no existing circumstances which would result in termination of the Bank's deposit insurance.</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REGULATORY CAPITAL REQUIREMENTS. Federally-insured savings associations are subject to three capital requirements of general applicability: a tangible capital requirement, a core or leverage capital requirement and a risk-based capital requirement. All savings associations currently are required to maintain tangible capital of at least 1.5% of adjusted total assets (as defined in the regulations), core capital equal to 3% of adjusted total assets and total capital (a combination of core and supplementary capital) equal to 8% of risk-weighted assets (as defined in the regulations). For purposes of the regulation, tangible capital is core capital less all intangibles other than qualifying purchased mortgage servicing rights. Core capital includes common stockholders' equity, non-cumulative perpetual preferred stock and related surplus, minority interests in the equity accounts of fully consolidated subsidiaries and certain nonwithdrawable accounts and pledged deposits. Core capital generally is reduced by the amount of a savings association's intangible assets, other than qualifying mortgage servicing rights.</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savings association is allowed to include both core capital and supplementary capital in the calculation of its total capital for purposes of the risk-based capital requirements, provided that the amount of supplementary capital included does not exceed the savings association's core capital. Supplementary capital consists of certain capital instruments that do not qualify as core capital, including subordinated debt (such as the Bank's Debentures) which meets specified requirements, and general valuation loan and lease loss allowances up to a maximum of 1.25% of risk-weighted assets. In determining the required amount of risk-based capital, total assets, including certain off-balance sheet items, are multiplied by a risk weight based on the risks inherent in the type of assets. The risk weights assigned by the OTS for principal categories of assets currently range from 0% to 100%, depending on the type of asset.</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OTS policy imposes a limitation on the amount of net deferred tax assets that may be included in regulatory capital. (Net deferred tax assets represent deferred tax assets, reduced by any valuation allowances, in excess of deferred tax liabilities.) Application of the limit depends on the possible sources of taxable income available to an institution to realize deferred tax assets. Deferred tax assets that can be realized from the following generally are not limited: taxes paid in prior carryback years and future reversals of existing taxable temporary differences. To the extent that the realization of deferred tax assets depends on an institution's future taxable income (exclusive of reversing temporary differences and carryforwards), or its tax-planning strategies, such deferred tax assets are limited for regulatory capital purposes to the lesser of the amount that can be realized within one year of the quarter-end report date or 10% of core capital.</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OTS has adopted an interest-rate risk component into the risk-based capital regulation. Under the rule, an institution with a greater than "normal" level of interest rate risk will be subject to a deduction of its interest rate risk component from total capital for purposes of determining whether it has met the risk-based capital requirement. As a result, such an institution will be required to maintain additional capital in order to comply with the risk-based capital requirement. Although the final rule was originally scheduled to be effective as of January 1994, the OTS has indicated that it will delay invoking its interest rate risk rule until appeal procedures are implemented and</w:t>
      </w:r>
    </w:p>
    <w:p>
      <w:pPr>
        <w:sectPr>
          <w:pgSz w:w="11900" w:h="16846" w:orient="portrait"/>
          <w:cols w:equalWidth="0" w:num="1">
            <w:col w:w="10239"/>
          </w:cols>
          <w:pgMar w:left="220" w:top="620" w:right="1440" w:bottom="0" w:gutter="0" w:footer="0" w:header="0"/>
        </w:sectPr>
      </w:pPr>
    </w:p>
    <w:bookmarkStart w:id="16" w:name="page17"/>
    <w:bookmarkEnd w:id="16"/>
    <w:p>
      <w:pPr>
        <w:ind w:right="3539"/>
        <w:spacing w:after="0" w:line="254" w:lineRule="auto"/>
        <w:rPr>
          <w:sz w:val="20"/>
          <w:szCs w:val="20"/>
          <w:color w:val="auto"/>
        </w:rPr>
      </w:pPr>
      <w:r>
        <w:rPr>
          <w:rFonts w:ascii="Courier New" w:cs="Courier New" w:eastAsia="Courier New" w:hAnsi="Courier New"/>
          <w:sz w:val="14"/>
          <w:szCs w:val="14"/>
          <w:color w:val="auto"/>
        </w:rPr>
        <w:t>evaluated. The OTS has not yet established an effective date for the capital deduction. Management of the Company does not believe that the adoption of an interest rate risk component to the risk-based capital requirement will adversely affect the Bank if it becomes effective in its current form.</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OTS minimum core capital ratio provides that only those institutions with Uniform Financial Institution Rating System ("UFIRS") rating of "1" are subject to a 3% minimum core capital ratio. All other institutions are subject to a 4% minimum core capital ratio.</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141" w:right="1440" w:bottom="1440" w:gutter="0" w:footer="0" w:header="0"/>
        </w:sectPr>
      </w:pPr>
    </w:p>
    <w:bookmarkStart w:id="17" w:name="page18"/>
    <w:bookmarkEnd w:id="17"/>
    <w:p>
      <w:pPr>
        <w:spacing w:after="0" w:line="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OTS and other banking regulators proposed revisions to their capital rules concerning the treatment of residual interests in asset securitizations and other transfers of financial assets. Generally, the proposed rule would require that risk-based capital be held in an amount equal to the amount of residual interests retained on an institution's balance sheet and would limit the amount of residual interests that may be included in Tier 1 capital.</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January 2001, the four federal banking agencies jointly issued expanded examination and supervision guidance relating to subprime lending activities. In the guidance, "subprime" lending generally refers to programs that target borrowers with weakened credit histories or lower repayment capacity. The guidance principally applies to institutions with subprime lending programs with an aggregate credit exposure equal to or greater than 25 percent of an institution's Tier 1 capital. Such institutions would be subject to more stringent risk management standards and, in many cases, additional capital requirements. As a starting point, the guidance generally expects that such an institution would hold capital against subprime portfolios in an amount that is one and one half to three times greater than the amount appropriate for similar types of non-subprime assets. The guidance is primarily directed at insured depository institutions. Management is currently analyzing the impact of the guidance on the conduct of its business.</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CLASSIFIED ASSETS. OTS regulations require that each insured savings association classify its assets on a regular basis. In addition, in connection with examinations of insured associations, OTS examiners have authority to identify problem assets and, if appropriate, require them to be classified. There are three classifications for problem assets: "substandard," "doubtful" and "loss." Substandard assets have one or more defined weaknesses and are characterized by the distinct possibility that the insured institution will sustain some loss if the deficiencies are not corrected. Doubtful assets have the weaknesses of substandard assets with the additional characteristic that the weaknesses make collection or liquidation in full on the basis of currently existing facts, conditions and values questionable, and there is a high possibility of loss. An asset classified as a loss is considered uncollectible and of such little value that continuance as an asset of the institution is not warranted. Another category designated "special mention" also must be established and maintained for assets which do not currently expose an insured institution to a sufficient degree of risk to warrant classification as substandard, doubtful or loss but do possess credit deficiencies or potential weaknesses deserving management's close attention. Assets classified as substandard or doubtful require the institution to establish general allowances for loan losses. If an asset or portion thereof is classified as a loss, the insured institution must either establish specific allowances for loan losses in the amount of 100% of the portion of the asset classified as a loss or charge off such amount. In this regard, the Company establishes required reserves and charges off loss assets as soon as administratively practicable. General loss allowances established to cover possible losses related to assets classified substandard or doubtful may be included in determining an institution's regulatory capital, while specific valuation allowances for loan losses do not qualify as regulatory capital.</w:t>
      </w:r>
    </w:p>
    <w:p>
      <w:pPr>
        <w:spacing w:after="0" w:line="34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1996, based upon discussions with the OTS and as a result of an OTS bulletin issued on December 13, 1996 entitled "Guidance on the Classification and Regulatory Reporting of Certain Delinquent Loans and Other Credit Impaired Assets," the Company has classified all discount loans that are 90 or more days contractually past due, not otherwise classified, as special mention and all real estate owned, not otherwise classified, as special mention. The Company also modified its policy for classifying nonperforming discount loans and real estate owned related to its discount loan portfolio ("nonperforming discount assets") to take into account both the holding period of such assets from the date of acquisition and the ratio of book value to market value of such assets. All nonperforming discount assets which are held 15 months or more after the date of acquisition are classified substandard; nonperforming discount assets held 12 months to less than 15 months from the date of acquisition are classified as substandard if a ratio of book value to market value is 80% or more; and nonperforming discount assets held less than 12 months from the date of acquisition are classified as substandard if they have a ratio of book value to market value of more than 85%. In addition, nonperforming discount assets which are performing for a period of time subsequent to acquisition by the Company are classified as substandard at the time such loans become nonperforming. The Company also modified its classified assets policy to classify all real estate owned which is not generating a cash flow and which has been held for more than 15 months and three years as substandard and doubtful, respectively. The Company's past experience indicates that classified discount assets do not necessarily correlate to probability or severity of loss.</w:t>
      </w:r>
    </w:p>
    <w:p>
      <w:pPr>
        <w:spacing w:after="0" w:line="176"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Excluding assets which have been classified loss and fully reserved by the Bank, the Bank's classified assets at December 31, 2000 under the above policy consisted of $280,249 of assets classified as substandard and $1,569 of assets classified as doubtful. In addition, at the same date, $272,834 of assets were designated as special mention.</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Substandard assets at December 31, 2000 under the above policy consisted primarily of $156,316 of loans and real estate owned related to the Company's discount single family residential loan program and $102,899 of loans and real estate owned related to the Company's discount commercial real estate loan program. Special mention assets at December 31, 2000 under the policy consisted primarily of $124,445 and $129,787 of loans and real estate owned related to the Company's discount single family residential and discount commercial real estate loan programs, respectively.</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PROMPT CORRECTIVE ACTION. Federal law provides the Federal banking regulators with broad power to take "prompt corrective action" to resolve the problems of undercapitalized institutions. The extent of the regulators' powers depends on whether the institution in question is "well capitalized,"</w:t>
      </w:r>
    </w:p>
    <w:p>
      <w:pPr>
        <w:sectPr>
          <w:pgSz w:w="11900" w:h="16847" w:orient="portrait"/>
          <w:cols w:equalWidth="0" w:num="1">
            <w:col w:w="10239"/>
          </w:cols>
          <w:pgMar w:left="220" w:top="620" w:right="1440" w:bottom="0" w:gutter="0" w:footer="0" w:header="0"/>
        </w:sectPr>
      </w:pPr>
    </w:p>
    <w:bookmarkStart w:id="18" w:name="page19"/>
    <w:bookmarkEnd w:id="18"/>
    <w:p>
      <w:pPr>
        <w:ind w:right="3279"/>
        <w:spacing w:after="0" w:line="254" w:lineRule="auto"/>
        <w:rPr>
          <w:sz w:val="20"/>
          <w:szCs w:val="20"/>
          <w:color w:val="auto"/>
        </w:rPr>
      </w:pPr>
      <w:r>
        <w:rPr>
          <w:rFonts w:ascii="Courier New" w:cs="Courier New" w:eastAsia="Courier New" w:hAnsi="Courier New"/>
          <w:sz w:val="14"/>
          <w:szCs w:val="14"/>
          <w:color w:val="auto"/>
        </w:rPr>
        <w:t>"adequately capitalized," "undercapitalized," "significantly undercapitalized" or "critically undercapitalized." Under regulations adopted by the Federal banking regulators, an institution shall be deemed to be: (i) "well capitalized" if it has a total risk-based capital ratio of 10.0% or more, has a Tier 1</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141" w:right="1440" w:bottom="1440" w:gutter="0" w:footer="0" w:header="0"/>
        </w:sectPr>
      </w:pPr>
    </w:p>
    <w:bookmarkStart w:id="19" w:name="page20"/>
    <w:bookmarkEnd w:id="19"/>
    <w:p>
      <w:pPr>
        <w:ind w:right="3279"/>
        <w:spacing w:after="0" w:line="252" w:lineRule="auto"/>
        <w:rPr>
          <w:sz w:val="20"/>
          <w:szCs w:val="20"/>
          <w:color w:val="auto"/>
        </w:rPr>
      </w:pPr>
      <w:r>
        <w:rPr>
          <w:rFonts w:ascii="Courier New" w:cs="Courier New" w:eastAsia="Courier New" w:hAnsi="Courier New"/>
          <w:sz w:val="14"/>
          <w:szCs w:val="14"/>
          <w:color w:val="auto"/>
        </w:rPr>
        <w:t>risk-based capital ratio of 6.0% or more, has a Tier 1 leverage capital ratio of 5.0% or more and is not subject to any written agreement, order or directive to meet and maintain a specific capital level for any capital measure; (ii) "adequately capitalized" if it has a total risk-based capital ratio of 8.0% or more, a Tier 1 risk-based capital ratio of 4.0% or more and a Tier 1 leverage capital ratio of 4.0% or more (3.0% under certain circumstances) and does not meet the definition of "well capitalized"; (iii) "undercapitalized" if it has a total risk-based capital ratio that is less than 8.0%, a Tier 1 risk-based capital ratio that is less than 4.0% or a Tier 1 leverage capital ratio that is less than 4.0% (3.0% under certain circumstances); (iv) "significantly undercapitalized" if it has a total risk-based capital ratio that is less than 6.0%, a Tier 1 risk-based capital ratio that is less than 3.0% or a Tier 1 leverage capital ratio that is less than 3.0% and; (v) "critically undercapitalized" if it has a ratio of tangible equity to adjusted total assets that is equal to or less than 2.0%. The regulations also permit the appropriate Federal banking regulator to downgrade an institution to the next lower category (provided that a significantly undercapitalized institution may not be downgraded to critically undercapitalized) if the regulator determines: (i) after notice and opportunity for hearing or response, that the institution is in an unsafe or unsound condition or (ii) that the institution has received (and not corrected) a less-than-satisfactory rating for any of the categories of asset quality, management, earnings or liquidity in its most recent exam. At December 31, 2000, the Bank was a "well capitalized" institution under the prompt corrective action regulations of the OTS.</w:t>
      </w:r>
    </w:p>
    <w:p>
      <w:pPr>
        <w:spacing w:after="0" w:line="34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Depending upon the capital category to which an institution is assigned, the regulators' corrective powers, many of which are mandatory in certain circumstances, include: prohibition on capital distributions; prohibition on payment of management fees to controlling persons; requiring the submission of a capital restoration plan; placing limits on asset growth; limiting acquisitions, branching or new lines of business; requiring the institution to issue additional capital stock (including additional voting stock) or to be acquired; restricting transactions with affiliates; restricting the interest rates that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ultimately, appointing a receiver for the institution.</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QUALIFIED THRIFT LENDER TEST. All savings associations are required to meet the QTL test set forth in the HOLA to avoid certain restrictions on their operations. Under the QTL test provisions, a savings institution must maintain at least 65% of its portfolio assets in qualified thrift investments. In general, qualified thrift investments include loans, securities and other investments that are related to housing, small business and credit card lending, and to a more limited extent, consumer lending and community service purposes. Portfolio assets are defined as an institution's total assets less goodwill and other intangible assets, the institution's business property and a limited amount of the institution's liquid assets. A savings association that does not meet the QTL test set forth in the HOLA and implementing regulations must either convert to a bank charter or comply with the following restrictions on its operations: (i) the association may not engage in any new activity or make any new investment, directly or indirectly, unless such activity or investment is permissible for a national bank; (ii) the branching powers of the association shall be restricted to those of a national bank; and (iii) payment of dividends by the association shall be subject to the rules regarding payment of dividends by a national bank. Upon the expiration of three years from the date the association ceases to be a QTL, it must cease any activity and not retain any investment unless that activity or investment would be permissible if the association were a national bank and for the association as a savings association. The Bank met the QTL test throughout 2000, and its qualified thrift investments comprised 72.36% of its portfolio assets at December 31, 2000.</w:t>
      </w:r>
    </w:p>
    <w:p>
      <w:pPr>
        <w:spacing w:after="0" w:line="176"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RESTRICTIONS ON CAPITAL DISTRIBUTIONS. Effective April 1, 1999, the Bank is required to file a notice with the OTS at least 30 days prior to making any payment to repurchase, redeem, retire or otherwise acquire debt instruments included in total risk-based capital (each a "capital distribution") unless (a) it is not eligible for expedited treatment under the OTS application processing regulations, (b) the total amount of the Bank's capital distributions (including the proposed distribution) for the calendar year exceeds the Bank's net income for the year to date plus retained net income for the previous two years, (c) the Bank would not be "adequately capitalized" following the proposed distribution or (d) the proposed distribution would violate any applicable statute, regulation, or an agreement between the Bank and the OTS, or a condition imposed upon the Bank by an OTS-approved application or notice. If one of these four criteria is present, the Bank is required to file an application with the OTS at least 30 days prior to making the proposed capital distribution. The OTS may deny the Bank's application or disapprove its notice if the OTS determines that (a) the Bank will be "undercapitalized," "significantly undercapitalized" or "critically undercapitalized," as defined in the OTS capital regulations, following the capital distribution, (b) the proposed capital distribution raises safety and soundness concerns or (c) the proposed capital distribution violates a prohibition contained in any statute, regulation or agreement between the Bank and the OTS or a condition imposed on the Bank in an application or notice approved by the OTS.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974" w:gutter="0" w:footer="0" w:header="0"/>
        </w:sectPr>
      </w:pPr>
    </w:p>
    <w:bookmarkStart w:id="20" w:name="page21"/>
    <w:bookmarkEnd w:id="20"/>
    <w:p>
      <w:pPr>
        <w:ind w:right="3279" w:firstLine="781"/>
        <w:spacing w:after="0" w:line="253" w:lineRule="auto"/>
        <w:rPr>
          <w:sz w:val="20"/>
          <w:szCs w:val="20"/>
          <w:color w:val="auto"/>
        </w:rPr>
      </w:pPr>
      <w:r>
        <w:rPr>
          <w:rFonts w:ascii="Courier New" w:cs="Courier New" w:eastAsia="Courier New" w:hAnsi="Courier New"/>
          <w:sz w:val="14"/>
          <w:szCs w:val="14"/>
          <w:color w:val="auto"/>
        </w:rPr>
        <w:t>LOAN-TO-ONE BORROWER. Under applicable laws and regulations, the amount of loans and extensions of credit which may be extended by a savings institution such as the Bank to any one borrower, including related entities, generally may not exceed the greater of 15% of the unimpaired capital and unimpaired surplus of the institution. Loans in an amount equal to an additional 10% of unimpaired capital and unimpaired surplus also may be made to a borrower if the loans are fully secured by readily marketable collateral. An institution's "unimpaired capital and unimpaired surplus" includes, among other things, the amount of its core capital and supplementary capital included in its total capital under OTS regulations.</w:t>
      </w:r>
    </w:p>
    <w:p>
      <w:pPr>
        <w:spacing w:after="0" w:line="164"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At December 31, 2000, the Bank's unimpaired capital and surplus amounted to $293,093, resulting in a general loans-to-one borrower limitation of $43,964 under applicable laws and regulations.</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BROKERED DEPOSITS. Under applicable laws and regulations, an insured depository institution may be restricted in obtaining, directly or indirectly, funds by or through any "deposit broker," as defined, for deposit into one or more deposit accounts at the institution. The term "deposit broker" generally includes any person engaged in the business of placing deposits, or facilitating the placement of deposits, of third parties with insured depository institutions or the business of placing deposits with insured depository institutions for the purpose of selling interests in those deposits to third parties. In addition, the term "deposit broker" includes any insured depository institution, and any employee of any insured depository institution, which engages, directly or indirectly, in the solicitation of deposits by offering rates of interest (with respect to such deposits) which are significantly higher than the prevailing rates of interest on deposits offered by other insured depository institutions having the same type of charter in such depository institution's normal market area. As a result of the definition of "deposit broker," all of the Bank's brokered deposits, as well as possibly its deposits obtained through customers of regional and local investment banking firms and the deposits obtained from the Bank's direct solicitation efforts of institutional investors and high net worth individuals, are potentially subject to the restrictions described below. Under FDIC regulations, well-capitalized institutions are not subject to the brokered deposit limitations, while adequately capitalized institutions are able to accept, renew or roll over brokered deposits only: (i) with a waiver from the FDIC; and (ii) subject to the limitation that they do not pay an effective yield on any such deposit which exceeds by more than 75 basis points (a) the effective yield paid on deposits of comparable size and maturity in such institution's normal market area for deposits accepted in its normal market area or (b) 120% (130% deposits at least half of which is uninsured) of the current yield on comparable maturity U.S. Treasury obligations for deposits accepted outside the institution's normal market area. Undercapitalized institutions are not permitted to accept brokered deposits and may not solicit deposits by offering an effective yield that exceeds by more than 75 basis points the prevailing effective yields on insured deposits of comparable maturity in the institution's normal market area or in the market area in which such deposits are being solicited. At December 31, 2000, the Bank was a well-capitalized institution which was not subject to restrictions on brokered deposits. See "Sources of Funds - Deposits."</w:t>
      </w:r>
    </w:p>
    <w:p>
      <w:pPr>
        <w:spacing w:after="0" w:line="347"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LIQUIDITY REQUIREMENTS. All savings associations are required to maintain an average daily balance of liquid assets, which include specified short-term assets and certain long-term assets, equal to a certain percentage of the sum of its average daily balance of net withdrawable deposit accounts and borrowings payable in one year or less. The liquidity requirement may vary from time to time (between 4% and 10%) depending upon economic conditions and savings flows of all savings associations. In November 1997, the OTS amended its liquidity regulations to, among other things, provide that a savings association shall maintain liquid assets of not less than 4% of the amount of its liquidity base at the end of the preceding calendar quarter as well as to provide that each savings association must maintain sufficient liquidity to ensure its safe and sound operation. Prior to November 1997, the required liquid asset ratio was 5%. Historically, the Bank has operated in compliance with these requirements. In December, 2000, Congress passed the Financial Regulatory Relief and Economic Efficiency Act of 2000 (Pub. L. 106-569), which repealed the statutory liquidity requirement for savings associations formerly found in HOLA. Accordingly, in March 2001, the OTS issued and Interim Final Rule that eliminated the 4% liquidity requirement. The Interim Rule requires savings associations to maintain sufficient liquidity to ensure their safe and sound operation.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1" w:name="page22"/>
    <w:bookmarkEnd w:id="21"/>
    <w:p>
      <w:pPr>
        <w:spacing w:after="0" w:line="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AFFILIATE TRANSACTIONS. Under federal law and regulation, transactions between a savings association and its affiliates are subject to quantitative and qualitative restrictions. Affiliates of a savings association include, among other entities, companies that control, are controlled by or are under common control with the savings association. As a result, the Company, OAC, OTX and the Company's non-bank subsidiaries are affiliates of the Bank.</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Savings associations are restricted in their ability to engage in "covered transactions" with their affiliates. In addition, covered transactions between a savings association and an affiliate, as well as certain other transactions with or benefiting an affiliate, must be on terms and conditions at least as favorable to the savings association as those prevailing at the time for comparable transactions with non-affiliated companies. Savings associations are required to make and retain detailed records of transactions with affiliates.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foregoing, a savings association is not permitted to make a loan or extension of credit to any affiliate unless the affiliate is engaged only in activities the Federal Reserve Board has determined to be permissible for bank holding companies. Savings associations also are prohibited from purchasing or investing in securities issued by an affiliate, other than shares of a subsidiary.</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Savings associations are also subject to various limitations and reporting requirements on loans to insiders. These limitations require, among other things, that all loans or extensions of credit to insiders (generally executive officers, directors or 10% stockholders of the institution) or their "related interests" be made on substantially the same terms (including interest rates and collateral) as, and follow credit underwriting procedures that are not less stringent than, those prevailing for comparable transactions with the general public and not involve more than the normal risk of repayment or present other unfavorable features.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COMMUNITY INVESTMENT AND CONSUMER PROTECTIONS LAWS. In connection with its lending activities, the Bank is subject to a variety of federal laws designed to protect borrowers and promote lending to various sectors of the economy and population. Included among these are the Federal Home Mortgage Disclosure Act, Real Estate Settlement Procedures Act, Truth-in-Lending Act, Equal Credit Opportunity Act, Fair Credit Reporting Act and the Community Reinvestment Act.</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GRAMM-LEACH-BLILEY ACT. The Bank is also subject to the Gramm-Leach-Bliley Act ("GLB Act"), which was signed into law at the end of 1999. The GLB Act contains comprehensive consumer financial privacy restrictions. Various federal enforcement agencies, including the Federal Trade Commission, have issued final regulations to implement the GLB Act; however, compliance with the new regulations is voluntary until July 1, 2001. The restrictions fall into two basic categories. First, a financial institution must provide various notices to consumers about an institution's privacy policies and practices. Second, the GLB Act act gives consumers the right to prevent the financial institution from disclosing non-public personal information about the consumer to non-affiliated third parties, with exceptions. As with all new regulations, we intend to prepare the appropriate disclosures and internal procedures to assure compliance with these new requirements.</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SAFETY AND SOUNDNESS. Other regulations include: (i) real estate lending standards for insured institutions, which provide guidelines concerning loan-to-value ratios for various types of real estate loans; (ii) risk-based capital rules to account for interest rate risk, concentration of credit risk and the risks posed by "non-traditional activities;" (iii) rules requiring depository institutions to develop and implement internal procedures to evaluate and control credit and settlement exposure to their correspondent banks; and</w:t>
      </w:r>
    </w:p>
    <w:p>
      <w:pPr>
        <w:spacing w:after="0" w:line="3" w:lineRule="exact"/>
        <w:rPr>
          <w:sz w:val="20"/>
          <w:szCs w:val="20"/>
          <w:color w:val="auto"/>
        </w:rPr>
      </w:pPr>
    </w:p>
    <w:p>
      <w:pPr>
        <w:ind w:right="3459" w:firstLine="9"/>
        <w:spacing w:after="0" w:line="254" w:lineRule="auto"/>
        <w:tabs>
          <w:tab w:leader="none" w:pos="43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addressing various "safety and soundness" issues, including operations and managerial standards, standards for asset quality, earnings and stock valuations, and compensation standards for the officers, directors, employees and principal stockholders of the insured institution.</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FEDERAL RESERVE REGULATION. Under Federal Reserve Board regulations, the Bank is required to maintain a reserve against its transaction accounts (primarily interest-bearing and noninterest-bearing checking accounts). Because reserves must generally be maintained in cash or in noninterest-bearing accounts, the effect of the reserve requirements is to increase an institution's cost of funds. These regulations generally require that the Bank maintain reserves against net transaction accounts. Institutions may designate and exempt $5,000 of certain reservable liabilities from these reserve requirements. This amount is subject to adjustment by the Federal Reserve Board. The Bank, like other depository institutions maintaining reservable accounts, may borrow from the Federal Reserve Bank discount window, but the Federal Reserve Board's regulations require the Bank to exhaust other reasonable alternative sources before borrowing from the Federal Reserve Bank. Numerous other regulations promulgated by the Federal Reserve Board affect the business operations of the Bank. These include regulations relating to equal credit opportunity, electronic fund transfers, collection of checks, truth in lending, truth in savings and availability of funds.</w:t>
      </w:r>
    </w:p>
    <w:p>
      <w:pPr>
        <w:spacing w:after="0" w:line="34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FEDERAL HOME LOAN BANK SYSTEM. The FHLB System was created in 1932 and consists of twelve regional FHLBs. The FHLBs are federally chartered but privately owned institutions created by Congress. The Federal Housing Finance Board ("Finance Board") is an agency of the federal government and is generally responsible for regulating the FHLB System. Each FHLB is owned by its member institutions. The primary purpose of the FHLBs is to provide funding to their members for making housing loans as well as for affordable housing and community development lending. FHLBs are generally able to make advances to their member institutions at interest rates that are lower than could otherwise be obtained by such institutions. Under current rules, an FHLB member is generally required to purchase FHLB stock in an amount equal to at least 5% of the aggregate</w:t>
      </w:r>
    </w:p>
    <w:p>
      <w:pPr>
        <w:sectPr>
          <w:pgSz w:w="11900" w:h="16847" w:orient="portrait"/>
          <w:cols w:equalWidth="0" w:num="1">
            <w:col w:w="10239"/>
          </w:cols>
          <w:pgMar w:left="220" w:top="620" w:right="1440" w:bottom="0" w:gutter="0" w:footer="0" w:header="0"/>
        </w:sectPr>
      </w:pPr>
    </w:p>
    <w:bookmarkStart w:id="22" w:name="page23"/>
    <w:bookmarkEnd w:id="22"/>
    <w:p>
      <w:pPr>
        <w:ind w:right="3279"/>
        <w:spacing w:after="0" w:line="253" w:lineRule="auto"/>
        <w:rPr>
          <w:sz w:val="20"/>
          <w:szCs w:val="20"/>
          <w:color w:val="auto"/>
        </w:rPr>
      </w:pPr>
      <w:r>
        <w:rPr>
          <w:rFonts w:ascii="Courier New" w:cs="Courier New" w:eastAsia="Courier New" w:hAnsi="Courier New"/>
          <w:sz w:val="14"/>
          <w:szCs w:val="14"/>
          <w:color w:val="auto"/>
        </w:rPr>
        <w:t>outstanding advances made by the FHLB to the member. The GLB Act and new regulations adopted by the Finance Board in December 2000 require a new capital structure for the FHLBs. The new capital structure will contain risk-based and leverage capital requirements similar to those currently in place for depository institutions. Each FHLB must submit a capital structure plan to the Finance Board for approval within 270 days of the publication of the new regulations. Generally, an institution is eligible to be a member of the FHLB for the district where the member's principal place of business is located. The Bank , whose home office is in Ft. Lee, New Jersey, is a member of the New York FHLB.</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COMMUNITY REINVESTMENT ACT. The Community Reinvestment Act ("CRA") requires financial institutions regulated by the federal financial supervisory agencies to ascertain and help meet the credit needs of their delineated communities, including low- to moderate-income neighborhoods within those communities, while maintaining safe and sound banking practices. The regulatory agency assigns one of four possible ratings to an institution's CRA performance and is required to make public an institution's rating and written evaluation. The four possible ratings of meeting community credit needs are outstanding, satisfactory, needs to improve, and substantial noncompliance. In 1999, the Bank received a "satisfactory" CRA rating from the OTS. This rating reflects our commitment to meeting the credit needs of the communities we serve. Under regulations that apply to all CRA performance evaluations after July 1, 1997, many factors play a role in assessing a financial institution's CRA performance. The institution's regulator must consider its financial capacity and size, legal impediments, local economic conditions and demographics, including the competitive environment in which it operates. The evaluation does not rely on absolute standards, and the institutions are not required to perform specific activities or to provide specific amounts or types of credit. We maintain a CRA file available for public viewing.</w:t>
      </w:r>
    </w:p>
    <w:p>
      <w:pPr>
        <w:spacing w:after="0" w:line="17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bank has filed an application with the OTS to be designated a Wholesale Bank for CRA purposes beginning in May 2001. The Wholesale Bank designation is available to institutions that are not in the business of extending home mortgage, small business, small farm or consumer loans to retail customers. Wholesale Banks are subject to a separate CRA test that measures its community development loans, investments and services.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TAXATION</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GENERAL. The Company and all of its domestic subsidiaries currently file, and expect to continue to file, a consolidated Federal income tax return based on a calendar year. Consolidated returns have the effect of eliminating inter-company transactions, including dividends, from the computation of taxable income.</w:t>
      </w:r>
    </w:p>
    <w:p>
      <w:pPr>
        <w:spacing w:after="0" w:line="33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ALTERNATIVE MINIMUM TAX. In addition to the regular corporate income tax, corporations, including qualifying savings institutions, are subject to an alternative minimum tax. The 20% tax is computed on Alternative Minimum Taxable Income ("AMTI") and applies if it exceeds the regular tax liability. AMTI is equal to regular taxable income with certain adjustments. For taxable years beginning after 1989, AMTI includes an adjustment for 75% of the excess of "adjusted current earnings" over regular taxable income. Net operating loss carrybacks and carryforwards are permitted to offset only 90% of AMTI. Alternative minimum tax paid can be credited against regular tax due in later years.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TAX RESIDUALS. From time to time, the Company acquires Real Estate Mortgage Investment Conduit ("REMIC") residuals or retains residual securities in REMICs which were formed by the Company in connection with the securitization and sale of loans. Although a tax residual may have little or no future economic cash flows from the REMIC from which it has been issued, the tax residual does bear the income tax liability or benefit resulting from the difference between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141" w:right="1440" w:bottom="1440" w:gutter="0" w:footer="0" w:header="0"/>
        </w:sectPr>
      </w:pPr>
    </w:p>
    <w:bookmarkStart w:id="23" w:name="page24"/>
    <w:bookmarkEnd w:id="23"/>
    <w:p>
      <w:pPr>
        <w:ind w:right="3279"/>
        <w:spacing w:after="0" w:line="253" w:lineRule="auto"/>
        <w:rPr>
          <w:sz w:val="20"/>
          <w:szCs w:val="20"/>
          <w:color w:val="auto"/>
        </w:rPr>
      </w:pPr>
      <w:r>
        <w:rPr>
          <w:rFonts w:ascii="Courier New" w:cs="Courier New" w:eastAsia="Courier New" w:hAnsi="Courier New"/>
          <w:sz w:val="14"/>
          <w:szCs w:val="14"/>
          <w:color w:val="auto"/>
        </w:rPr>
        <w:t>the interest rate paid on the securities by the REMIC and the interest rate received on the mortgage loans held by the REMIC. This generally results in taxable income for the Company in the first several years of the REMIC and equal amounts of tax deductions thereafter. The Company receives cash payments in connection with the acquisition of tax residuals to compensate the Company for the time value of money associated with the tax payments related to these securities and the costs of modeling, recording, monitoring and reporting the securities. The Company defers all fees received and recognizes such fees in interest income on a level yield basis over the expected life of the deferred tax asset related to tax residuals. The Company also adjusts the recognition in interest income of fees deferred based upon the changes in the actual prepayment rates of the underlying mortgages held by the REMIC and periodic reassessments of the expected life of the deferred tax asset related to tax residuals. At December 31, 2000, the Company's gross deferred tax assets included $4,374, which was attributable to the Company's tax residuals and related deferred income.</w:t>
      </w:r>
    </w:p>
    <w:p>
      <w:pPr>
        <w:spacing w:after="0" w:line="330"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INVESTMENTS IN LOW-INCOME HOUSING TAX CREDIT INTERESTS. For a discussion of the tax effects of investments in low-income housing tax credit interests, see "Segments-Investment in Low-Income Housing Tax Credit Interests."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EXAMINATIONS. The most recent examination by the IRS of the Company's Federal income tax return was of the tax return filed for 1996. The statute of limitations has run with respect to 1996 and all prior tax years. Thus, the Federal income tax returns for the years 1997 through 1999 are open for examination. Management of the Company does not anticipate any material adjustments as a result of any examination, although there can be no assurances in this regard.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TAXATION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Company's income is subject to tax by the States of Florida and California, which have statutory tax rates of 5.5% and 10.84%, respectively, and is determined based on certain apportionment factors. The Company is taxed in New Jersey on income, net of expenses, earned in New Jersey at a statutory rate of 3.0%. No state return of the Company has been examined, and no notification has been received by the Company that any state intends to examine any of the Company's tax returns.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4" w:name="page25"/>
    <w:bookmarkEnd w:id="24"/>
    <w:p>
      <w:pPr>
        <w:spacing w:after="0"/>
        <w:tabs>
          <w:tab w:leader="none" w:pos="780" w:val="left"/>
        </w:tabs>
        <w:rPr>
          <w:sz w:val="20"/>
          <w:szCs w:val="20"/>
          <w:color w:val="auto"/>
        </w:rPr>
      </w:pPr>
      <w:r>
        <w:rPr>
          <w:rFonts w:ascii="Courier New" w:cs="Courier New" w:eastAsia="Courier New" w:hAnsi="Courier New"/>
          <w:sz w:val="14"/>
          <w:szCs w:val="14"/>
          <w:color w:val="auto"/>
        </w:rPr>
        <w:t>ITEM 2.</w:t>
        <w:tab/>
        <w:t>PROPERTIES</w:t>
      </w:r>
    </w:p>
    <w:p>
      <w:pPr>
        <w:spacing w:after="0" w:line="175"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The following table sets forth information relating to the Company's facilities at December 31, 2000.</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Net Book Value of</w:t>
            </w:r>
          </w:p>
        </w:tc>
      </w:tr>
      <w:tr>
        <w:trPr>
          <w:trHeight w:val="167"/>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Property or Leasehold</w:t>
            </w:r>
          </w:p>
        </w:tc>
      </w:tr>
      <w:tr>
        <w:trPr>
          <w:trHeight w:val="167"/>
        </w:trPr>
        <w:tc>
          <w:tcPr>
            <w:tcW w:w="5440" w:type="dxa"/>
            <w:vAlign w:val="bottom"/>
          </w:tcPr>
          <w:p>
            <w:pPr>
              <w:ind w:left="2100"/>
              <w:spacing w:after="0"/>
              <w:rPr>
                <w:sz w:val="20"/>
                <w:szCs w:val="20"/>
                <w:color w:val="auto"/>
              </w:rPr>
            </w:pPr>
            <w:r>
              <w:rPr>
                <w:rFonts w:ascii="Courier New" w:cs="Courier New" w:eastAsia="Courier New" w:hAnsi="Courier New"/>
                <w:sz w:val="14"/>
                <w:szCs w:val="14"/>
                <w:color w:val="auto"/>
              </w:rPr>
              <w:t>Location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Owned/Leased</w:t>
            </w:r>
          </w:p>
        </w:tc>
        <w:tc>
          <w:tcPr>
            <w:tcW w:w="2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Improvements</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(Dollars in Thousands)</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EXECUTIVE OFFICES:</w:t>
            </w: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1675 Palm Beach Lakes Boulevard</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West Palm Beach, FL....................................</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Leased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5,016</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BANK MAIN OFFICE:</w:t>
            </w: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2400 Lemoine Ave</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Fort Lee, NJ...........................................</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Leased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SERVICING CENTER:</w:t>
            </w: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12650 Ingenuity Drive</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Orlando, FL............................................</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Owned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22,732</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SOFTWARE DEVELOPMENT AND SERVICING OPERATIONS CENTER:</w:t>
            </w: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Information Technology Park</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Bangalore, India.......................................</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Leased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252</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OTX OFFICES:</w:t>
            </w: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California office:</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5050 Avenida Encinas, Suite 200</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Carlsbad, CA...........................................</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Leased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166</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Amos, Inc.:</w:t>
            </w: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10 Research Parkway</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Wallingford, CT........................................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Leased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79</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Synergy Software, LLC:</w:t>
            </w: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Two Creekside Crossing</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10 Cadillac Drive, Suite 350</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Brentwood, TN..........................................</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Leased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188</w:t>
            </w:r>
          </w:p>
        </w:tc>
      </w:tr>
    </w:tbl>
    <w:p>
      <w:pPr>
        <w:spacing w:after="0" w:line="338"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OTX's main offices are located in facilities provided by the Company. OAC does not maintain an office. It relies on the facilities provided by the Company.</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Company is subject to various pending legal proceedings. Management is of the opinion that the resolution of these claims will not have a material adverse effect on the results of operations or financial condition of the Company. See "Note 33: Commitments and Contingencies" on page 115 to 116 of the Company's 2000 Annual Report to Shareholders which is incorporated herein by reference.</w:t>
      </w:r>
    </w:p>
    <w:p>
      <w:pPr>
        <w:spacing w:after="0" w:line="32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5" w:name="page26"/>
    <w:bookmarkEnd w:id="25"/>
    <w:p>
      <w:pPr>
        <w:ind w:left="3220"/>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800" w:right="37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ITEM 5.</w:t>
        <w:tab/>
        <w:t>MARKET FOR THE REGISTRANT'S COMMON EQUITY AND RELATED STOCKHOLDER MATTERS</w:t>
      </w:r>
    </w:p>
    <w:p>
      <w:pPr>
        <w:spacing w:after="0" w:line="160"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Information required by this Item appears under the caption "Shareholder Information" on page 120 of the 2000 Annual Report to Shareholders and is incorporated herein by reference.</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SELECTED CONSOLIDATED FINANCIAL DATA</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Information required by this Item appears under the caption "Selected Consolidated Financial Information" on pages 10 to 13 of the 2000 Annual Report to Shareholders and is incorporated herein by reference.</w:t>
      </w:r>
    </w:p>
    <w:p>
      <w:pPr>
        <w:spacing w:after="0" w:line="162" w:lineRule="exact"/>
        <w:rPr>
          <w:sz w:val="20"/>
          <w:szCs w:val="20"/>
          <w:color w:val="auto"/>
        </w:rPr>
      </w:pPr>
    </w:p>
    <w:p>
      <w:pPr>
        <w:ind w:left="800" w:right="32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w:t>
      </w:r>
    </w:p>
    <w:p>
      <w:pPr>
        <w:spacing w:after="0" w:line="16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Information required by this Item appears under the caption "Management's Discussion and Analysis of Financial Condition and Results of Operations" on pages 14 to 60 of the 2000 Annual Report to Shareholders and is incorporated herein by reference. In addition, please also note the information below, which is not discussed in the 2000 Annual Report to Shareholders.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 (DOLLARS IN THOUSANDS)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On January 30, 2001, OCN was hired as an advisor to Jamaica's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Sector Adjustment Company ("FINSAC") to resolve or liquidate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 in non-performing loans and real estate assets. Since 1997, FINSAC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assumed over 15,000 assets as a result of bank insolvencies within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Jamaican financial sector.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Subsequent to yearend through March 27, 2001, the Company repurchased in the open market an aggregate of $15,845 of its 10 7/8% Capital Securities for aggregate pretax gains of $3,336. Additionally, on March 23, 2001, the Company repurchased $4,200 of its 11.875% Notes in the open market for a pretax gain of $97.</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On March 19, 2001, OTX announced that Washington Mutual Home Loans and Insurance Services group will utilize REALTrans to order many of the real estate settlement services necessary to close a mortgage transaction. Washington Mutual is the eighth largest banking company, the largest savings institution and one of the top five mortgage originators in the United States.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Information required by this Item appears under the captions "Asset and Liability Management" on pages 53 to 58, "Note 1: Summary of Significant Accounting Policies" on pages 70 to 77 and "Note 24: Derivative Financial Instruments" on pages 100 to 103 of the 2000 Annual Report to Shareholders and is incorporated herein by reference.</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5"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Information required by this Item appears on pages 62 to 119 in the 2000 Annual Report to Shareholders and is incorporated herein by reference.</w:t>
      </w:r>
    </w:p>
    <w:p>
      <w:pPr>
        <w:spacing w:after="0" w:line="160" w:lineRule="exact"/>
        <w:rPr>
          <w:sz w:val="20"/>
          <w:szCs w:val="20"/>
          <w:color w:val="auto"/>
        </w:rPr>
      </w:pPr>
    </w:p>
    <w:p>
      <w:pPr>
        <w:ind w:left="800" w:right="39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26" w:name="page27"/>
    <w:bookmarkEnd w:id="26"/>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information contained in the Company's definitive Proxy Statement with respect to the Company's Annual Meeting of Shareholders to be held on May 17, 2001, and as filed with the Commission on or about March 30, 2001 (the "Company's 2001 Proxy Statement") under the captions "Election of Directors - Nominees for Director," "Executive Officers Who Are Not Directors," and "Security Ownership of Certain Beneficial Owners - Section 16(a) Beneficial Ownership Reporting Compliance" is incorporated herein by reference.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information contained in the Company's 2001 Proxy Statement under the captions "Executive Compensation," "Board of Directors Compensation" and "Comparison of Cumulative Total Return"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information contained in the Company's 2001 Proxy Statement under the caption "Security Ownership of Certain Beneficial Owners - Beneficial Ownership of Common Stock"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information contained in the Company's 2001 Proxy Statement under the caption "Certain Relationships and Related Transactions" is incorporated herein by reference.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27" w:name="page28"/>
    <w:bookmarkEnd w:id="27"/>
    <w:p>
      <w:pPr>
        <w:ind w:left="3220"/>
        <w:spacing w:after="0"/>
        <w:rPr>
          <w:sz w:val="20"/>
          <w:szCs w:val="20"/>
          <w:color w:val="auto"/>
        </w:rPr>
      </w:pPr>
      <w:r>
        <w:rPr>
          <w:rFonts w:ascii="Courier New" w:cs="Courier New" w:eastAsia="Courier New" w:hAnsi="Courier New"/>
          <w:sz w:val="14"/>
          <w:szCs w:val="14"/>
          <w:color w:val="auto"/>
        </w:rPr>
        <w:t>PART IV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5" w:lineRule="exact"/>
        <w:rPr>
          <w:sz w:val="20"/>
          <w:szCs w:val="20"/>
          <w:color w:val="auto"/>
        </w:rPr>
      </w:pPr>
    </w:p>
    <w:p>
      <w:pPr>
        <w:ind w:left="800" w:hanging="791"/>
        <w:spacing w:after="0"/>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rFonts w:ascii="Courier New" w:cs="Courier New" w:eastAsia="Courier New" w:hAnsi="Courier New"/>
          <w:sz w:val="14"/>
          <w:szCs w:val="14"/>
          <w:color w:val="auto"/>
        </w:rPr>
      </w:pPr>
    </w:p>
    <w:p>
      <w:pPr>
        <w:ind w:left="1580" w:right="3379" w:hanging="78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2.1Agreement of Merger dated as of July 25, 1999 among Ocwen Financial Corporation, Ocwen Asset Investment Corp. and Ocwen Acquisition Company (1)</w:t>
      </w:r>
    </w:p>
    <w:p>
      <w:pPr>
        <w:spacing w:after="0" w:line="162"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3.1Amended and Restated Articles of Incorporation (2)</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3.2Amended and Restated Bylaws (3)</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4.0Form of Certificate of Common Stock (2)</w:t>
      </w:r>
    </w:p>
    <w:p>
      <w:pPr>
        <w:spacing w:after="0" w:line="175" w:lineRule="exact"/>
        <w:rPr>
          <w:rFonts w:ascii="Courier New" w:cs="Courier New" w:eastAsia="Courier New" w:hAnsi="Courier New"/>
          <w:sz w:val="14"/>
          <w:szCs w:val="14"/>
          <w:color w:val="auto"/>
        </w:rPr>
      </w:pPr>
    </w:p>
    <w:p>
      <w:pPr>
        <w:ind w:left="1580" w:right="337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4.1Form of Indenture between the Company and Bank One, Columbus, NA as Trustee (2)</w:t>
      </w:r>
    </w:p>
    <w:p>
      <w:pPr>
        <w:spacing w:after="0" w:line="159"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4.2Form of Note due 2003 (included in Exhibit 4.1) (2)</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4.3Certificate of Trust of Ocwen Capital Trust I (4)</w:t>
      </w:r>
    </w:p>
    <w:p>
      <w:pPr>
        <w:spacing w:after="0" w:line="175" w:lineRule="exact"/>
        <w:rPr>
          <w:rFonts w:ascii="Courier New" w:cs="Courier New" w:eastAsia="Courier New" w:hAnsi="Courier New"/>
          <w:sz w:val="14"/>
          <w:szCs w:val="14"/>
          <w:color w:val="auto"/>
        </w:rPr>
      </w:pPr>
    </w:p>
    <w:p>
      <w:pPr>
        <w:ind w:left="1580" w:right="363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4.4Amended and Restated Declaration of Trust of Ocwen Capital Trust I (4)</w:t>
      </w:r>
    </w:p>
    <w:p>
      <w:pPr>
        <w:spacing w:after="0" w:line="159" w:lineRule="exact"/>
        <w:rPr>
          <w:rFonts w:ascii="Courier New" w:cs="Courier New" w:eastAsia="Courier New" w:hAnsi="Courier New"/>
          <w:sz w:val="14"/>
          <w:szCs w:val="14"/>
          <w:color w:val="auto"/>
        </w:rPr>
      </w:pPr>
    </w:p>
    <w:p>
      <w:pPr>
        <w:ind w:left="1580" w:right="327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4.5Form of Capital Security of Ocwen Capital Trust I (included in Exhibit 4.4) (4)</w:t>
      </w:r>
    </w:p>
    <w:p>
      <w:pPr>
        <w:spacing w:after="0" w:line="159" w:lineRule="exact"/>
        <w:rPr>
          <w:rFonts w:ascii="Courier New" w:cs="Courier New" w:eastAsia="Courier New" w:hAnsi="Courier New"/>
          <w:sz w:val="14"/>
          <w:szCs w:val="14"/>
          <w:color w:val="auto"/>
        </w:rPr>
      </w:pPr>
    </w:p>
    <w:p>
      <w:pPr>
        <w:ind w:left="1580" w:right="371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4.6Form of Indenture relating to 10.875% Junior Subordinated Debentures due 2027 of the Company (4)</w:t>
      </w:r>
    </w:p>
    <w:p>
      <w:pPr>
        <w:spacing w:after="0" w:line="159" w:lineRule="exact"/>
        <w:rPr>
          <w:rFonts w:ascii="Courier New" w:cs="Courier New" w:eastAsia="Courier New" w:hAnsi="Courier New"/>
          <w:sz w:val="14"/>
          <w:szCs w:val="14"/>
          <w:color w:val="auto"/>
        </w:rPr>
      </w:pPr>
    </w:p>
    <w:p>
      <w:pPr>
        <w:ind w:left="1580" w:right="327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4.7Form of 10.875% Junior Subordinated Debentures due 2027 of the Company (included is Exhibit 4.6)(4)</w:t>
      </w:r>
    </w:p>
    <w:p>
      <w:pPr>
        <w:spacing w:after="0" w:line="159" w:lineRule="exact"/>
        <w:rPr>
          <w:rFonts w:ascii="Courier New" w:cs="Courier New" w:eastAsia="Courier New" w:hAnsi="Courier New"/>
          <w:sz w:val="14"/>
          <w:szCs w:val="14"/>
          <w:color w:val="auto"/>
        </w:rPr>
      </w:pPr>
    </w:p>
    <w:p>
      <w:pPr>
        <w:ind w:left="1580" w:right="379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4.8Form of Guarantee of the Company relating to the Capital Securities of Ocwen Capital Trust I (4)</w:t>
      </w:r>
    </w:p>
    <w:p>
      <w:pPr>
        <w:spacing w:after="0" w:line="159" w:lineRule="exact"/>
        <w:rPr>
          <w:rFonts w:ascii="Courier New" w:cs="Courier New" w:eastAsia="Courier New" w:hAnsi="Courier New"/>
          <w:sz w:val="14"/>
          <w:szCs w:val="14"/>
          <w:color w:val="auto"/>
        </w:rPr>
      </w:pPr>
    </w:p>
    <w:p>
      <w:pPr>
        <w:ind w:left="1580" w:right="327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4.9Form of Indenture between the Company and The Bank of New York as Trustee (5)</w:t>
      </w:r>
    </w:p>
    <w:p>
      <w:pPr>
        <w:spacing w:after="0" w:line="159"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4.10Form of Subordinated Debentures due 2005 (5)</w:t>
      </w:r>
    </w:p>
    <w:p>
      <w:pPr>
        <w:spacing w:after="0" w:line="175" w:lineRule="exact"/>
        <w:rPr>
          <w:rFonts w:ascii="Courier New" w:cs="Courier New" w:eastAsia="Courier New" w:hAnsi="Courier New"/>
          <w:sz w:val="14"/>
          <w:szCs w:val="14"/>
          <w:color w:val="auto"/>
        </w:rPr>
      </w:pPr>
    </w:p>
    <w:p>
      <w:pPr>
        <w:ind w:left="1580" w:right="3719" w:hanging="78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4.11Form of Indenture between OAC and Norwest Bank Minnesota, National Association, as Trustee thereunder for the 11.5% Redeemable Notes due 2005 (6)</w:t>
      </w:r>
    </w:p>
    <w:p>
      <w:pPr>
        <w:spacing w:after="0" w:line="162"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4.12Form of 11.5% Redeemable Note due 2005 (7)</w:t>
      </w:r>
    </w:p>
    <w:p>
      <w:pPr>
        <w:spacing w:after="0" w:line="175" w:lineRule="exact"/>
        <w:rPr>
          <w:rFonts w:ascii="Courier New" w:cs="Courier New" w:eastAsia="Courier New" w:hAnsi="Courier New"/>
          <w:sz w:val="14"/>
          <w:szCs w:val="14"/>
          <w:color w:val="auto"/>
        </w:rPr>
      </w:pPr>
    </w:p>
    <w:p>
      <w:pPr>
        <w:ind w:left="1580" w:right="3539" w:hanging="781"/>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4.13Form of Second Supplemental Indenture between OAC and Wells Fargo Bank Minnesota, National Association as successor to Norwest Bank Minnesota, National Association, as trustee thereunder for the 11.5% Redeemable Notes due 2005 (8)</w:t>
      </w:r>
    </w:p>
    <w:p>
      <w:pPr>
        <w:spacing w:after="0" w:line="163" w:lineRule="exact"/>
        <w:rPr>
          <w:rFonts w:ascii="Courier New" w:cs="Courier New" w:eastAsia="Courier New" w:hAnsi="Courier New"/>
          <w:sz w:val="14"/>
          <w:szCs w:val="14"/>
          <w:color w:val="auto"/>
        </w:rPr>
      </w:pPr>
    </w:p>
    <w:p>
      <w:pPr>
        <w:ind w:left="1580" w:right="337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10.1Ocwen Financial Corporation 1996 Stock Plan for Directors, as amended (9)</w:t>
      </w:r>
    </w:p>
    <w:p>
      <w:pPr>
        <w:spacing w:after="0" w:line="159"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10.2Ocwen Financial Corporation 1998 Annual Incentive Plan (10)</w:t>
      </w:r>
    </w:p>
    <w:p>
      <w:pPr>
        <w:spacing w:after="0" w:line="175" w:lineRule="exact"/>
        <w:rPr>
          <w:rFonts w:ascii="Courier New" w:cs="Courier New" w:eastAsia="Courier New" w:hAnsi="Courier New"/>
          <w:sz w:val="14"/>
          <w:szCs w:val="14"/>
          <w:color w:val="auto"/>
        </w:rPr>
      </w:pPr>
    </w:p>
    <w:p>
      <w:pPr>
        <w:jc w:val="both"/>
        <w:ind w:left="1580" w:right="3459" w:hanging="781"/>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10.3Amended and Restated Loan Agreement, dated as of June 10, 1998, by and among, inter alia, OAIC California Partnership, L.P., OAIC California Partnership II, L.P., Salomon Brothers Realty Corp. and LaSalle National Bank (11)</w:t>
      </w:r>
    </w:p>
    <w:p>
      <w:pPr>
        <w:spacing w:after="0" w:line="163" w:lineRule="exact"/>
        <w:rPr>
          <w:rFonts w:ascii="Courier New" w:cs="Courier New" w:eastAsia="Courier New" w:hAnsi="Courier New"/>
          <w:sz w:val="14"/>
          <w:szCs w:val="14"/>
          <w:color w:val="auto"/>
        </w:rPr>
      </w:pPr>
    </w:p>
    <w:p>
      <w:pPr>
        <w:ind w:left="1580" w:right="3279" w:hanging="78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10.4Compensation and Indemnification Agreement, dated as of May 6, 1999, between OAC and the independent committee of the Board of Directors (12)</w:t>
      </w:r>
    </w:p>
    <w:p>
      <w:pPr>
        <w:spacing w:after="0" w:line="162" w:lineRule="exact"/>
        <w:rPr>
          <w:rFonts w:ascii="Courier New" w:cs="Courier New" w:eastAsia="Courier New" w:hAnsi="Courier New"/>
          <w:sz w:val="14"/>
          <w:szCs w:val="14"/>
          <w:color w:val="auto"/>
        </w:rPr>
      </w:pPr>
    </w:p>
    <w:p>
      <w:pPr>
        <w:ind w:left="1580" w:right="3379" w:hanging="78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10.5Second Amendment to Guarantee of Payment, dated as of July 9, 1999, made by and between Salomon Brothers Realty Corp. and Ocwen Partnership, L.P. (12)</w:t>
      </w:r>
    </w:p>
    <w:p>
      <w:pPr>
        <w:spacing w:after="0" w:line="162" w:lineRule="exact"/>
        <w:rPr>
          <w:rFonts w:ascii="Courier New" w:cs="Courier New" w:eastAsia="Courier New" w:hAnsi="Courier New"/>
          <w:sz w:val="14"/>
          <w:szCs w:val="14"/>
          <w:color w:val="auto"/>
        </w:rPr>
      </w:pPr>
    </w:p>
    <w:p>
      <w:pPr>
        <w:ind w:left="1580" w:right="363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10.6Indemnity agreement, dated August 24, 1999, among OCN, and OAC's directors (13)</w:t>
      </w:r>
    </w:p>
    <w:p>
      <w:pPr>
        <w:spacing w:after="0" w:line="159" w:lineRule="exact"/>
        <w:rPr>
          <w:rFonts w:ascii="Courier New" w:cs="Courier New" w:eastAsia="Courier New" w:hAnsi="Courier New"/>
          <w:sz w:val="14"/>
          <w:szCs w:val="14"/>
          <w:color w:val="auto"/>
        </w:rPr>
      </w:pPr>
    </w:p>
    <w:p>
      <w:pPr>
        <w:ind w:left="1580" w:right="345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10.7Amended Ocwen Financial Corporation 1991 Non-Qualified Stock Option Plan, dated October 26, 1999 (13)</w:t>
      </w:r>
    </w:p>
    <w:p>
      <w:pPr>
        <w:spacing w:after="0" w:line="159" w:lineRule="exact"/>
        <w:rPr>
          <w:rFonts w:ascii="Courier New" w:cs="Courier New" w:eastAsia="Courier New" w:hAnsi="Courier New"/>
          <w:sz w:val="14"/>
          <w:szCs w:val="14"/>
          <w:color w:val="auto"/>
        </w:rPr>
      </w:pPr>
    </w:p>
    <w:p>
      <w:pPr>
        <w:ind w:left="1580" w:right="327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10.8First Amendment to Agreement, dated March 30, 2000 between HCT Investments, Inc. and OAIC Partnership I, L.P. (13)</w:t>
      </w:r>
    </w:p>
    <w:p>
      <w:pPr>
        <w:spacing w:after="0" w:line="159" w:lineRule="exact"/>
        <w:rPr>
          <w:rFonts w:ascii="Courier New" w:cs="Courier New" w:eastAsia="Courier New" w:hAnsi="Courier New"/>
          <w:sz w:val="14"/>
          <w:szCs w:val="14"/>
          <w:color w:val="auto"/>
        </w:rPr>
      </w:pPr>
    </w:p>
    <w:p>
      <w:pPr>
        <w:ind w:left="1580" w:right="3639" w:hanging="781"/>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10.9Form of Separation Agreement and Full Release, dated as of February 28, 2001, by and among Christine A. Reich, Ocwen Federal Bank FSB and Ocwen Financial Corporation (filed herewith)</w:t>
      </w:r>
    </w:p>
    <w:p>
      <w:pPr>
        <w:spacing w:after="0" w:line="163"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11.1Computation of earnings per share (14)</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12.1Ratio of earnings to fixed charges (filed herewith)</w:t>
      </w:r>
    </w:p>
    <w:p>
      <w:pPr>
        <w:spacing w:after="0" w:line="175" w:lineRule="exact"/>
        <w:rPr>
          <w:rFonts w:ascii="Courier New" w:cs="Courier New" w:eastAsia="Courier New" w:hAnsi="Courier New"/>
          <w:sz w:val="14"/>
          <w:szCs w:val="14"/>
          <w:color w:val="auto"/>
        </w:rPr>
      </w:pPr>
    </w:p>
    <w:p>
      <w:pPr>
        <w:ind w:left="1580" w:right="345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13.1Excerpts from the Annual Report to Shareholders for the year ended December 31, 2000 (filed herewith)</w:t>
      </w:r>
    </w:p>
    <w:p>
      <w:pPr>
        <w:spacing w:after="0" w:line="159"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21.0Subsidiaries (filed herewith)</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23.0Consent of PricewaterhouseCoopers LLP (filed herewith)</w:t>
      </w:r>
    </w:p>
    <w:p>
      <w:pPr>
        <w:sectPr>
          <w:pgSz w:w="11900" w:h="16838" w:orient="portrait"/>
          <w:cols w:equalWidth="0" w:num="1">
            <w:col w:w="10239"/>
          </w:cols>
          <w:pgMar w:left="220" w:top="620" w:right="1440" w:bottom="0" w:gutter="0" w:footer="0" w:header="0"/>
        </w:sectPr>
      </w:pPr>
    </w:p>
    <w:bookmarkStart w:id="28" w:name="page29"/>
    <w:bookmarkEnd w:id="28"/>
    <w:p>
      <w:pPr>
        <w:ind w:left="791"/>
        <w:spacing w:after="0"/>
        <w:tabs>
          <w:tab w:leader="none" w:pos="1551"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Risk factors (filed herewith)</w:t>
      </w:r>
    </w:p>
    <w:p>
      <w:pPr>
        <w:spacing w:after="0" w:line="175" w:lineRule="exact"/>
        <w:rPr>
          <w:sz w:val="20"/>
          <w:szCs w:val="20"/>
          <w:color w:val="auto"/>
        </w:rPr>
      </w:pPr>
    </w:p>
    <w:p>
      <w:pPr>
        <w:ind w:left="791" w:right="3459" w:hanging="791"/>
        <w:spacing w:after="0" w:line="255" w:lineRule="auto"/>
        <w:tabs>
          <w:tab w:leader="none" w:pos="79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a similarly described exhibit included with the Registrant's Current Report on Form 8-K filed with the Commission on July 26, 1999.</w:t>
      </w:r>
    </w:p>
    <w:p>
      <w:pPr>
        <w:spacing w:after="0" w:line="162"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filed in connection with the Registrant's Registration Statement on Form S-1 (File No. 333-5153) as amended, declared effective by the commission on September 25, 1996.</w:t>
      </w:r>
    </w:p>
    <w:p>
      <w:pPr>
        <w:spacing w:after="0" w:line="163"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0"/>
          </w:cols>
          <w:pgMar w:left="229" w:top="308" w:right="1440" w:bottom="1440" w:gutter="0" w:footer="0" w:header="0"/>
        </w:sectPr>
      </w:pPr>
    </w:p>
    <w:bookmarkStart w:id="29" w:name="page30"/>
    <w:bookmarkEnd w:id="29"/>
    <w:p>
      <w:pPr>
        <w:ind w:left="800" w:right="3279" w:hanging="791"/>
        <w:spacing w:after="0" w:line="255"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included with the Registrant's Annual Report on Form 10-K for the year ended December 31, 1998.</w:t>
      </w:r>
    </w:p>
    <w:p>
      <w:pPr>
        <w:spacing w:after="0" w:line="162"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filed in connection with the Company's Registration Statement on Form S-1 (File No. 333-28889), as amended, declared effective by the Commission on August 6, 1997.</w:t>
      </w:r>
    </w:p>
    <w:p>
      <w:pPr>
        <w:spacing w:after="0" w:line="163" w:lineRule="exact"/>
        <w:rPr>
          <w:rFonts w:ascii="Courier New" w:cs="Courier New" w:eastAsia="Courier New" w:hAnsi="Courier New"/>
          <w:sz w:val="14"/>
          <w:szCs w:val="14"/>
          <w:color w:val="auto"/>
        </w:rPr>
      </w:pPr>
    </w:p>
    <w:p>
      <w:pPr>
        <w:ind w:left="800" w:right="3279" w:hanging="791"/>
        <w:spacing w:after="0" w:line="255"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filed in connection with Amendment No. 2 to Offering Circular on Form OC (on Form S-1) filed on June 7, 1995.</w:t>
      </w:r>
    </w:p>
    <w:p>
      <w:pPr>
        <w:spacing w:after="0" w:line="162" w:lineRule="exact"/>
        <w:rPr>
          <w:rFonts w:ascii="Courier New" w:cs="Courier New" w:eastAsia="Courier New" w:hAnsi="Courier New"/>
          <w:sz w:val="14"/>
          <w:szCs w:val="14"/>
          <w:color w:val="auto"/>
        </w:rPr>
      </w:pPr>
    </w:p>
    <w:p>
      <w:pPr>
        <w:ind w:left="800" w:right="3459" w:hanging="791"/>
        <w:spacing w:after="0" w:line="258"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OAC's Current Report on Form 8-K filed with the Commission on July 11, 1998.</w:t>
      </w:r>
    </w:p>
    <w:p>
      <w:pPr>
        <w:spacing w:after="0" w:line="159" w:lineRule="exact"/>
        <w:rPr>
          <w:rFonts w:ascii="Courier New" w:cs="Courier New" w:eastAsia="Courier New" w:hAnsi="Courier New"/>
          <w:sz w:val="14"/>
          <w:szCs w:val="14"/>
          <w:color w:val="auto"/>
        </w:rPr>
      </w:pPr>
    </w:p>
    <w:p>
      <w:pPr>
        <w:ind w:left="800" w:right="3279" w:hanging="791"/>
        <w:spacing w:after="0" w:line="255"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OAC's Registration Statement on Form S-4 (File No. 333-64047), as amended, as declared effective by the Commission on February 12, 1999.</w:t>
      </w:r>
    </w:p>
    <w:p>
      <w:pPr>
        <w:spacing w:after="0" w:line="329" w:lineRule="exact"/>
        <w:rPr>
          <w:rFonts w:ascii="Courier New" w:cs="Courier New" w:eastAsia="Courier New" w:hAnsi="Courier New"/>
          <w:sz w:val="14"/>
          <w:szCs w:val="14"/>
          <w:color w:val="auto"/>
        </w:rPr>
      </w:pPr>
    </w:p>
    <w:p>
      <w:pPr>
        <w:ind w:left="800" w:right="3639" w:hanging="791"/>
        <w:spacing w:after="0" w:line="258"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Item 601 of Regulation S-K, Instruction (4)(iii), the Registrant agrees to furnish a copy to the Commission upon request.</w:t>
      </w:r>
    </w:p>
    <w:p>
      <w:pPr>
        <w:spacing w:after="0" w:line="159"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filed in connection with the Registrant's Registration Statement on Form S-8 ( File No. 333-44999), effective when filed with the Commission on January 28, 1998.</w:t>
      </w:r>
    </w:p>
    <w:p>
      <w:pPr>
        <w:spacing w:after="0" w:line="163"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to the Company's definitive Proxy Statement with respect to the Company's 1998 Annual Meeting of Shareholders as filed with the Commission on March 31, 1998.</w:t>
      </w:r>
    </w:p>
    <w:p>
      <w:pPr>
        <w:spacing w:after="0" w:line="163" w:lineRule="exact"/>
        <w:rPr>
          <w:rFonts w:ascii="Courier New" w:cs="Courier New" w:eastAsia="Courier New" w:hAnsi="Courier New"/>
          <w:sz w:val="14"/>
          <w:szCs w:val="14"/>
          <w:color w:val="auto"/>
        </w:rPr>
      </w:pPr>
    </w:p>
    <w:p>
      <w:pPr>
        <w:ind w:left="800" w:right="3379" w:hanging="791"/>
        <w:spacing w:after="0" w:line="258"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OAC's Quarterly Report on Form 10-Q for the quarterly period ended June 30, 1998.</w:t>
      </w:r>
    </w:p>
    <w:p>
      <w:pPr>
        <w:spacing w:after="0" w:line="159" w:lineRule="exact"/>
        <w:rPr>
          <w:rFonts w:ascii="Courier New" w:cs="Courier New" w:eastAsia="Courier New" w:hAnsi="Courier New"/>
          <w:sz w:val="14"/>
          <w:szCs w:val="14"/>
          <w:color w:val="auto"/>
        </w:rPr>
      </w:pPr>
    </w:p>
    <w:p>
      <w:pPr>
        <w:ind w:left="800" w:right="3379" w:hanging="791"/>
        <w:spacing w:after="0" w:line="258"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OAC's Quarterly Report on Form 10-Q for the quarterly period ended September 30, 1999.</w:t>
      </w:r>
    </w:p>
    <w:p>
      <w:pPr>
        <w:spacing w:after="0" w:line="159" w:lineRule="exact"/>
        <w:rPr>
          <w:rFonts w:ascii="Courier New" w:cs="Courier New" w:eastAsia="Courier New" w:hAnsi="Courier New"/>
          <w:sz w:val="14"/>
          <w:szCs w:val="14"/>
          <w:color w:val="auto"/>
        </w:rPr>
      </w:pPr>
    </w:p>
    <w:p>
      <w:pPr>
        <w:ind w:left="800" w:right="3279" w:hanging="791"/>
        <w:spacing w:after="0" w:line="255"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included with the Registrant's Quarterly Report on Form 10-Q for the quarterly period ended March 31, 2000.</w:t>
      </w:r>
    </w:p>
    <w:p>
      <w:pPr>
        <w:spacing w:after="0" w:line="162" w:lineRule="exact"/>
        <w:rPr>
          <w:rFonts w:ascii="Courier New" w:cs="Courier New" w:eastAsia="Courier New" w:hAnsi="Courier New"/>
          <w:sz w:val="14"/>
          <w:szCs w:val="14"/>
          <w:color w:val="auto"/>
        </w:rPr>
      </w:pPr>
    </w:p>
    <w:p>
      <w:pPr>
        <w:ind w:left="800" w:right="3279" w:hanging="791"/>
        <w:spacing w:after="0" w:line="258"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"Note 23: Basic and Diluted Earnings per Share" on pages 99 to 100 of the 2000 Annual Report to Shareholders.</w:t>
      </w:r>
    </w:p>
    <w:p>
      <w:pPr>
        <w:spacing w:after="0" w:line="16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FINANCIAL STATEMENTS AND SCHEDULES. The following Consolidated Financial Statements of Ocwen Financial Corporation and Report of PricewaterhouseCoopers LLP, Independent Certified Public Accountants, are incorporated herein by reference from pages 62 to 119 of the 2000 Annual Report to Shareholders:</w:t>
      </w:r>
    </w:p>
    <w:p>
      <w:pPr>
        <w:spacing w:after="0" w:line="33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Report of Independent Certified Public Accountants</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Consolidated Statements of Financial Condition at December 31, 2000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175"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Consolidated Statements of Operations for each of the three years in the period ended December 31, 2000</w:t>
      </w:r>
    </w:p>
    <w:p>
      <w:pPr>
        <w:spacing w:after="0" w:line="160"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Consolidated Statements of Changes in Shareholders' Equity for each of the three years in the period ended December 31, 2000</w:t>
      </w:r>
    </w:p>
    <w:p>
      <w:pPr>
        <w:spacing w:after="0" w:line="160"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Consolidated statements of Comprehensive Income for each of the three years in the period ended December 31, 2000</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Consolidated Statements of Cash Flows for each of the three years in the period ended December 31, 2000</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30" w:name="page31"/>
    <w:bookmarkEnd w:id="30"/>
    <w:p>
      <w:pPr>
        <w:jc w:val="both"/>
        <w:ind w:right="3539" w:firstLine="781"/>
        <w:spacing w:after="0" w:line="255" w:lineRule="auto"/>
        <w:rPr>
          <w:sz w:val="20"/>
          <w:szCs w:val="20"/>
          <w:color w:val="auto"/>
        </w:rPr>
      </w:pPr>
      <w:r>
        <w:rPr>
          <w:rFonts w:ascii="Courier New" w:cs="Courier New" w:eastAsia="Courier New" w:hAnsi="Courier New"/>
          <w:sz w:val="14"/>
          <w:szCs w:val="14"/>
          <w:color w:val="auto"/>
        </w:rPr>
        <w:t>Financial statement schedules have been omitted because they are not applicable or the required information is shown in the Consolidated Financial Statements or notes thereto.</w:t>
      </w:r>
    </w:p>
    <w:p>
      <w:pPr>
        <w:spacing w:after="0" w:line="162" w:lineRule="exact"/>
        <w:rPr>
          <w:sz w:val="20"/>
          <w:szCs w:val="20"/>
          <w:color w:val="auto"/>
        </w:rPr>
      </w:pPr>
    </w:p>
    <w:p>
      <w:pPr>
        <w:ind w:left="800" w:hanging="791"/>
        <w:spacing w:after="0"/>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FILED DURING THE QUARTER ENDED DECEMBER 31, 2000</w:t>
      </w:r>
    </w:p>
    <w:p>
      <w:pPr>
        <w:spacing w:after="0" w:line="175" w:lineRule="exact"/>
        <w:rPr>
          <w:sz w:val="20"/>
          <w:szCs w:val="20"/>
          <w:color w:val="auto"/>
        </w:rPr>
      </w:pPr>
    </w:p>
    <w:p>
      <w:pPr>
        <w:ind w:left="800" w:right="3279" w:hanging="791"/>
        <w:spacing w:after="0" w:line="255"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8-K was filed by the Company on November 9, 2000 which contained a news release announcing its 2000 third quarter results and certain other information.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31" w:name="page32"/>
    <w:bookmarkEnd w:id="31"/>
    <w:p>
      <w:pPr>
        <w:jc w:val="center"/>
        <w:ind w:right="327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OCWEN FINANCIAL CORPORATION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 /s/ WILLIAM C. ERBEY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William C. Erbey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Chairman of the Board and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Chief Executive Officer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(duly authorized representative)</w:t>
      </w:r>
    </w:p>
    <w:p>
      <w:pPr>
        <w:spacing w:after="0" w:line="34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March 30, 2001</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as amended,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20"/>
                <w:szCs w:val="20"/>
                <w:color w:val="auto"/>
              </w:rPr>
            </w:pPr>
            <w:r>
              <w:rPr>
                <w:rFonts w:ascii="Courier New" w:cs="Courier New" w:eastAsia="Courier New" w:hAnsi="Courier New"/>
                <w:sz w:val="14"/>
                <w:szCs w:val="14"/>
                <w:color w:val="auto"/>
              </w:rPr>
              <w:t>/s/ WILLIAM C. ERBEY</w:t>
            </w:r>
          </w:p>
        </w:tc>
        <w:tc>
          <w:tcPr>
            <w:tcW w:w="1060" w:type="dxa"/>
            <w:vAlign w:val="bottom"/>
          </w:tcPr>
          <w:p>
            <w:pPr>
              <w:ind w:left="360"/>
              <w:spacing w:after="0"/>
              <w:rPr>
                <w:sz w:val="20"/>
                <w:szCs w:val="20"/>
                <w:color w:val="auto"/>
              </w:rPr>
            </w:pPr>
            <w:r>
              <w:rPr>
                <w:rFonts w:ascii="Courier New" w:cs="Courier New" w:eastAsia="Courier New" w:hAnsi="Courier New"/>
                <w:sz w:val="14"/>
                <w:szCs w:val="14"/>
                <w:color w:val="auto"/>
              </w:rPr>
              <w:t>Date:</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30, 2001</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William C. Erbey, Chairman of the</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Board and Chief Executive Officer</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(principal executive officer)</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/s/ BARRY N. WISH</w:t>
            </w:r>
          </w:p>
        </w:tc>
        <w:tc>
          <w:tcPr>
            <w:tcW w:w="1060" w:type="dxa"/>
            <w:vAlign w:val="bottom"/>
          </w:tcPr>
          <w:p>
            <w:pPr>
              <w:ind w:left="360"/>
              <w:spacing w:after="0"/>
              <w:rPr>
                <w:sz w:val="20"/>
                <w:szCs w:val="20"/>
                <w:color w:val="auto"/>
              </w:rPr>
            </w:pPr>
            <w:r>
              <w:rPr>
                <w:rFonts w:ascii="Courier New" w:cs="Courier New" w:eastAsia="Courier New" w:hAnsi="Courier New"/>
                <w:sz w:val="14"/>
                <w:szCs w:val="14"/>
                <w:color w:val="auto"/>
              </w:rPr>
              <w:t>Date:</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30, 2001</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Barry N. Wish, Director</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/s/ W. C. MARTIN</w:t>
            </w:r>
          </w:p>
        </w:tc>
        <w:tc>
          <w:tcPr>
            <w:tcW w:w="1060" w:type="dxa"/>
            <w:vAlign w:val="bottom"/>
          </w:tcPr>
          <w:p>
            <w:pPr>
              <w:ind w:left="360"/>
              <w:spacing w:after="0"/>
              <w:rPr>
                <w:sz w:val="20"/>
                <w:szCs w:val="20"/>
                <w:color w:val="auto"/>
              </w:rPr>
            </w:pPr>
            <w:r>
              <w:rPr>
                <w:rFonts w:ascii="Courier New" w:cs="Courier New" w:eastAsia="Courier New" w:hAnsi="Courier New"/>
                <w:sz w:val="14"/>
                <w:szCs w:val="14"/>
                <w:color w:val="auto"/>
              </w:rPr>
              <w:t>Date:</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30, 2001</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W.C. Martin, Director</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/s/ HOWARD H. SIMON</w:t>
            </w:r>
          </w:p>
        </w:tc>
        <w:tc>
          <w:tcPr>
            <w:tcW w:w="1060" w:type="dxa"/>
            <w:vAlign w:val="bottom"/>
          </w:tcPr>
          <w:p>
            <w:pPr>
              <w:ind w:left="360"/>
              <w:spacing w:after="0"/>
              <w:rPr>
                <w:sz w:val="20"/>
                <w:szCs w:val="20"/>
                <w:color w:val="auto"/>
              </w:rPr>
            </w:pPr>
            <w:r>
              <w:rPr>
                <w:rFonts w:ascii="Courier New" w:cs="Courier New" w:eastAsia="Courier New" w:hAnsi="Courier New"/>
                <w:sz w:val="14"/>
                <w:szCs w:val="14"/>
                <w:color w:val="auto"/>
              </w:rPr>
              <w:t>Date:</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30, 2001</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Howard H. Simon, Director</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/s/ HON. THOMAS F. LEWIS</w:t>
            </w:r>
          </w:p>
        </w:tc>
        <w:tc>
          <w:tcPr>
            <w:tcW w:w="1060" w:type="dxa"/>
            <w:vAlign w:val="bottom"/>
          </w:tcPr>
          <w:p>
            <w:pPr>
              <w:ind w:left="360"/>
              <w:spacing w:after="0"/>
              <w:rPr>
                <w:sz w:val="20"/>
                <w:szCs w:val="20"/>
                <w:color w:val="auto"/>
              </w:rPr>
            </w:pPr>
            <w:r>
              <w:rPr>
                <w:rFonts w:ascii="Courier New" w:cs="Courier New" w:eastAsia="Courier New" w:hAnsi="Courier New"/>
                <w:sz w:val="14"/>
                <w:szCs w:val="14"/>
                <w:color w:val="auto"/>
              </w:rPr>
              <w:t>Date:</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30, 2001</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Hon. Thomas F. Lewis, Director</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/s/ MARK S. ZEIDMAN</w:t>
            </w:r>
          </w:p>
        </w:tc>
        <w:tc>
          <w:tcPr>
            <w:tcW w:w="1060" w:type="dxa"/>
            <w:vAlign w:val="bottom"/>
          </w:tcPr>
          <w:p>
            <w:pPr>
              <w:ind w:left="360"/>
              <w:spacing w:after="0"/>
              <w:rPr>
                <w:sz w:val="20"/>
                <w:szCs w:val="20"/>
                <w:color w:val="auto"/>
              </w:rPr>
            </w:pPr>
            <w:r>
              <w:rPr>
                <w:rFonts w:ascii="Courier New" w:cs="Courier New" w:eastAsia="Courier New" w:hAnsi="Courier New"/>
                <w:sz w:val="14"/>
                <w:szCs w:val="14"/>
                <w:color w:val="auto"/>
              </w:rPr>
              <w:t>Date:</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30, 2001</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Mark S. Zeidman, Senior Vice President and</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Chief Financial Officer</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(principal financial officer)</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/s/ ROBERT J. LEIST, JR.</w:t>
            </w:r>
          </w:p>
        </w:tc>
        <w:tc>
          <w:tcPr>
            <w:tcW w:w="1060" w:type="dxa"/>
            <w:vAlign w:val="bottom"/>
          </w:tcPr>
          <w:p>
            <w:pPr>
              <w:ind w:left="360"/>
              <w:spacing w:after="0"/>
              <w:rPr>
                <w:sz w:val="20"/>
                <w:szCs w:val="20"/>
                <w:color w:val="auto"/>
              </w:rPr>
            </w:pPr>
            <w:r>
              <w:rPr>
                <w:rFonts w:ascii="Courier New" w:cs="Courier New" w:eastAsia="Courier New" w:hAnsi="Courier New"/>
                <w:sz w:val="14"/>
                <w:szCs w:val="14"/>
                <w:color w:val="auto"/>
              </w:rPr>
              <w:t>Date:</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30, 2001</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Robert J. Leist, Jr., Vice President and Chief</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Accounting Officer</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(principal accounting officer)</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4"/>
        </w:trPr>
        <w:tc>
          <w:tcPr>
            <w:tcW w:w="4340" w:type="dxa"/>
            <w:vAlign w:val="bottom"/>
          </w:tcPr>
          <w:p>
            <w:pPr>
              <w:ind w:left="3400"/>
              <w:spacing w:after="0"/>
              <w:rPr>
                <w:sz w:val="20"/>
                <w:szCs w:val="20"/>
                <w:color w:val="auto"/>
              </w:rPr>
            </w:pPr>
            <w:r>
              <w:rPr>
                <w:rFonts w:ascii="Courier New" w:cs="Courier New" w:eastAsia="Courier New" w:hAnsi="Courier New"/>
                <w:sz w:val="14"/>
                <w:szCs w:val="14"/>
                <w:color w:val="auto"/>
              </w:rPr>
              <w:t>28</w:t>
            </w: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20"/>
                <w:szCs w:val="20"/>
                <w:color w:val="auto"/>
              </w:rPr>
            </w:pPr>
            <w:r>
              <w:rPr>
                <w:rFonts w:ascii="Courier New" w:cs="Courier New" w:eastAsia="Courier New" w:hAnsi="Courier New"/>
                <w:sz w:val="14"/>
                <w:szCs w:val="14"/>
                <w:color w:val="auto"/>
              </w:rPr>
              <w:t>FINANCIAL TABLE OF CONTENTS</w:t>
            </w:r>
          </w:p>
        </w:tc>
        <w:tc>
          <w:tcPr>
            <w:tcW w:w="340" w:type="dxa"/>
            <w:vAlign w:val="bottom"/>
          </w:tcPr>
          <w:p>
            <w:pPr>
              <w:spacing w:after="0"/>
              <w:rPr>
                <w:sz w:val="14"/>
                <w:szCs w:val="14"/>
                <w:color w:val="auto"/>
              </w:rPr>
            </w:pPr>
          </w:p>
        </w:tc>
      </w:tr>
      <w:tr>
        <w:trPr>
          <w:trHeight w:val="334"/>
        </w:trPr>
        <w:tc>
          <w:tcPr>
            <w:tcW w:w="6440" w:type="dxa"/>
            <w:vAlign w:val="bottom"/>
          </w:tcPr>
          <w:p>
            <w:pPr>
              <w:spacing w:after="0"/>
              <w:rPr>
                <w:sz w:val="20"/>
                <w:szCs w:val="20"/>
                <w:color w:val="auto"/>
              </w:rPr>
            </w:pPr>
            <w:r>
              <w:rPr>
                <w:rFonts w:ascii="Courier New" w:cs="Courier New" w:eastAsia="Courier New" w:hAnsi="Courier New"/>
                <w:sz w:val="14"/>
                <w:szCs w:val="14"/>
                <w:color w:val="auto"/>
              </w:rPr>
              <w:t>SELECTED CONSOLIDATED FINANCIAL INFORMATION..............................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4"/>
        </w:trPr>
        <w:tc>
          <w:tcPr>
            <w:tcW w:w="644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w:t>
            </w:r>
          </w:p>
        </w:tc>
        <w:tc>
          <w:tcPr>
            <w:tcW w:w="340" w:type="dxa"/>
            <w:vAlign w:val="bottom"/>
          </w:tcPr>
          <w:p>
            <w:pPr>
              <w:spacing w:after="0"/>
              <w:rPr>
                <w:sz w:val="24"/>
                <w:szCs w:val="24"/>
                <w:color w:val="auto"/>
              </w:rPr>
            </w:pPr>
          </w:p>
        </w:tc>
      </w:tr>
      <w:tr>
        <w:trPr>
          <w:trHeight w:val="167"/>
        </w:trPr>
        <w:tc>
          <w:tcPr>
            <w:tcW w:w="6440" w:type="dxa"/>
            <w:vAlign w:val="bottom"/>
          </w:tcPr>
          <w:p>
            <w:pPr>
              <w:spacing w:after="0"/>
              <w:rPr>
                <w:sz w:val="20"/>
                <w:szCs w:val="20"/>
                <w:color w:val="auto"/>
              </w:rPr>
            </w:pPr>
            <w:r>
              <w:rPr>
                <w:rFonts w:ascii="Courier New" w:cs="Courier New" w:eastAsia="Courier New" w:hAnsi="Courier New"/>
                <w:sz w:val="14"/>
                <w:szCs w:val="14"/>
                <w:color w:val="auto"/>
              </w:rPr>
              <w:t>FINANCIAL CONDITION AND RESULTS OF OPERATIONS............................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4"/>
        </w:trPr>
        <w:tc>
          <w:tcPr>
            <w:tcW w:w="6440" w:type="dxa"/>
            <w:vAlign w:val="bottom"/>
          </w:tcPr>
          <w:p>
            <w:pPr>
              <w:spacing w:after="0"/>
              <w:rPr>
                <w:sz w:val="20"/>
                <w:szCs w:val="20"/>
                <w:color w:val="auto"/>
              </w:rPr>
            </w:pPr>
            <w:r>
              <w:rPr>
                <w:rFonts w:ascii="Courier New" w:cs="Courier New" w:eastAsia="Courier New" w:hAnsi="Courier New"/>
                <w:sz w:val="14"/>
                <w:szCs w:val="14"/>
                <w:color w:val="auto"/>
              </w:rPr>
              <w:t>REPORT OF MANAGEMENT.....................................................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4"/>
        </w:trPr>
        <w:tc>
          <w:tcPr>
            <w:tcW w:w="6440" w:type="dxa"/>
            <w:vAlign w:val="bottom"/>
          </w:tcPr>
          <w:p>
            <w:pPr>
              <w:spacing w:after="0"/>
              <w:rPr>
                <w:sz w:val="20"/>
                <w:szCs w:val="20"/>
                <w:color w:val="auto"/>
              </w:rPr>
            </w:pPr>
            <w:r>
              <w:rPr>
                <w:rFonts w:ascii="Courier New" w:cs="Courier New" w:eastAsia="Courier New" w:hAnsi="Courier New"/>
                <w:sz w:val="14"/>
                <w:szCs w:val="14"/>
                <w:color w:val="auto"/>
              </w:rPr>
              <w:t>REPORT OF INDEPENDENT CERTIFIED PUBLIC ACCOUNTANTS.......................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334"/>
        </w:trPr>
        <w:tc>
          <w:tcPr>
            <w:tcW w:w="6440" w:type="dxa"/>
            <w:vAlign w:val="bottom"/>
          </w:tcPr>
          <w:p>
            <w:pPr>
              <w:spacing w:after="0"/>
              <w:rPr>
                <w:sz w:val="20"/>
                <w:szCs w:val="20"/>
                <w:color w:val="auto"/>
              </w:rPr>
            </w:pPr>
            <w:r>
              <w:rPr>
                <w:rFonts w:ascii="Courier New" w:cs="Courier New" w:eastAsia="Courier New" w:hAnsi="Courier New"/>
                <w:sz w:val="14"/>
                <w:szCs w:val="14"/>
                <w:color w:val="auto"/>
              </w:rPr>
              <w:t>CONSOLIDATED FINANCIAL 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334"/>
        </w:trPr>
        <w:tc>
          <w:tcPr>
            <w:tcW w:w="6440" w:type="dxa"/>
            <w:vAlign w:val="bottom"/>
          </w:tcPr>
          <w:p>
            <w:pPr>
              <w:spacing w:after="0"/>
              <w:rPr>
                <w:sz w:val="20"/>
                <w:szCs w:val="20"/>
                <w:color w:val="auto"/>
              </w:rPr>
            </w:pPr>
            <w:r>
              <w:rPr>
                <w:rFonts w:ascii="Courier New" w:cs="Courier New" w:eastAsia="Courier New" w:hAnsi="Courier New"/>
                <w:sz w:val="14"/>
                <w:szCs w:val="14"/>
                <w:color w:val="auto"/>
              </w:rPr>
              <w:t>SHAREHOLDER INFORMATION..................................................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501"/>
        </w:trPr>
        <w:tc>
          <w:tcPr>
            <w:tcW w:w="6440" w:type="dxa"/>
            <w:vAlign w:val="bottom"/>
          </w:tcPr>
          <w:p>
            <w:pPr>
              <w:ind w:left="3400"/>
              <w:spacing w:after="0"/>
              <w:rPr>
                <w:sz w:val="20"/>
                <w:szCs w:val="20"/>
                <w:color w:val="auto"/>
              </w:rPr>
            </w:pPr>
            <w:r>
              <w:rPr>
                <w:rFonts w:ascii="Courier New" w:cs="Courier New" w:eastAsia="Courier New" w:hAnsi="Courier New"/>
                <w:sz w:val="14"/>
                <w:szCs w:val="14"/>
                <w:color w:val="auto"/>
              </w:rPr>
              <w:t>9</w:t>
            </w:r>
          </w:p>
        </w:tc>
        <w:tc>
          <w:tcPr>
            <w:tcW w:w="340" w:type="dxa"/>
            <w:vAlign w:val="bottom"/>
          </w:tcPr>
          <w:p>
            <w:pPr>
              <w:spacing w:after="0"/>
              <w:rPr>
                <w:sz w:val="24"/>
                <w:szCs w:val="24"/>
                <w:color w:val="auto"/>
              </w:rPr>
            </w:pPr>
          </w:p>
        </w:tc>
      </w:tr>
    </w:tbl>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CONSOLIDATED FINANCIAL INFORMATION</w:t>
      </w:r>
    </w:p>
    <w:p>
      <w:pPr>
        <w:spacing w:after="0" w:line="175" w:lineRule="exact"/>
        <w:rPr>
          <w:sz w:val="20"/>
          <w:szCs w:val="20"/>
          <w:color w:val="auto"/>
        </w:rPr>
      </w:pPr>
    </w:p>
    <w:p>
      <w:pPr>
        <w:ind w:right="4500" w:firstLine="781"/>
        <w:spacing w:after="0" w:line="253" w:lineRule="auto"/>
        <w:rPr>
          <w:sz w:val="20"/>
          <w:szCs w:val="20"/>
          <w:color w:val="auto"/>
        </w:rPr>
      </w:pPr>
      <w:r>
        <w:rPr>
          <w:rFonts w:ascii="Courier New" w:cs="Courier New" w:eastAsia="Courier New" w:hAnsi="Courier New"/>
          <w:sz w:val="14"/>
          <w:szCs w:val="14"/>
          <w:color w:val="auto"/>
        </w:rPr>
        <w:t>The following tables present selected consolidated financial information of Ocwen Financial Corporation and its subsidiaries ("OCN" or the "Company") at the dates and for the periods indicated. The historical operations and balance sheet data at and for the years ended December 31, 2000, 1999, 1998, 1997 and 1996 have been derived from financial statements audited by PricewaterhouseCoopers LLP, independent certified public accountants. Certain amounts included in the 1999, 1998, 1997 and 1996 selected consolidated financial information have been reclassified to conform to the 2000 presentation. The selected consolidated financial information should be read in conjunction with, and is qualified in its entirety by reference to, the information contained in the Consolidated Financial Statements and the Notes to Consolidated Financial Statements on pages 70 to 119.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40" w:type="dxa"/>
            <w:vAlign w:val="bottom"/>
            <w:gridSpan w:val="5"/>
          </w:tcPr>
          <w:p>
            <w:pPr>
              <w:jc w:val="right"/>
              <w:ind w:right="588"/>
              <w:spacing w:after="0"/>
              <w:rPr>
                <w:sz w:val="20"/>
                <w:szCs w:val="20"/>
                <w:color w:val="auto"/>
              </w:rPr>
            </w:pPr>
            <w:r>
              <w:rPr>
                <w:rFonts w:ascii="Courier New" w:cs="Courier New" w:eastAsia="Courier New" w:hAnsi="Courier New"/>
                <w:sz w:val="14"/>
                <w:szCs w:val="14"/>
                <w:color w:val="auto"/>
              </w:rPr>
              <w:t>For the Year Ended December 31,</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6340" w:type="dxa"/>
            <w:vAlign w:val="bottom"/>
            <w:gridSpan w:val="11"/>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OPERATIONS DATA:</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Interest income ..........................................</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184,816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253,224</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307,694</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272,531</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193,894</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169,090</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155,542</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184,893</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156,289</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116,160</w:t>
            </w: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interest income before provision for loan losses...</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15,726</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97,682</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122,801</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116,242</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77,734</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loan losses (2)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15,177</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6,710</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18,509</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32,218</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22,450</w:t>
            </w: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interest income after provision for loan losses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549</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90,972</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104,292</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84,024</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55,284</w:t>
            </w: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Servicing and other fees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97,080</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76,018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59,180</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25,962</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4,682</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Gain on interest-earning assets, net (3)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18,580</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44,298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129,988</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82,212</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21,682</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Unrealized loss on trading securities, net (4) ...........</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(4,926)</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Impairment charges on securities available for sale ......</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(11,597)</w:t>
            </w:r>
          </w:p>
        </w:tc>
        <w:tc>
          <w:tcPr>
            <w:tcW w:w="30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(58,777)</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(129,714)</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(Loss) gain on real estate owned, net ....................</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(13,464)</w:t>
            </w:r>
          </w:p>
        </w:tc>
        <w:tc>
          <w:tcPr>
            <w:tcW w:w="30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(2,060)</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14,033</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7,276</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3,827</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Gain on other non-interest earning assets, net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45,517</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58,693</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17,702</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6,052</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4,861</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Net operating gains (losses) on investments in real</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estate</w:t>
            </w:r>
          </w:p>
        </w:tc>
        <w:tc>
          <w:tcPr>
            <w:tcW w:w="4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26,140</w:t>
            </w:r>
          </w:p>
        </w:tc>
        <w:tc>
          <w:tcPr>
            <w:tcW w:w="30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(1,077)</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(1,715)</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excess of net assets acquired over</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purchase price (1)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14,112</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3,201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6,083</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24,346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21,993</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2,446</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2,252</w:t>
            </w: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Total non-interest income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177,525</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144,642</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111,467</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124,092</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37,757</w:t>
            </w: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Compensation and employee benefits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83,086</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102,173</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115,556</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77,573</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39,043</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Occupancy and equipment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12,005</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18,501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17,652</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8,742</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4,313</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Technology and communication costs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22,515</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19,647</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17,560</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9,492</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4,907</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Loan expenses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13,051</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12,618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25,373</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7,059</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4,111</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Net operating losses on investments in certain low-income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housing tax credit interests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9,931</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6,291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6,905</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4,935</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excess of purchase price over net assets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acquired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3,124</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4,448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11,614</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557</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Professional services and regulatory fees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13,275</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14,205</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18,082</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7,611</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6,607</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Other operating expenses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13,022</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17,185</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13,804</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11,048</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11,051</w:t>
            </w: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Total non-interest expense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170,009</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195,068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226,546</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127,017</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70,060</w:t>
            </w: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Distributions on Company-obligated, mandatorily redeemable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securities of subsidiary trust holding solely junior</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subordinated debentures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11,380</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13,111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13,594</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5,249</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Equity in (losses) earnings of investments in</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unconsolidated entities (6) ...........................</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(5,249)</w:t>
            </w:r>
          </w:p>
        </w:tc>
        <w:tc>
          <w:tcPr>
            <w:tcW w:w="30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(12,616)</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(7,985)</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23,688</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38,320</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 benefit .............................</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(7,957)</w:t>
            </w:r>
          </w:p>
        </w:tc>
        <w:tc>
          <w:tcPr>
            <w:tcW w:w="30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(2,608)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30,699</w:t>
            </w:r>
          </w:p>
        </w:tc>
        <w:tc>
          <w:tcPr>
            <w:tcW w:w="3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(21,309)</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(11,159)</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 in net loss of consolidated subsidiary..</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467</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703</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(Loss) income before extraordinary gain ..................</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(16,521)</w:t>
            </w:r>
          </w:p>
        </w:tc>
        <w:tc>
          <w:tcPr>
            <w:tcW w:w="3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12,849</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(1,200)</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78,932</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50,142</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Extraordinary gain on repurchase of debt, net of taxes ...</w:t>
            </w:r>
          </w:p>
        </w:tc>
        <w:tc>
          <w:tcPr>
            <w:tcW w:w="4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18,713</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6,983</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 ........................................</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2,192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19,832</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(1,200)</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78,932</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50,142</w:t>
            </w:r>
          </w:p>
        </w:tc>
      </w:tr>
      <w:tr>
        <w:trPr>
          <w:trHeight w:val="167"/>
        </w:trPr>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(Loss) income before extraordinary gain per share (7):</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5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Basic .................................................</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(0.02)</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0.99</w:t>
            </w:r>
          </w:p>
        </w:tc>
      </w:tr>
      <w:tr>
        <w:trPr>
          <w:trHeight w:val="167"/>
        </w:trPr>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4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(0.02)</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0.94</w:t>
            </w:r>
          </w:p>
        </w:tc>
      </w:tr>
      <w:tr>
        <w:trPr>
          <w:trHeight w:val="167"/>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 per share (7):</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Basic .................................................</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0.31</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(0.02)</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0.99</w:t>
            </w:r>
          </w:p>
        </w:tc>
      </w:tr>
      <w:tr>
        <w:trPr>
          <w:trHeight w:val="167"/>
        </w:trPr>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4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0.31</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(0.02)</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0.94</w:t>
            </w:r>
          </w:p>
        </w:tc>
      </w:tr>
    </w:tbl>
    <w:p>
      <w:pPr>
        <w:sectPr>
          <w:pgSz w:w="11900" w:h="16839" w:orient="portrait"/>
          <w:cols w:equalWidth="0" w:num="1">
            <w:col w:w="11460"/>
          </w:cols>
          <w:pgMar w:left="220" w:top="308" w:right="219" w:bottom="0" w:gutter="0" w:footer="0" w:header="0"/>
        </w:sectPr>
      </w:pPr>
    </w:p>
    <w:bookmarkStart w:id="33" w:name="page34"/>
    <w:bookmarkEnd w:id="33"/>
    <w:p>
      <w:pPr>
        <w:ind w:left="2180"/>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9019"/>
          </w:cols>
          <w:pgMar w:left="1440" w:top="475"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60" w:type="dxa"/>
            <w:vAlign w:val="bottom"/>
            <w:gridSpan w:val="5"/>
          </w:tcPr>
          <w:p>
            <w:pPr>
              <w:jc w:val="right"/>
              <w:ind w:right="508"/>
              <w:spacing w:after="0"/>
              <w:rPr>
                <w:sz w:val="20"/>
                <w:szCs w:val="20"/>
                <w:color w:val="auto"/>
              </w:rPr>
            </w:pPr>
            <w:r>
              <w:rPr>
                <w:rFonts w:ascii="Courier New" w:cs="Courier New" w:eastAsia="Courier New" w:hAnsi="Courier New"/>
                <w:sz w:val="14"/>
                <w:szCs w:val="14"/>
                <w:color w:val="auto"/>
              </w:rPr>
              <w:t>For the Year Ended December 31,</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120" w:type="dxa"/>
            <w:vAlign w:val="bottom"/>
          </w:tcPr>
          <w:p>
            <w:pPr>
              <w:spacing w:after="0"/>
              <w:rPr>
                <w:sz w:val="14"/>
                <w:szCs w:val="14"/>
                <w:color w:val="auto"/>
              </w:rPr>
            </w:pPr>
          </w:p>
        </w:tc>
        <w:tc>
          <w:tcPr>
            <w:tcW w:w="6340" w:type="dxa"/>
            <w:vAlign w:val="bottom"/>
            <w:gridSpan w:val="11"/>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512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Total assets .............................................</w:t>
            </w:r>
          </w:p>
        </w:tc>
        <w:tc>
          <w:tcPr>
            <w:tcW w:w="2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2,249,420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3,281,674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3,301,083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3,048,149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2,468,499</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Trading securities, at fair value (4)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390,242</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 at fair value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587,518</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593,347</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441,638</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354,005</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Loans available for sale, at lower of cost or market (8)..</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10,610</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45,213</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177,847</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177,041</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126,366</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Real estate held for sale (9)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22,670</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Low-income housing tax credits held for sale (10)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87,083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Loan portfolio, net (8)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93,414</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157,408</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230,312</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266,299</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402,582</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Discount loan portfolio (8)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536,028</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913,229</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1,026,511</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1,434,176</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1,060,953</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Match funded loans and securities, net (11)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116,987</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157,794</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Investments in low-income housing tax credit interests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55,729</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150,989</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144,164</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128,614</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93,309</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Investment in unconsolidated entities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37,118</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86,893</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38,684</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68,011</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Real estate owned, net (12)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146,419</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167,506</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201,551</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167,265</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103,704</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Investments in real estate (13)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122,761</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268,241</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36,860</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76,340</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41,034</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Advances on loans and loans serviced for others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277,055</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162,548</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108,078</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51,061</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27,551</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Mortgage servicing rights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51,426</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11,683</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7,060</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5,739</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2,418</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Deposits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1,258,360</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1,814,647</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2,168,791</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1,965,844</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1,907,313</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Borrowings and other interest-bearing obligations (14)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313,313</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694,319</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476,336</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453,529</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300,118</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Company-obligated mandatory redeemable securities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of subsidiary trust holding solely junior subordinate</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debentures of the Company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79,530</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110,000</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125,000</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125,000</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Stockholders' equity (15)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503,426</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509,442</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436,376</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419,692</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203,596</w:t>
            </w: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Average assets (16) ......................................</w:t>
            </w:r>
          </w:p>
        </w:tc>
        <w:tc>
          <w:tcPr>
            <w:tcW w:w="2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3,092,227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3,187,680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3,574,780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2,835,514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2,013,283</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Average equity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495,699</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462,216</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427,512</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290,030</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161,332</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Return on average assets (16):</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(Loss) income before extraordinary gain ...............</w:t>
            </w:r>
          </w:p>
        </w:tc>
        <w:tc>
          <w:tcPr>
            <w:tcW w:w="2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0.40%</w:t>
            </w:r>
          </w:p>
        </w:tc>
        <w:tc>
          <w:tcPr>
            <w:tcW w:w="2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2.78%</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Net income (loss)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0.07</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0.62</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Return on average equity:</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(Loss) income before extraordinary gain ...............</w:t>
            </w:r>
          </w:p>
        </w:tc>
        <w:tc>
          <w:tcPr>
            <w:tcW w:w="2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(0.28)</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27.22</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31.08</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Net income (loss)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0.44</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4.29</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(0.28)</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27.22</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31.08</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Average equity to average assets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14.50</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11.96</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10.23</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8.01</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Net interest spread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4.65</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4.81</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5.46</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Net interest margin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0.81</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4.42</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4.91</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Efficiency ratio (17)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90.43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84.92</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100.12</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48.11</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45.55</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Bank regulatory capital ratios at end of period:</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Tangible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10.67</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9.07</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10.66</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9.33</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Core (Leverage)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10.67</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9.07</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10.66</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9.33</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Risk-based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19.12</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17.26</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14.83</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Number of full-service offices at end of period ..........</w:t>
            </w:r>
          </w:p>
        </w:tc>
        <w:tc>
          <w:tcPr>
            <w:tcW w:w="2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501"/>
        </w:trPr>
        <w:tc>
          <w:tcPr>
            <w:tcW w:w="5120" w:type="dxa"/>
            <w:vAlign w:val="bottom"/>
          </w:tcPr>
          <w:p>
            <w:pPr>
              <w:ind w:left="3400"/>
              <w:spacing w:after="0"/>
              <w:rPr>
                <w:sz w:val="20"/>
                <w:szCs w:val="20"/>
                <w:color w:val="auto"/>
              </w:rPr>
            </w:pPr>
            <w:r>
              <w:rPr>
                <w:rFonts w:ascii="Courier New" w:cs="Courier New" w:eastAsia="Courier New" w:hAnsi="Courier New"/>
                <w:sz w:val="14"/>
                <w:szCs w:val="14"/>
                <w:color w:val="auto"/>
              </w:rPr>
              <w:t>11</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60"/>
          </w:cols>
          <w:pgMar w:left="220" w:top="787" w:right="219" w:bottom="1440" w:gutter="0" w:footer="0" w:header="0"/>
        </w:sectPr>
      </w:pPr>
    </w:p>
    <w:bookmarkStart w:id="35" w:name="page36"/>
    <w:bookmarkEnd w:id="35"/>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SELECTED CONSOLIDATED FINANCIAL INFORMATION</w:t>
      </w:r>
    </w:p>
    <w:p>
      <w:pPr>
        <w:spacing w:after="0" w:line="175" w:lineRule="exact"/>
        <w:rPr>
          <w:sz w:val="20"/>
          <w:szCs w:val="20"/>
          <w:color w:val="auto"/>
        </w:rPr>
      </w:pPr>
    </w:p>
    <w:p>
      <w:pPr>
        <w:ind w:left="800" w:right="3279" w:hanging="791"/>
        <w:spacing w:after="0" w:line="253"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for 1999 reflects the sale of the Company's wholly-owned UK subsidiary, Ocwen UK Limited, formerly known as Ocwen UK plc ("Ocwen UK"), on September 30, 1999 for a gain of $50,371. Ocwen UK was engaged in the subprime mortgage loan origination and servicing business and began operations on April 24, 1998. Financial data for 1999 also reflects the Company's acquisition of Ocwen Asset Investment Corp. ("OAC") on October 7, 1999 for a total purchase price of $101,271. The acquisition of OAC resulted in an excess of net assets acquired over the purchase price of $60,042, which is being amortized to earnings on a straight-line basis over a period of 39 months. Previously, the Company accounted for its investment in OAC and its operating partnership subsidiary, Ocwen Partnership L.P. ("OPLP"), under the equity method.</w:t>
      </w:r>
    </w:p>
    <w:p>
      <w:pPr>
        <w:spacing w:after="0" w:line="330" w:lineRule="exact"/>
        <w:rPr>
          <w:rFonts w:ascii="Courier New" w:cs="Courier New" w:eastAsia="Courier New" w:hAnsi="Courier New"/>
          <w:sz w:val="14"/>
          <w:szCs w:val="14"/>
          <w:color w:val="auto"/>
        </w:rPr>
      </w:pPr>
    </w:p>
    <w:p>
      <w:pPr>
        <w:ind w:left="800" w:right="3539" w:hanging="791"/>
        <w:spacing w:after="0" w:line="255"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loan losses in 2000, 1999, 1998, 1997 and 1996 consists primarily of $15,266, $5,434, $17,618, $31,894 and $20,578, respectively, related to the Company's discount loan portfolio.</w:t>
      </w:r>
    </w:p>
    <w:p>
      <w:pPr>
        <w:spacing w:after="0" w:line="162"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$36,804, $109,601, $71,933 and $15,161 of net gains recognized in connection with the securitization of loans during 1999, 1998, 1997 and 1996, respectively. During the third quarter of 1999, the Company made a decision to structure future securitizations as financing transactions, thereby precluding the use of gain-on-sale accounting. The Company executed no securitizations of loans during the second half of 1999 or during 2000.</w:t>
      </w:r>
    </w:p>
    <w:p>
      <w:pPr>
        <w:spacing w:after="0" w:line="164" w:lineRule="exact"/>
        <w:rPr>
          <w:rFonts w:ascii="Courier New" w:cs="Courier New" w:eastAsia="Courier New" w:hAnsi="Courier New"/>
          <w:sz w:val="14"/>
          <w:szCs w:val="14"/>
          <w:color w:val="auto"/>
        </w:rPr>
      </w:pPr>
    </w:p>
    <w:p>
      <w:pPr>
        <w:ind w:left="800" w:right="3379" w:hanging="791"/>
        <w:spacing w:after="0" w:line="253"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30, 2000 the Company changed its policy for securities available for sale and match funded securities to account for these securities as trading. For these securities, changes in fair value are reported in income in the period of change. Previously, the Company accounted for its securities as available for sale, and the unrealized gains and losses for these securities were reported as a separate component of accumulated other comprehensive income in stockholders' equity.</w:t>
      </w:r>
    </w:p>
    <w:p>
      <w:pPr>
        <w:spacing w:after="0" w:line="164" w:lineRule="exact"/>
        <w:rPr>
          <w:rFonts w:ascii="Courier New" w:cs="Courier New" w:eastAsia="Courier New" w:hAnsi="Courier New"/>
          <w:sz w:val="14"/>
          <w:szCs w:val="14"/>
          <w:color w:val="auto"/>
        </w:rPr>
      </w:pPr>
    </w:p>
    <w:p>
      <w:pPr>
        <w:ind w:left="800" w:right="3379" w:hanging="791"/>
        <w:spacing w:after="0" w:line="254"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for 2000 included operating income from investments in real estate properties acquired as a result of the OAC acquisition and equity in earnings related to certain acquisition, development and construction loans that were acquired during the first quarter of 2000 and accounted for as investments in real estate using the equity method.</w:t>
      </w:r>
    </w:p>
    <w:p>
      <w:pPr>
        <w:spacing w:after="0" w:line="329"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for 2000 related primarily to the Company's investment in Kensington Group plc ("Kensington"), which was sold on November 22, 2000 for a pretax gain of $20,025. Results for 1999 and 1998 related primarily to the Company's investment in Kensington and the Company's equity investments in OAC and OPLP, prior to their acquisition on October 7, 1999. Results for 1997 and 1996 related to the Company's investment in BCBF, L.L.C. (the "LLC"), a joint venture formed to acquire loans from the Department of Housing and Urban Development in April 1996. The LLC distributed all of its assets on December 12, 1997.</w:t>
      </w:r>
    </w:p>
    <w:p>
      <w:pPr>
        <w:spacing w:after="0" w:line="164" w:lineRule="exact"/>
        <w:rPr>
          <w:rFonts w:ascii="Courier New" w:cs="Courier New" w:eastAsia="Courier New" w:hAnsi="Courier New"/>
          <w:sz w:val="14"/>
          <w:szCs w:val="14"/>
          <w:color w:val="auto"/>
        </w:rPr>
      </w:pPr>
    </w:p>
    <w:p>
      <w:pPr>
        <w:ind w:left="800" w:right="3459" w:hanging="791"/>
        <w:spacing w:after="0" w:line="253"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per share amounts have been adjusted retroactively to reflect the 10-for-1 stock split in July 1996 and the 2-for-1 stock split in November 1997. In addition, all per share amounts have been adjusted for the adoption of Statement of Financial Accounting Standards No. 128, "Earnings per Share" in 1997. See Note 1 to the Consolidated Financial Statements (which is incorporated herein by reference).</w:t>
      </w:r>
    </w:p>
    <w:p>
      <w:pPr>
        <w:spacing w:after="0" w:line="165"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discount loan portfolio consists of mortgage loans purchased at a discount to the unpaid debt, most of which were non-performing or subperforming at the date of acquisition. The loan portfolio, net, and loans available for sale consist of other loans that were originated or purchased by the Company for investment or for potential sale, respectively. Data related to discount loans does not include discount loans held by the LLC.</w:t>
      </w:r>
    </w:p>
    <w:p>
      <w:pPr>
        <w:spacing w:after="0" w:line="164"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 held for sale consists of properties that the Company has engaged unaffiliated third parties to market and sell. These properties were previously held for investment and were acquired as a result of the OAC acquisition. See Note 12 to the Consolidated Financial Statements (which is incorporated herein by reference) for additional information.</w:t>
      </w:r>
    </w:p>
    <w:p>
      <w:pPr>
        <w:spacing w:after="0" w:line="329"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Low-income housing tax credits held for sale consists of low-income housing tax credit properties that the Company has entered into agreements to sell. Although these agreements resulted in the transfer of tax credits and operating results for these properties to the purchaser, they did not qualify as sales for accounting purposes. See Note 15 to the Consolidated Financial Statements (which is incorporated herein by reference) for additional information regarding these transactions.</w:t>
      </w:r>
    </w:p>
    <w:p>
      <w:pPr>
        <w:spacing w:after="0" w:line="331" w:lineRule="exact"/>
        <w:rPr>
          <w:rFonts w:ascii="Courier New" w:cs="Courier New" w:eastAsia="Courier New" w:hAnsi="Courier New"/>
          <w:sz w:val="14"/>
          <w:szCs w:val="14"/>
          <w:color w:val="auto"/>
        </w:rPr>
      </w:pPr>
    </w:p>
    <w:p>
      <w:pPr>
        <w:ind w:left="800" w:right="3459" w:hanging="791"/>
        <w:spacing w:after="0" w:line="254"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Match funded loans and securities, net, is primarily comprised of securitized loans and securities accounted for as financing transactions. The match funded loans were acquired as a result of the OAC acquisition.</w:t>
      </w:r>
    </w:p>
    <w:p>
      <w:pPr>
        <w:spacing w:after="0" w:line="163" w:lineRule="exact"/>
        <w:rPr>
          <w:rFonts w:ascii="Courier New" w:cs="Courier New" w:eastAsia="Courier New" w:hAnsi="Courier New"/>
          <w:sz w:val="14"/>
          <w:szCs w:val="14"/>
          <w:color w:val="auto"/>
        </w:rPr>
      </w:pPr>
    </w:p>
    <w:p>
      <w:pPr>
        <w:ind w:left="800" w:right="3379" w:hanging="791"/>
        <w:spacing w:after="0" w:line="255"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 owned, net, consists of properties acquired by foreclosure or by deed-in-lieu thereof and is primarily attributable to the Company's discount loan business.</w:t>
      </w:r>
    </w:p>
    <w:p>
      <w:pPr>
        <w:spacing w:after="0" w:line="162" w:lineRule="exact"/>
        <w:rPr>
          <w:rFonts w:ascii="Courier New" w:cs="Courier New" w:eastAsia="Courier New" w:hAnsi="Courier New"/>
          <w:sz w:val="14"/>
          <w:szCs w:val="14"/>
          <w:color w:val="auto"/>
        </w:rPr>
      </w:pPr>
    </w:p>
    <w:p>
      <w:pPr>
        <w:jc w:val="both"/>
        <w:ind w:left="800" w:right="3379" w:hanging="791"/>
        <w:spacing w:after="0" w:line="255"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 at December 31, 2000 was primarily comprised of investments in real estate properties acquired as a result of the OAC acquisition and certain acquisition, development and construction loans, which are</w:t>
      </w:r>
    </w:p>
    <w:p>
      <w:pPr>
        <w:sectPr>
          <w:pgSz w:w="11900" w:h="16848" w:orient="portrait"/>
          <w:cols w:equalWidth="0" w:num="1">
            <w:col w:w="10239"/>
          </w:cols>
          <w:pgMar w:left="220" w:top="453" w:right="1440" w:bottom="0" w:gutter="0" w:footer="0" w:header="0"/>
        </w:sectPr>
      </w:pPr>
    </w:p>
    <w:bookmarkStart w:id="36" w:name="page37"/>
    <w:bookmarkEnd w:id="36"/>
    <w:p>
      <w:pPr>
        <w:ind w:left="791" w:right="3539"/>
        <w:spacing w:after="0" w:line="254" w:lineRule="auto"/>
        <w:rPr>
          <w:sz w:val="20"/>
          <w:szCs w:val="20"/>
          <w:color w:val="auto"/>
        </w:rPr>
      </w:pPr>
      <w:r>
        <w:rPr>
          <w:rFonts w:ascii="Courier New" w:cs="Courier New" w:eastAsia="Courier New" w:hAnsi="Courier New"/>
          <w:sz w:val="14"/>
          <w:szCs w:val="14"/>
          <w:color w:val="auto"/>
        </w:rPr>
        <w:t>accounted for as investments in real estate. Balance at December 31, 1999 was primarily comprised of properties that were acquired as a result of the OAC acquisition. See Note 13 to the Consolidated Financial Statements (which is incorporated herein by reference).</w:t>
      </w:r>
    </w:p>
    <w:p>
      <w:pPr>
        <w:spacing w:after="0" w:line="163" w:lineRule="exact"/>
        <w:rPr>
          <w:sz w:val="20"/>
          <w:szCs w:val="20"/>
          <w:color w:val="auto"/>
        </w:rPr>
      </w:pPr>
    </w:p>
    <w:p>
      <w:pPr>
        <w:ind w:left="791" w:right="3279" w:hanging="791"/>
        <w:spacing w:after="0" w:line="254" w:lineRule="auto"/>
        <w:tabs>
          <w:tab w:leader="none" w:pos="79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Balances at December 31, 2000 and 1999 included notes and bonds-match funded agreements assumed as a result of the OAC acquisition. See Notes 21 and 19 to the Consolidated Financial Statements (which are incorporated herein by reference).</w:t>
      </w:r>
    </w:p>
    <w:p>
      <w:pPr>
        <w:spacing w:after="0" w:line="163"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0"/>
          </w:cols>
          <w:pgMar w:left="229" w:top="141" w:right="1440" w:bottom="1440" w:gutter="0" w:footer="0" w:header="0"/>
        </w:sectPr>
      </w:pPr>
    </w:p>
    <w:bookmarkStart w:id="37" w:name="page38"/>
    <w:bookmarkEnd w:id="37"/>
    <w:p>
      <w:pPr>
        <w:ind w:left="791" w:right="3379" w:hanging="791"/>
        <w:spacing w:after="0" w:line="253" w:lineRule="auto"/>
        <w:tabs>
          <w:tab w:leader="none" w:pos="79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issuance of 12,371,750 shares of common stock in the amount of $96,809 in connection with the acquisition of OAC on October 7, 1999. Also reflects the Company's repurchase of 1,388,300 shares of common stock for an aggregate of $8,996 and 4,611,700 shares of common stock for an aggregate of $30,691 during 2000 and 1999, respectively. Includes a secondary stock offering to the public of 6,900,000 shares of common stock in 1997.</w:t>
      </w:r>
    </w:p>
    <w:p>
      <w:pPr>
        <w:spacing w:after="0" w:line="164" w:lineRule="exact"/>
        <w:rPr>
          <w:rFonts w:ascii="Courier New" w:cs="Courier New" w:eastAsia="Courier New" w:hAnsi="Courier New"/>
          <w:sz w:val="14"/>
          <w:szCs w:val="14"/>
          <w:color w:val="auto"/>
        </w:rPr>
      </w:pPr>
    </w:p>
    <w:p>
      <w:pPr>
        <w:ind w:left="791" w:right="3279" w:hanging="791"/>
        <w:spacing w:after="0" w:line="258" w:lineRule="auto"/>
        <w:tabs>
          <w:tab w:leader="none" w:pos="79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Company's pro rata share of the average assets held by the LLC during 1997 and 1996.</w:t>
      </w:r>
    </w:p>
    <w:p>
      <w:pPr>
        <w:spacing w:after="0" w:line="159" w:lineRule="exact"/>
        <w:rPr>
          <w:rFonts w:ascii="Courier New" w:cs="Courier New" w:eastAsia="Courier New" w:hAnsi="Courier New"/>
          <w:sz w:val="14"/>
          <w:szCs w:val="14"/>
          <w:color w:val="auto"/>
        </w:rPr>
      </w:pPr>
    </w:p>
    <w:p>
      <w:pPr>
        <w:ind w:left="791" w:right="3279" w:hanging="791"/>
        <w:spacing w:after="0" w:line="255" w:lineRule="auto"/>
        <w:tabs>
          <w:tab w:leader="none" w:pos="79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efficiency ratio represents non-interest expense divided by the sum of net interest income before provision for loan losses, non-interest income and equity in earnings of investment in unconsolidated entities.</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0"/>
          </w:cols>
          <w:pgMar w:left="229" w:top="453" w:right="1440" w:bottom="1440" w:gutter="0" w:footer="0" w:header="0"/>
        </w:sectPr>
      </w:pPr>
    </w:p>
    <w:bookmarkStart w:id="38" w:name="page39"/>
    <w:bookmarkEnd w:id="38"/>
    <w:p>
      <w:pPr>
        <w:ind w:right="3799"/>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following discussion of the Company's consolidated financial condition, results of operations and capital resources and liquidity should be read in conjunction with the Selected Consolidated Financial Information, Consolidated Financial Statements and the related notes, all included elsewhere herein.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GENERAL. The Company recorded net income of $2,192 for 2000,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net income of $19,832 for 1999 and a net loss of $(1,200) for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earnings per share were $0.03 for 2000, as compared with diluted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 of $0.31 for 1999 and loss per share of $(0.02) for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were a number of key factors that contributed to annual results for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compared to 1999, including: a gain of $50,371 earned from the sale of Ocwen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UK on September 30, 1999; a reduction in the amount of impairment charges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recorded on the securities portfolio from $58,777 in 1999 to $11,597 in 2000;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reduction in gain on sale of interest earning assets from $44,298 in 1999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$18,580 in 2000, reflecting the Company's decision in the third quarter of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discontinue the practice of structuring securitizations as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thus precluding recognition of gain-on-sale accounting; a gain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$20,025 from the sale of the Company's investment in Kensington on November 22,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an increase in gains earned on the sale of investments in real estate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$1,753 in 1999 to $22,949 in 2000; unrealized losses on trading securities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$4,926 as a result of the Company's decision to change its policy for securities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for sale and match funded securities to account for them as trading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effective September 30, 2000; an increase in net losses incurred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Technology Xchange, Inc. ("OTX") from $11,372 in 1999 to $21,049 in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reflecting the continuing investment in the development of the Company's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businesses; an increase in extraordinary gains on debt repurchases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$6,983 in 1999 to $18,713 in 2000; and a $17,500 provision recorded in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 valuation allowance on the Company's deferred tax asset, as compared to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 provision in 1999.</w:t>
      </w:r>
    </w:p>
    <w:p>
      <w:pPr>
        <w:spacing w:after="0" w:line="17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SEGMENT PROFITABILITY. The following is a discussion of the contribution by business segment to the Company's net income (loss) for the years indicated.</w:t>
      </w:r>
    </w:p>
    <w:p>
      <w:pPr>
        <w:spacing w:after="0" w:line="162" w:lineRule="exact"/>
        <w:rPr>
          <w:sz w:val="20"/>
          <w:szCs w:val="20"/>
          <w:color w:val="auto"/>
        </w:rPr>
      </w:pPr>
    </w:p>
    <w:p>
      <w:pPr>
        <w:ind w:left="440" w:right="3279" w:hanging="431"/>
        <w:spacing w:after="0" w:line="253"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Single Family Residential Discount Loans. Net income (loss) for this segment amounted to $13,078, $(12,680) and $14,291 for 2000, 1999 and 1998, respectively. Results for 2000, 1999 and 1998 include impairment charges of $667, $27,342 and $14,180, respectively, on residential subordinate securities. Provision for loan losses was $(637), $8,435 and $8,784 in 2000, 1999 and 1998 respectively. Gains from the sale of loans amounted to $15,720 during 2000. This compares to securitization gains during 1999 and 1998 of $22,763 and $48,085, respectively. There were no securitizations of loans during 2000. See "Results of Operations - Non-Interest Income."</w:t>
      </w:r>
    </w:p>
    <w:p>
      <w:pPr>
        <w:spacing w:after="0" w:line="16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Loans. Net income declined to $571 for 2000, as compared to</w:t>
      </w:r>
    </w:p>
    <w:p>
      <w:pPr>
        <w:spacing w:after="0" w:line="8" w:lineRule="exact"/>
        <w:rPr>
          <w:rFonts w:ascii="Courier New" w:cs="Courier New" w:eastAsia="Courier New" w:hAnsi="Courier New"/>
          <w:sz w:val="14"/>
          <w:szCs w:val="14"/>
          <w:color w:val="auto"/>
        </w:rPr>
      </w:pPr>
    </w:p>
    <w:p>
      <w:pPr>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$16,428 for 1999 and $48,319 for 1998. (Losses) gains from sales of loans were $(1,418), $4,208 and $12,247 during 2000, 1999 and 1998, respectively. Gains on the repayment of loans, which is reported as interest income, amounted to $9,369, $17,169 and $39,362 during 2000, 1999 and 1998, respectively. (Losses) gains from the sale and operation of commercial real estate owned amounted to $(1,754), $3,769 and $23,442 during 2000, 1999 and 1998, respectively. Equity in earnings related to certain loans, which were acquired in 2000 and are accounted for as investments in real estate, amounted to $12,427 in 2000. The provision for loan losses amounted to $9,195, $4,612 and $5,665, during 2000, 1999 and 1998, respectively. The increase in the provision in 2000 was principally related to discount loans.</w:t>
      </w:r>
    </w:p>
    <w:p>
      <w:pPr>
        <w:spacing w:after="0" w:line="330"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Residential Mortgage Loan Servicing. Net income from domestic residential mortgage loan servicing amounted to $11,909 in 2000, as compared to $12,067 in 1999 and $7,688 in 1988. Net interest income decreased by $11,386 during 2000 and by $974 during 1999. Total non-interest income for this segment increased by $24,177 during 2000 and by $13,210 during 1999. Included in non-interest income were domestic residential servicing fees amounting to $72,466, $57,262 and $46,222 during 2000, 1999 and 1998, respectively. Non-interest expense increased to $59,129 in 2000 as compared to $46,128 during 1999 and $40,955 during 1998. See "Results of Operations - Non-Interest Income."</w:t>
      </w:r>
    </w:p>
    <w:p>
      <w:pPr>
        <w:spacing w:after="0" w:line="164"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Low-Income Housing Tax Credits. A net loss of $(12,351) was incurred for 2000, as compared to net income of $7,802 in 1999 and $9,423 in 1998. Gains on the sale of tax credit interests were $497, $6,591 and $7,366 for 2000, 1999 and 1998, respectively. Low-income housing tax credits and benefits declined to $2,577 in 2000, as compared to $18,242 and $17,666 for 1999 and 1998, respectively. In 2000, tax credits and benefits were reduced by $6,875, representing the reversal of excess tax benefits recorded under the level-yield method on certain projects sold before their maturity for tax credit purposes. Net operating losses from tax credit properties in service amounted to $9,931, $6,291 and $6,905 during 2000, 1999 and 1998, respectively. Net operating losses for 2000 include a provision of $6,448 for expected losses on the sale of twenty-five properties. See "Changes in Financial Condition - Investment in Low-Income Housing Tax Credit Interests."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3" w:right="1440" w:bottom="473" w:gutter="0" w:footer="0" w:header="0"/>
        </w:sectPr>
      </w:pPr>
    </w:p>
    <w:bookmarkStart w:id="39" w:name="page40"/>
    <w:bookmarkEnd w:id="39"/>
    <w:p>
      <w:pPr>
        <w:ind w:right="3799"/>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279" w:hanging="431"/>
        <w:spacing w:after="0" w:line="253"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OTX. Net losses incurred by OTX increased to $(21,049) in 2000, as compared to $(11,372) in 1999 and $(5,964) in 1998. The increase in net losses incurred by OTX, which was formed in 1998, is a result of the Company's continuing investment in the development of its technology businesses. Losses for 1999 also included a $3,367 charge reflecting the impact of a reduction in the estimated useful life of the goodwill associated with the acquisitions previously made by OTX. On June 2, 1999, OTX acquired substantially all of the assets of Synergy Software, LLC ("Synergy"), a developer of commercial and multi-family mortgage servicing systems. See Note 2 to the Consolidated Financial Statements (which is incorporated herein by reference).</w:t>
      </w:r>
    </w:p>
    <w:p>
      <w:pPr>
        <w:spacing w:after="0" w:line="331"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Real Estate. The results of this segment principally represent the activities of commercial real estate investments acquired in connection with the acquisition of OAC in October 1999. Net income improved to $10,285 in 2000 from a loss of $(1,566) in 1999 and net income of $9 in 1998. Net income for 2000 includes $2,768 of gains on the sale of securities held for sale, $21,025 of gains from the sale of real estate properties held for sale and $13,415 of net operating gains on investments in real estate. This compares to $732 of losses on the sale of securities available for sale and $1,881 of net operating gains on investments in real estate during 1999.</w:t>
      </w:r>
    </w:p>
    <w:p>
      <w:pPr>
        <w:spacing w:after="0" w:line="164"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UK Operations. Net income from UK operations amounted to $8,350, $36,859 and $12,247 during 2000, 1999 and 1998, respectively. On September 30, 1999, the Company sold all of the shares of its wholly-owned subsidiary, Ocwen UK, to Malvern House Acquisition Limited for a gain of $50,371. Ocwen UK commenced operations on April 24, 1998. Ocwen UK securitization gains during 1999 and 1998 totaled $10,207 and $27,000, respectively. On November 22, 2000 the Company sold its equity investment in Kensington for a gain of $20,025. Equity in (losses) earnings of Kensington of ($5,280), $(9,154) and $439 were recognized for 2000, 1999 and 1998, respectively.</w:t>
      </w:r>
    </w:p>
    <w:p>
      <w:pPr>
        <w:spacing w:after="0" w:line="164"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Subprime Single Family Residential Lending. Net losses for this segment were $(15,210), $(18,025) and $(19,993) for 2000, 1999 and 1998, respectively. Net losses during 2000, 1999 and 1998 included $10,930, $31,216 and $27,438, respectively, of impairment charges on subprime subordinate and residual securities. The net loss for 1998 also included a charge of $10,061 for the write-off of goodwill at Ocwen Financial Services, Inc. ("OFS"). In August 1999, the Company closed its domestic subprime origination business, which had been conducted primarily through OFS, which itself was formed in 1997. During 1999 and 1998, gains of $3,834 and $34,516 were recorded in connection with the securitization of loans.</w:t>
      </w:r>
    </w:p>
    <w:p>
      <w:pPr>
        <w:spacing w:after="0" w:line="164"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Unsecured Collections. This segment is primarily comprised of activities related to the Company's charged-off unsecured credit card receivables which were acquired at a discount. Collections of unsecured credit card receivables are accounted for under the cost recovery method. Net losses increased to $(8,927) in 2000 from $(4,185) in 1999 and $(1,041) in 1998. The increase in net losses between 2000 and 1999 is largely attributable to an increase in the provision for loan losses to $6,866 in 2000 from $870 in 1999.</w:t>
      </w:r>
    </w:p>
    <w:p>
      <w:pPr>
        <w:spacing w:after="0" w:line="331" w:lineRule="exact"/>
        <w:rPr>
          <w:rFonts w:ascii="Courier New" w:cs="Courier New" w:eastAsia="Courier New" w:hAnsi="Courier New"/>
          <w:sz w:val="14"/>
          <w:szCs w:val="14"/>
          <w:color w:val="auto"/>
        </w:rPr>
      </w:pPr>
    </w:p>
    <w:p>
      <w:pPr>
        <w:ind w:left="440" w:right="3539" w:hanging="431"/>
        <w:spacing w:after="0" w:line="255"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Ocwen Realty Advisors. Ocwen Realty Advisors provides property valuation services and real estate research for residential and commercial properties.</w:t>
      </w:r>
    </w:p>
    <w:p>
      <w:pPr>
        <w:spacing w:after="0" w:line="162" w:lineRule="exact"/>
        <w:rPr>
          <w:rFonts w:ascii="Courier New" w:cs="Courier New" w:eastAsia="Courier New" w:hAnsi="Courier New"/>
          <w:sz w:val="14"/>
          <w:szCs w:val="14"/>
          <w:color w:val="auto"/>
        </w:rPr>
      </w:pPr>
    </w:p>
    <w:p>
      <w:pPr>
        <w:ind w:left="440" w:right="3379" w:hanging="431"/>
        <w:spacing w:after="0" w:line="253"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Items and Other. This segment consists of extraordinary gains on repurchases of debt, individually insignificant business activities, amounts not allocated to the operating segments, distributions on the Capital Securities, transfer pricing mismatches, other general corporate expenses and the results of the securities portfolio excluding subprime residuals and subordinates. Net income of $15,589 in 2000 included $18,713 of extraordinary gains, net of taxes, on repurchases of debt. The $(5,496) loss in 1999 included $6,983 of extraordinary gains, net of taxes, on repurchases of debt. The $(66,179) loss in 1998 included $86,100 of pretax impairment charges on the Company's portfolio of AAA-rated agency interest-only securities, which were sold in 1998.</w:t>
      </w:r>
    </w:p>
    <w:p>
      <w:pPr>
        <w:spacing w:after="0" w:line="164"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See Note 32 to the Consolidated Financial Statements (which is incorporated herein by reference) for additional information related to the Company's operating segments.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NET INTEREST INCOME: 2000 VERSUS 1999 AND 1999 VERSUS 1998. Net interest income is the difference between the interest income received from its interest-earning assets and the interest expense paid on its interest-bearing liabilities. Net interest income is determined by net interest spread (i.e., the difference between the yield earned on its interest-earning assets and the rates paid on its interest-bearing liabilities), the relative amount of interest-earning assets and interest-bearing liabilities and the degree of mismatch in the maturity and repricing characteristics of its interest-earning assets and interest-bearing liabilities.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table sets forth, for the periods indicated, information regarding the total amount of income from interest-earning assets and the resultant average yields, the interest expense associated with interest-bearing liabilities, expressed in dollars and rates, and the net interest spread and net interest margin. Information is based on average daily balances during the indicated periods: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3" w:right="1440" w:bottom="139" w:gutter="0" w:footer="0" w:header="0"/>
        </w:sectPr>
      </w:pPr>
    </w:p>
    <w:bookmarkStart w:id="40" w:name="page41"/>
    <w:bookmarkEnd w:id="40"/>
    <w:p>
      <w:pPr>
        <w:ind w:right="486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Year Ended December 31,</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764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2000</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7"/>
                <w:szCs w:val="7"/>
                <w:color w:val="auto"/>
                <w:w w:val="71"/>
              </w:rPr>
              <w: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74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Interest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Interest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Income/</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Yield/</w:t>
            </w:r>
          </w:p>
        </w:tc>
        <w:tc>
          <w:tcPr>
            <w:tcW w:w="30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Average</w:t>
            </w:r>
          </w:p>
        </w:tc>
        <w:tc>
          <w:tcPr>
            <w:tcW w:w="2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Yield/</w:t>
            </w: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Balance</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Expense</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Rate</w:t>
            </w:r>
          </w:p>
        </w:tc>
        <w:tc>
          <w:tcPr>
            <w:tcW w:w="30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Expense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Rate</w:t>
            </w: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AVERAGE ASSETS: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Federal funds sold and repurchase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agreements ..........................</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128,079</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174,495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8,847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5.07%</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Securities available for sale (1)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541,654</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42,507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7.85</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593,291</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62,698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10.57</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Trading securities (1)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107,720</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Loans available for sale (2)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31,050</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7.97</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238,747</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25,724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10.77</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 securities and other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20,892</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7.18</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29,340</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7.43</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Loan portfolio (2)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143,906</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20,586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14.31</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181,445</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28,683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15.81</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Discount loan portfolio (2)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819,262</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89,826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10.96</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959,992</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121,854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12.69</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Match funded loans and securities (2)...</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143,452</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11,022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7.68</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30,483</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10.62</w:t>
            </w: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interest earning assets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1,936,015</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184,816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9.55</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2,207,793</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253,224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11.47</w:t>
            </w: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Non-interest earning cash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44,393</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95,758</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Allowance for loan losses ..............</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(27,695)</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(26,597)</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Real estate held for sale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134,074</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Low-income housing tax credit</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interests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127,877</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166,600</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 in unconsolidated entities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28,832</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76,146</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Real estate owned, net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176,828</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191,694</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 in real estate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204,288</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90,494</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Advances on loans and loans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serviced for others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191,642</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133,408</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assets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275,973</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252,384</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assets ........................</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$ 3,092,227</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$ 3,187,680</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AVERAGE LIABILITIES AND STOCKHOLDERS'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Interest-bearing demand deposits .......</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12,055</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36,998</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3.55%</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Savings deposits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1,527</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2.39</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Certificates of deposit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1,520,493</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97,655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6.42</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1,590,553</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97,019</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6.10</w:t>
            </w: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interest-bearing deposits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1,534,075</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98,224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6.40</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1,629,139</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98,370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6.04</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Securities sold under agreements to</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repurchase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167,337</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10,729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6.41</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107,622</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7,456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6.93</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Bonds-match funded agreements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123,856</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11,484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9.27</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28,904</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7.27</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Obligations outstanding under lines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of credit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151,672</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13,881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9.15</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256,300</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16,318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6.37</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 debentures and other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284,634</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34,772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12.22</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257,219</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31,297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12.16</w:t>
            </w: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interest-bearing liabilities...</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2,261,574</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169,090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7.48</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2,279,184</w:t>
            </w:r>
          </w:p>
        </w:tc>
        <w:tc>
          <w:tcPr>
            <w:tcW w:w="26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155,542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6.82</w:t>
            </w: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Non-interest bearing deposits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7,108</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15,823</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Escrow deposits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114,261</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218,607</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Excess of net assets acquired over</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purchase price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51,486</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13,720</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liabilities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58,390</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75,172</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liabilities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2,492,819</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2,602,506</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Capital securities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103,709</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122,958</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Stockholders' equity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495,699</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462,216</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 liabilities and stockholders'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equity ............................</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$ 3,092,227</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$ 3,187,680</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interest income ....................</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15,726</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97,682</w:t>
            </w:r>
          </w:p>
        </w:tc>
        <w:tc>
          <w:tcPr>
            <w:tcW w:w="10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interest spread.....................</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4.65%</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interest margin.....................</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0.81%</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4.42%</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Ratio of interest-earning assets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 interest-bearing liabilities......</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ectPr>
          <w:pgSz w:w="11900" w:h="16838" w:orient="portrait"/>
          <w:cols w:equalWidth="0" w:num="1">
            <w:col w:w="11300"/>
          </w:cols>
          <w:pgMar w:left="220" w:top="453" w:right="37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37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37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Interest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Average</w:t>
            </w:r>
          </w:p>
        </w:tc>
        <w:tc>
          <w:tcPr>
            <w:tcW w:w="26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Income/</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Yield/</w:t>
            </w: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Balance</w:t>
            </w:r>
          </w:p>
        </w:tc>
        <w:tc>
          <w:tcPr>
            <w:tcW w:w="26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Expense</w:t>
            </w:r>
          </w:p>
        </w:tc>
        <w:tc>
          <w:tcPr>
            <w:tcW w:w="7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Rate</w:t>
            </w: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AVERAGE ASSETS: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Federal funds sold and repurchase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agreements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149,441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7,930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5.31%</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Securities available for sale (1)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590,367</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40,320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6.83</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Trading securities (1)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Loans available for sale (2)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523,017</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56,791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10.86</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 securities and other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30,732</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3,197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10.40</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Loan portfolio (2)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266,350</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38,609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14.50</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Discount loan portfolio (2)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1,295,927</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160,847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12.41</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Match funded loans and securities (2)...</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interest earning assets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2,855,834</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307,694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w:t>
            </w: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Non-interest earning cash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4,887</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Allowance for loan losses ..............</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(25,655)</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Real estate held for sale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Low-income housing tax credit</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interests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130,391</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 in unconsolidated entities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83,535</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Real estate owned, net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178,223</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 in real estate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55,587</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Advances on loans and loans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serviced for others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66,186</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assets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225,792</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assets ........................</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$ 3,574,780</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AVERAGE LIABILITIES AND STOCKHOLDERS'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Interest-bearing demand deposits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29,873</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Savings deposits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1,652</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Certificates of deposit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1,844,977</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115,112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6.24</w:t>
            </w: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interest-bearing deposits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1,876,502</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116,584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6.21</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Securities sold under agreements to</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repurchase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104,980</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6,514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6.20</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Bonds-match funded agreements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Obligations outstanding under lines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of credit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481,212</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34,587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7.19</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 debentures and other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230,059</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27,208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11.83</w:t>
            </w: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interest-bearing liabilities...</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2,692,753</w:t>
            </w:r>
          </w:p>
        </w:tc>
        <w:tc>
          <w:tcPr>
            <w:tcW w:w="2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184,893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w:t>
            </w: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Non-interest bearing deposits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5,667</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Escrow deposits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164,850</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Excess of net assets acquired over</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purchase price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liabilities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158,998</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liabilities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3,022,268</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Capital securities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125,000</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Stockholders' equity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427,512</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 liabilities and stockholders'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equity ............................</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$ 3,574,780</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interest income ....................</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122,801</w:t>
            </w: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interest spread.....................</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interest margin.....................</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4.30%</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Ratio of interest-earning assets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 interest-bearing liabilities......</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338" w:lineRule="exact"/>
        <w:rPr>
          <w:sz w:val="20"/>
          <w:szCs w:val="20"/>
          <w:color w:val="auto"/>
        </w:rPr>
      </w:pPr>
    </w:p>
    <w:p>
      <w:pPr>
        <w:ind w:left="800" w:hanging="791"/>
        <w:spacing w:after="0"/>
        <w:tabs>
          <w:tab w:leader="none" w:pos="8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effect of unrealized gains or losses on securities.</w:t>
      </w:r>
    </w:p>
    <w:p>
      <w:pPr>
        <w:spacing w:after="0" w:line="175" w:lineRule="exact"/>
        <w:rPr>
          <w:rFonts w:ascii="Courier New" w:cs="Courier New" w:eastAsia="Courier New" w:hAnsi="Courier New"/>
          <w:sz w:val="14"/>
          <w:szCs w:val="14"/>
          <w:color w:val="auto"/>
        </w:rPr>
      </w:pPr>
    </w:p>
    <w:p>
      <w:pPr>
        <w:ind w:left="800" w:right="3539" w:hanging="791"/>
        <w:spacing w:after="0" w:line="258" w:lineRule="auto"/>
        <w:tabs>
          <w:tab w:leader="none" w:pos="8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balances include non-performing loans, interest on which is recognized on a cash basis.</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87" w:right="1440" w:bottom="1440" w:gutter="0" w:footer="0" w:header="0"/>
        </w:sectPr>
      </w:pPr>
    </w:p>
    <w:bookmarkStart w:id="42" w:name="page43"/>
    <w:bookmarkEnd w:id="42"/>
    <w:p>
      <w:pPr>
        <w:ind w:right="460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080" w:firstLine="781"/>
        <w:spacing w:after="0" w:line="252" w:lineRule="auto"/>
        <w:rPr>
          <w:sz w:val="20"/>
          <w:szCs w:val="20"/>
          <w:color w:val="auto"/>
        </w:rPr>
      </w:pPr>
      <w:r>
        <w:rPr>
          <w:rFonts w:ascii="Courier New" w:cs="Courier New" w:eastAsia="Courier New" w:hAnsi="Courier New"/>
          <w:sz w:val="14"/>
          <w:szCs w:val="14"/>
          <w:color w:val="auto"/>
        </w:rPr>
        <w:t>The following table describes the extent to which changes in interest rates and changes in volume of interest-earning assets and interest-bearing liabilities have affected the Company's interest income and expense during the periods indicated. For each category of interest-earning assets and interest-bearing liabilities, information is provided on changes attributable to</w:t>
      </w:r>
    </w:p>
    <w:p>
      <w:pPr>
        <w:spacing w:after="0" w:line="2" w:lineRule="exact"/>
        <w:rPr>
          <w:sz w:val="20"/>
          <w:szCs w:val="20"/>
          <w:color w:val="auto"/>
        </w:rPr>
      </w:pPr>
    </w:p>
    <w:p>
      <w:pPr>
        <w:ind w:right="4180" w:firstLine="9"/>
        <w:spacing w:after="0" w:line="254" w:lineRule="auto"/>
        <w:tabs>
          <w:tab w:leader="none" w:pos="347"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volume (change in volume multiplied by prior rate), (ii) changes in rate (change in rate multiplied by prior volume) and (iii) total change in rate and volume. Changes attributable to both volume and rate have been allocated proportionately to the change due to volume and the change due to rate.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Year Ended December 31,</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960" w:type="dxa"/>
            <w:vAlign w:val="bottom"/>
          </w:tcPr>
          <w:p>
            <w:pPr>
              <w:spacing w:after="0"/>
              <w:rPr>
                <w:sz w:val="14"/>
                <w:szCs w:val="14"/>
                <w:color w:val="auto"/>
              </w:rPr>
            </w:pPr>
          </w:p>
        </w:tc>
        <w:tc>
          <w:tcPr>
            <w:tcW w:w="7080" w:type="dxa"/>
            <w:vAlign w:val="bottom"/>
            <w:gridSpan w:val="9"/>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 vs. 1999</w:t>
            </w: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 vs. 1998</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96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Courier New" w:cs="Courier New" w:eastAsia="Courier New" w:hAnsi="Courier New"/>
                <w:sz w:val="5"/>
                <w:szCs w:val="5"/>
                <w:color w:val="auto"/>
                <w:w w:val="77"/>
              </w:rPr>
              <w:t>------------------------------------</w:t>
            </w: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4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Increase (Decrease) Due To</w:t>
            </w:r>
          </w:p>
        </w:tc>
        <w:tc>
          <w:tcPr>
            <w:tcW w:w="360" w:type="dxa"/>
            <w:vAlign w:val="bottom"/>
          </w:tcPr>
          <w:p>
            <w:pPr>
              <w:spacing w:after="0"/>
              <w:rPr>
                <w:sz w:val="14"/>
                <w:szCs w:val="14"/>
                <w:color w:val="auto"/>
              </w:rPr>
            </w:pPr>
          </w:p>
        </w:tc>
        <w:tc>
          <w:tcPr>
            <w:tcW w:w="3080" w:type="dxa"/>
            <w:vAlign w:val="bottom"/>
            <w:gridSpan w:val="4"/>
          </w:tcPr>
          <w:p>
            <w:pPr>
              <w:jc w:val="right"/>
              <w:ind w:right="448"/>
              <w:spacing w:after="0"/>
              <w:rPr>
                <w:sz w:val="20"/>
                <w:szCs w:val="20"/>
                <w:color w:val="auto"/>
              </w:rPr>
            </w:pPr>
            <w:r>
              <w:rPr>
                <w:rFonts w:ascii="Courier New" w:cs="Courier New" w:eastAsia="Courier New" w:hAnsi="Courier New"/>
                <w:sz w:val="14"/>
                <w:szCs w:val="14"/>
                <w:color w:val="auto"/>
              </w:rPr>
              <w:t>Increase (Decrease) Due To</w:t>
            </w:r>
          </w:p>
        </w:tc>
      </w:tr>
      <w:tr>
        <w:trPr>
          <w:trHeight w:val="167"/>
        </w:trPr>
        <w:tc>
          <w:tcPr>
            <w:tcW w:w="396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Courier New" w:cs="Courier New" w:eastAsia="Courier New" w:hAnsi="Courier New"/>
                <w:sz w:val="5"/>
                <w:szCs w:val="5"/>
                <w:color w:val="auto"/>
                <w:w w:val="77"/>
              </w:rPr>
              <w:t>------------------------------------</w:t>
            </w: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4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Rate</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Volume</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36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Rate</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Volume</w:t>
            </w:r>
          </w:p>
        </w:tc>
        <w:tc>
          <w:tcPr>
            <w:tcW w:w="2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96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INTEREST-EARNING ASSETS: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Federal funds sold and repurchase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agreements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2,557</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(2,704)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(147)</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(366)</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1,283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917</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Securities available for sale .............</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(15,088)</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(5,102)</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(20,190)</w:t>
            </w:r>
          </w:p>
        </w:tc>
        <w:tc>
          <w:tcPr>
            <w:tcW w:w="3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22,177</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201</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22,378</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Trading securities ........................</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8,199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8,199</w:t>
            </w:r>
          </w:p>
        </w:tc>
        <w:tc>
          <w:tcPr>
            <w:tcW w:w="3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Loans available for sale ..................</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(5,358)</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(17,892)</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(23,250)</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(30,632)</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(31,067)</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 securities and other ...........</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(680)</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(877)</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(1,016)</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Loan portfolio ............................</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(2,549)</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(8,097)</w:t>
            </w:r>
          </w:p>
        </w:tc>
        <w:tc>
          <w:tcPr>
            <w:tcW w:w="3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3,249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(13,175)</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(9,926)</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Discount loan portfolio ...................</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(15,426)</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(16,602)</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(32,028)</w:t>
            </w:r>
          </w:p>
        </w:tc>
        <w:tc>
          <w:tcPr>
            <w:tcW w:w="3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3,572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(42,565)</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(38,993)</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Match funded loans and securities .........</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(1,125)</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8,910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7,785</w:t>
            </w:r>
          </w:p>
        </w:tc>
        <w:tc>
          <w:tcPr>
            <w:tcW w:w="3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3,237</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3,237</w:t>
            </w:r>
          </w:p>
        </w:tc>
      </w:tr>
      <w:tr>
        <w:trPr>
          <w:trHeight w:val="167"/>
        </w:trPr>
        <w:tc>
          <w:tcPr>
            <w:tcW w:w="396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interest-earning assets ..........</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(37,060)</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(31,348)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(68,408)</w:t>
            </w:r>
          </w:p>
        </w:tc>
        <w:tc>
          <w:tcPr>
            <w:tcW w:w="3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27,320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(81,790)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(54,470)</w:t>
            </w:r>
          </w:p>
        </w:tc>
      </w:tr>
      <w:tr>
        <w:trPr>
          <w:trHeight w:val="167"/>
        </w:trPr>
        <w:tc>
          <w:tcPr>
            <w:tcW w:w="396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INTEREST-BEARING LIABILITIES: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Interest-bearing demand deposits ..........</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(781)</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(420)</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299</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Savings deposits ..........................</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3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Certificates of deposit ...................</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5,012</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(4,376)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636</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(2,524)</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(15,569)</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(18,093)</w:t>
            </w:r>
          </w:p>
        </w:tc>
      </w:tr>
      <w:tr>
        <w:trPr>
          <w:trHeight w:val="167"/>
        </w:trPr>
        <w:tc>
          <w:tcPr>
            <w:tcW w:w="396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interest-bearing deposits ........</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5,276</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(5,422)</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(2,942)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(15,272)</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(18,214)</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Securities sold under agreements to</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repurchase .............................</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(592)</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3,865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3,273</w:t>
            </w:r>
          </w:p>
        </w:tc>
        <w:tc>
          <w:tcPr>
            <w:tcW w:w="3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775</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167</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942</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Bonds-match funded agreements .............</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726</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8,657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9,383</w:t>
            </w:r>
          </w:p>
        </w:tc>
        <w:tc>
          <w:tcPr>
            <w:tcW w:w="3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2,101</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2,101</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Obligations outstanding under lines of</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credit .................................</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5,630</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(8,067)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(2,437)</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(3,587)</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(14,682)</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(18,269)</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Notes, debentures and other interest-</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bearing obligations ....................</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3,348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3,475</w:t>
            </w:r>
          </w:p>
        </w:tc>
        <w:tc>
          <w:tcPr>
            <w:tcW w:w="3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802</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3,287</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4,089</w:t>
            </w:r>
          </w:p>
        </w:tc>
      </w:tr>
      <w:tr>
        <w:trPr>
          <w:trHeight w:val="167"/>
        </w:trPr>
        <w:tc>
          <w:tcPr>
            <w:tcW w:w="396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interest-bearing liabilities ...</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11,167</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2,381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13,548</w:t>
            </w:r>
          </w:p>
        </w:tc>
        <w:tc>
          <w:tcPr>
            <w:tcW w:w="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(4,952)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(24,399)</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(29,351)</w:t>
            </w:r>
          </w:p>
        </w:tc>
      </w:tr>
      <w:tr>
        <w:trPr>
          <w:trHeight w:val="167"/>
        </w:trPr>
        <w:tc>
          <w:tcPr>
            <w:tcW w:w="396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(Decrease) increase in net interest</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(48,227)</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$(33,729)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$(81,956)</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$ 32,272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$(57,391)</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$(25,119)</w:t>
            </w:r>
          </w:p>
        </w:tc>
      </w:tr>
      <w:tr>
        <w:trPr>
          <w:trHeight w:val="167"/>
        </w:trPr>
        <w:tc>
          <w:tcPr>
            <w:tcW w:w="396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versus 1999:</w:t>
      </w:r>
    </w:p>
    <w:p>
      <w:pPr>
        <w:spacing w:after="0" w:line="175" w:lineRule="exact"/>
        <w:rPr>
          <w:sz w:val="20"/>
          <w:szCs w:val="20"/>
          <w:color w:val="auto"/>
        </w:rPr>
      </w:pPr>
    </w:p>
    <w:p>
      <w:pPr>
        <w:ind w:right="4080" w:firstLine="1042"/>
        <w:spacing w:after="0" w:line="252" w:lineRule="auto"/>
        <w:rPr>
          <w:sz w:val="20"/>
          <w:szCs w:val="20"/>
          <w:color w:val="auto"/>
        </w:rPr>
      </w:pPr>
      <w:r>
        <w:rPr>
          <w:rFonts w:ascii="Courier New" w:cs="Courier New" w:eastAsia="Courier New" w:hAnsi="Courier New"/>
          <w:sz w:val="14"/>
          <w:szCs w:val="14"/>
          <w:color w:val="auto"/>
        </w:rPr>
        <w:t>The Company's net interest income before provision for loan losses of $15,726 decreased $81,956 or 84% during 2000 as compared to the prior year. The decline was primarily due to a decrease in average interest-earning assets and a decrease in the net interest spread. Average interest-earning assets decreased by $271,778 or 12% during 2000 and reduced interest income by $31,348. The net impact of volume changes resulted in a $33,729 decrease in net interest income. The net interest spread decreased 258 basis points during 2000 as a result of a 192 basis-point decrease in the weighted average yield on interest-earning assets and a 66 basis-point increase in the weighted average rate on interest-bearing liabilities. The sale of Ocwen UK, which generated a high net interest spread in 1999, contributed to the overall decline in the net interest spread. Additionally, the average balance of non-interest earning assets, which are largely funded by interest bearing liabilities, has increased during 2000, primarily due to an increase in real estate assets resulting from the acquisition of OAC and an increase in advances resulting from the growth of the domestic loan servicing business. The impact of these rate changes resulted in a $48,227 decrease in net interest income.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1040"/>
          </w:cols>
          <w:pgMar w:left="220" w:top="620" w:right="639" w:bottom="1440" w:gutter="0" w:footer="0" w:header="0"/>
        </w:sectPr>
      </w:pPr>
    </w:p>
    <w:bookmarkStart w:id="43" w:name="page44"/>
    <w:bookmarkEnd w:id="43"/>
    <w:p>
      <w:pPr>
        <w:ind w:right="502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Average Balance</w:t>
            </w:r>
          </w:p>
        </w:tc>
        <w:tc>
          <w:tcPr>
            <w:tcW w:w="22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Increase</w:t>
            </w:r>
          </w:p>
        </w:tc>
        <w:tc>
          <w:tcPr>
            <w:tcW w:w="22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Average Yield</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Increase</w:t>
            </w:r>
          </w:p>
        </w:tc>
      </w:tr>
      <w:tr>
        <w:trPr>
          <w:trHeight w:val="167"/>
        </w:trPr>
        <w:tc>
          <w:tcPr>
            <w:tcW w:w="370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6"/>
              </w:rPr>
              <w:t>---------------------------</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(Decrease)</w:t>
            </w:r>
          </w:p>
        </w:tc>
        <w:tc>
          <w:tcPr>
            <w:tcW w:w="2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(Decrease)</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380" w:type="dxa"/>
            <w:vAlign w:val="bottom"/>
          </w:tcPr>
          <w:p>
            <w:pPr>
              <w:spacing w:after="0"/>
              <w:rPr>
                <w:sz w:val="14"/>
                <w:szCs w:val="14"/>
                <w:color w:val="auto"/>
              </w:rPr>
            </w:pPr>
          </w:p>
        </w:tc>
        <w:tc>
          <w:tcPr>
            <w:tcW w:w="11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4"/>
                <w:szCs w:val="14"/>
                <w:color w:val="auto"/>
              </w:rPr>
            </w:pPr>
          </w:p>
        </w:tc>
        <w:tc>
          <w:tcPr>
            <w:tcW w:w="1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Basis Points</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Federal funds sold and repurchase</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agreements ..........................</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128,079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174,495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(46,416)</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6.79%</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5.07%</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172</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 ..........</w:t>
            </w:r>
          </w:p>
        </w:tc>
        <w:tc>
          <w:tcPr>
            <w:tcW w:w="38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541,654</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593,291</w:t>
            </w:r>
          </w:p>
        </w:tc>
        <w:tc>
          <w:tcPr>
            <w:tcW w:w="2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(51,637)</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7.85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Trading securities .....................</w:t>
            </w:r>
          </w:p>
        </w:tc>
        <w:tc>
          <w:tcPr>
            <w:tcW w:w="38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107,720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107,720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7.61</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761</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Loans available for sale (1) ...........</w:t>
            </w:r>
          </w:p>
        </w:tc>
        <w:tc>
          <w:tcPr>
            <w:tcW w:w="38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31,050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238,747</w:t>
            </w:r>
          </w:p>
        </w:tc>
        <w:tc>
          <w:tcPr>
            <w:tcW w:w="2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(207,697)</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7.97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Investment securities and other ........</w:t>
            </w:r>
          </w:p>
        </w:tc>
        <w:tc>
          <w:tcPr>
            <w:tcW w:w="38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20,892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29,340</w:t>
            </w:r>
          </w:p>
        </w:tc>
        <w:tc>
          <w:tcPr>
            <w:tcW w:w="2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(8,448)</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7.18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Loan portfolio .........................</w:t>
            </w:r>
          </w:p>
        </w:tc>
        <w:tc>
          <w:tcPr>
            <w:tcW w:w="38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143,906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181,445</w:t>
            </w:r>
          </w:p>
        </w:tc>
        <w:tc>
          <w:tcPr>
            <w:tcW w:w="2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(37,539)</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Discount loan portfolio ................</w:t>
            </w:r>
          </w:p>
        </w:tc>
        <w:tc>
          <w:tcPr>
            <w:tcW w:w="38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819,262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959,992</w:t>
            </w:r>
          </w:p>
        </w:tc>
        <w:tc>
          <w:tcPr>
            <w:tcW w:w="2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(140,730)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10.96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Match funded loans and securities ......</w:t>
            </w:r>
          </w:p>
        </w:tc>
        <w:tc>
          <w:tcPr>
            <w:tcW w:w="38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143,452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30,483</w:t>
            </w:r>
          </w:p>
        </w:tc>
        <w:tc>
          <w:tcPr>
            <w:tcW w:w="22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112,969</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7.68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(294)</w:t>
            </w:r>
          </w:p>
        </w:tc>
      </w:tr>
      <w:tr>
        <w:trPr>
          <w:trHeight w:val="167"/>
        </w:trPr>
        <w:tc>
          <w:tcPr>
            <w:tcW w:w="3700" w:type="dxa"/>
            <w:vAlign w:val="bottom"/>
          </w:tcPr>
          <w:p>
            <w:pPr>
              <w:spacing w:after="0"/>
              <w:rPr>
                <w:sz w:val="14"/>
                <w:szCs w:val="14"/>
                <w:color w:val="auto"/>
              </w:rPr>
            </w:pPr>
          </w:p>
        </w:tc>
        <w:tc>
          <w:tcPr>
            <w:tcW w:w="14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700" w:type="dxa"/>
            <w:vAlign w:val="bottom"/>
          </w:tcPr>
          <w:p>
            <w:pPr>
              <w:spacing w:after="0"/>
              <w:rPr>
                <w:sz w:val="14"/>
                <w:szCs w:val="14"/>
                <w:color w:val="auto"/>
              </w:rPr>
            </w:pP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1,936,015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$ 2,207,793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(271,778)</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9.55%</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w:t>
            </w:r>
          </w:p>
        </w:tc>
      </w:tr>
      <w:tr>
        <w:trPr>
          <w:trHeight w:val="167"/>
        </w:trPr>
        <w:tc>
          <w:tcPr>
            <w:tcW w:w="3700" w:type="dxa"/>
            <w:vAlign w:val="bottom"/>
          </w:tcPr>
          <w:p>
            <w:pPr>
              <w:spacing w:after="0"/>
              <w:rPr>
                <w:sz w:val="14"/>
                <w:szCs w:val="14"/>
                <w:color w:val="auto"/>
              </w:rPr>
            </w:pPr>
          </w:p>
        </w:tc>
        <w:tc>
          <w:tcPr>
            <w:tcW w:w="14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171" w:lineRule="exact"/>
        <w:rPr>
          <w:sz w:val="20"/>
          <w:szCs w:val="20"/>
          <w:color w:val="auto"/>
        </w:rPr>
      </w:pPr>
    </w:p>
    <w:p>
      <w:pPr>
        <w:ind w:left="800" w:right="4760" w:hanging="791"/>
        <w:spacing w:after="0" w:line="258" w:lineRule="auto"/>
        <w:tabs>
          <w:tab w:leader="none" w:pos="8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average balance of $132,066 with an average yield earned of 12.28% for 1999 related to Ocwen UK.</w:t>
      </w:r>
    </w:p>
    <w:p>
      <w:pPr>
        <w:spacing w:after="0" w:line="200" w:lineRule="exact"/>
        <w:rPr>
          <w:sz w:val="20"/>
          <w:szCs w:val="20"/>
          <w:color w:val="auto"/>
        </w:rPr>
      </w:pPr>
    </w:p>
    <w:p>
      <w:pPr>
        <w:spacing w:after="0" w:line="294" w:lineRule="exact"/>
        <w:rPr>
          <w:sz w:val="20"/>
          <w:szCs w:val="20"/>
          <w:color w:val="auto"/>
        </w:rPr>
      </w:pPr>
    </w:p>
    <w:p>
      <w:pPr>
        <w:ind w:right="4500" w:firstLine="781"/>
        <w:spacing w:after="0" w:line="252" w:lineRule="auto"/>
        <w:rPr>
          <w:sz w:val="20"/>
          <w:szCs w:val="20"/>
          <w:color w:val="auto"/>
        </w:rPr>
      </w:pPr>
      <w:r>
        <w:rPr>
          <w:rFonts w:ascii="Courier New" w:cs="Courier New" w:eastAsia="Courier New" w:hAnsi="Courier New"/>
          <w:sz w:val="14"/>
          <w:szCs w:val="14"/>
          <w:color w:val="auto"/>
        </w:rPr>
        <w:t>Interest income on securities available for sale decreased $20,191 or 32% during 2000 as compared to 1999 as a result of a 272 basis-point decrease in the weighted average yield earned and a 9% decrease in the average balance. On September 30, 2000 the Company changed its policy for securities available for sale and transferred those securities to the trading category. The Company believes that this treatment more appropriately reflects the impact on its results of operations arising from changes in the fair value of securities. This change in policy and resulting transfer contributed to the decline in interest income and the average balance during 2000. As indicated in the table below, the decrease in the overall weighted average yield during 2000 was largely due to changes in the composition of the portfolio to a greater concentration of collateralized mortgage obligations ("CMOs"). Because CMOs have less cash flow variability, their average lives and yields to maturity are more stable, and therefore, CMOs are priced to yield less than classes of mortgage-related securities such as subordinates and residuals that are less stable. The sale of Ocwen UK and its subprime residuals also contributed to the decline in the average balance and average yield.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Average Balance</w:t>
            </w:r>
          </w:p>
        </w:tc>
        <w:tc>
          <w:tcPr>
            <w:tcW w:w="1520" w:type="dxa"/>
            <w:vAlign w:val="bottom"/>
          </w:tcPr>
          <w:p>
            <w:pPr>
              <w:spacing w:after="0"/>
              <w:rPr>
                <w:sz w:val="14"/>
                <w:szCs w:val="14"/>
                <w:color w:val="auto"/>
              </w:rPr>
            </w:pPr>
          </w:p>
        </w:tc>
        <w:tc>
          <w:tcPr>
            <w:tcW w:w="20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Average Yield</w:t>
            </w:r>
          </w:p>
        </w:tc>
      </w:tr>
      <w:tr>
        <w:trPr>
          <w:trHeight w:val="167"/>
        </w:trPr>
        <w:tc>
          <w:tcPr>
            <w:tcW w:w="388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980" w:type="dxa"/>
            <w:vAlign w:val="bottom"/>
          </w:tcPr>
          <w:p>
            <w:pPr>
              <w:spacing w:after="0"/>
              <w:rPr>
                <w:sz w:val="14"/>
                <w:szCs w:val="14"/>
                <w:color w:val="auto"/>
              </w:rPr>
            </w:pPr>
          </w:p>
        </w:tc>
        <w:tc>
          <w:tcPr>
            <w:tcW w:w="14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spacing w:after="0"/>
              <w:rPr>
                <w:sz w:val="14"/>
                <w:szCs w:val="14"/>
                <w:color w:val="auto"/>
              </w:rPr>
            </w:pPr>
          </w:p>
        </w:tc>
        <w:tc>
          <w:tcPr>
            <w:tcW w:w="152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Amount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Percent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Amount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Percent</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8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CMOs (AAA-rated) .........................</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$427,821</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$366,343</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5.71%</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Subordinates and residuals (1) ...........</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113,833</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226,948</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18.41</w:t>
            </w:r>
          </w:p>
        </w:tc>
      </w:tr>
      <w:tr>
        <w:trPr>
          <w:trHeight w:val="167"/>
        </w:trPr>
        <w:tc>
          <w:tcPr>
            <w:tcW w:w="38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4"/>
        </w:trPr>
        <w:tc>
          <w:tcPr>
            <w:tcW w:w="3880" w:type="dxa"/>
            <w:vAlign w:val="bottom"/>
          </w:tcPr>
          <w:p>
            <w:pPr>
              <w:spacing w:after="0"/>
              <w:rPr>
                <w:sz w:val="24"/>
                <w:szCs w:val="2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$541,654</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$593,291</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10.57%</w:t>
            </w:r>
          </w:p>
        </w:tc>
      </w:tr>
      <w:tr>
        <w:trPr>
          <w:trHeight w:val="167"/>
        </w:trPr>
        <w:tc>
          <w:tcPr>
            <w:tcW w:w="38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1" w:lineRule="exact"/>
        <w:rPr>
          <w:sz w:val="20"/>
          <w:szCs w:val="20"/>
          <w:color w:val="auto"/>
        </w:rPr>
      </w:pPr>
    </w:p>
    <w:p>
      <w:pPr>
        <w:ind w:left="800" w:right="4860" w:hanging="791"/>
        <w:spacing w:after="0" w:line="258" w:lineRule="auto"/>
        <w:tabs>
          <w:tab w:leader="none" w:pos="8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average balance of $60,736 with an average yield earned of 24.45% for 1999 related to Ocwen UK.</w:t>
      </w:r>
    </w:p>
    <w:p>
      <w:pPr>
        <w:spacing w:after="0" w:line="200" w:lineRule="exact"/>
        <w:rPr>
          <w:sz w:val="20"/>
          <w:szCs w:val="20"/>
          <w:color w:val="auto"/>
        </w:rPr>
      </w:pPr>
    </w:p>
    <w:p>
      <w:pPr>
        <w:spacing w:after="0" w:line="294" w:lineRule="exact"/>
        <w:rPr>
          <w:sz w:val="20"/>
          <w:szCs w:val="20"/>
          <w:color w:val="auto"/>
        </w:rPr>
      </w:pPr>
    </w:p>
    <w:p>
      <w:pPr>
        <w:jc w:val="both"/>
        <w:ind w:right="4500" w:firstLine="781"/>
        <w:spacing w:after="0" w:line="252" w:lineRule="auto"/>
        <w:rPr>
          <w:sz w:val="20"/>
          <w:szCs w:val="20"/>
          <w:color w:val="auto"/>
        </w:rPr>
      </w:pPr>
      <w:r>
        <w:rPr>
          <w:rFonts w:ascii="Courier New" w:cs="Courier New" w:eastAsia="Courier New" w:hAnsi="Courier New"/>
          <w:sz w:val="14"/>
          <w:szCs w:val="14"/>
          <w:color w:val="auto"/>
        </w:rPr>
        <w:t>Interest income on trading securities amounted to $8,200 during 2000 as compared to $0 for 1999. As noted above, this resulted from the Company's change in its policy for securities available for sale to account for them as trading.</w:t>
      </w:r>
    </w:p>
    <w:p>
      <w:pPr>
        <w:spacing w:after="0" w:line="1" w:lineRule="exact"/>
        <w:rPr>
          <w:sz w:val="20"/>
          <w:szCs w:val="20"/>
          <w:color w:val="auto"/>
        </w:rPr>
      </w:pPr>
    </w:p>
    <w:p>
      <w:pPr>
        <w:jc w:val="both"/>
        <w:ind w:right="4500"/>
        <w:spacing w:after="0" w:line="258" w:lineRule="auto"/>
        <w:rPr>
          <w:sz w:val="20"/>
          <w:szCs w:val="20"/>
          <w:color w:val="auto"/>
        </w:rPr>
      </w:pPr>
      <w:r>
        <w:rPr>
          <w:rFonts w:ascii="Courier New" w:cs="Courier New" w:eastAsia="Courier New" w:hAnsi="Courier New"/>
          <w:sz w:val="14"/>
          <w:szCs w:val="14"/>
          <w:color w:val="auto"/>
        </w:rPr>
        <w:t>The table below indicates the composition of the portfolio of trading securities during the period from September 30, 2000 through December 31, 2000: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Annualized</w:t>
            </w:r>
          </w:p>
        </w:tc>
      </w:tr>
      <w:tr>
        <w:trPr>
          <w:trHeight w:val="167"/>
        </w:trPr>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Average Balance</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Amount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Percent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Yield</w:t>
            </w:r>
          </w:p>
        </w:tc>
      </w:tr>
      <w:tr>
        <w:trPr>
          <w:trHeight w:val="167"/>
        </w:trPr>
        <w:tc>
          <w:tcPr>
            <w:tcW w:w="352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CMOs (AAA-rated)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83,543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6.67%</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Subordinates and residuals ...........</w:t>
            </w:r>
          </w:p>
        </w:tc>
        <w:tc>
          <w:tcPr>
            <w:tcW w:w="30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24,177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10.88</w:t>
            </w:r>
          </w:p>
        </w:tc>
      </w:tr>
      <w:tr>
        <w:trPr>
          <w:trHeight w:val="167"/>
        </w:trPr>
        <w:tc>
          <w:tcPr>
            <w:tcW w:w="352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107,720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7.61%</w:t>
            </w:r>
          </w:p>
        </w:tc>
      </w:tr>
      <w:tr>
        <w:trPr>
          <w:trHeight w:val="167"/>
        </w:trPr>
        <w:tc>
          <w:tcPr>
            <w:tcW w:w="352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bl>
    <w:p>
      <w:pPr>
        <w:spacing w:after="0" w:line="171" w:lineRule="exact"/>
        <w:rPr>
          <w:sz w:val="20"/>
          <w:szCs w:val="20"/>
          <w:color w:val="auto"/>
        </w:rPr>
      </w:pPr>
    </w:p>
    <w:p>
      <w:pPr>
        <w:ind w:right="4500" w:firstLine="781"/>
        <w:spacing w:after="0" w:line="253" w:lineRule="auto"/>
        <w:rPr>
          <w:sz w:val="20"/>
          <w:szCs w:val="20"/>
          <w:color w:val="auto"/>
        </w:rPr>
      </w:pPr>
      <w:r>
        <w:rPr>
          <w:rFonts w:ascii="Courier New" w:cs="Courier New" w:eastAsia="Courier New" w:hAnsi="Courier New"/>
          <w:sz w:val="14"/>
          <w:szCs w:val="14"/>
          <w:color w:val="auto"/>
        </w:rPr>
        <w:t>Interest income on loans available for sale decreased $23,250 or 90% during 2000 as compared to 1999 as a result of a $207,697 or 87% decrease in the average balance and a 280 basis-point decline in weighted average yield earned. The decrease in the average balance reflects the closure of the domestic subprime origination business and the sale of Ocwen UK. The decline in the average yield is also largely due to the sale of Ocwen UK. See "Changes in Financial Condition - Loans Available for Sale."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1460"/>
          </w:cols>
          <w:pgMar w:left="220" w:top="453" w:right="219" w:bottom="0" w:gutter="0" w:footer="0" w:header="0"/>
        </w:sectPr>
      </w:pPr>
    </w:p>
    <w:bookmarkStart w:id="44" w:name="page45"/>
    <w:bookmarkEnd w:id="44"/>
    <w:p>
      <w:pPr>
        <w:ind w:right="510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580" w:firstLine="781"/>
        <w:spacing w:after="0" w:line="253" w:lineRule="auto"/>
        <w:rPr>
          <w:sz w:val="20"/>
          <w:szCs w:val="20"/>
          <w:color w:val="auto"/>
        </w:rPr>
      </w:pPr>
      <w:r>
        <w:rPr>
          <w:rFonts w:ascii="Courier New" w:cs="Courier New" w:eastAsia="Courier New" w:hAnsi="Courier New"/>
          <w:sz w:val="14"/>
          <w:szCs w:val="14"/>
          <w:color w:val="auto"/>
        </w:rPr>
        <w:t>Interest income on the loan portfolio decreased by $8,097 or 28% in 2000 versus 1999 due to a $37,539 or 21% decrease in the average balance and a 150 basis-point decrease in the average yield. The decrease in the average yield is due in part to a decline in the amount of additional interest received in connection with the repayment of loans. Such additional interest amounted to $96 and $8,121 during 2000 and 1999, respectively. During 1999, the Company ceased origination of multi-family and commercial loans. See "Changes in Financial Condition - Loan Portfolio, Net."</w:t>
      </w:r>
    </w:p>
    <w:p>
      <w:pPr>
        <w:spacing w:after="0" w:line="165" w:lineRule="exact"/>
        <w:rPr>
          <w:sz w:val="20"/>
          <w:szCs w:val="20"/>
          <w:color w:val="auto"/>
        </w:rPr>
      </w:pPr>
    </w:p>
    <w:p>
      <w:pPr>
        <w:ind w:right="4580" w:firstLine="781"/>
        <w:spacing w:after="0" w:line="253" w:lineRule="auto"/>
        <w:rPr>
          <w:sz w:val="20"/>
          <w:szCs w:val="20"/>
          <w:color w:val="auto"/>
        </w:rPr>
      </w:pPr>
      <w:r>
        <w:rPr>
          <w:rFonts w:ascii="Courier New" w:cs="Courier New" w:eastAsia="Courier New" w:hAnsi="Courier New"/>
          <w:sz w:val="14"/>
          <w:szCs w:val="14"/>
          <w:color w:val="auto"/>
        </w:rPr>
        <w:t>Interest income on discount loans decreased by $32,028 or 26% during 2000 as a result of a $140,730 or 15% decrease in the average balance and a 173 basis-point decline in the average yield. A decline in acquisition volume has contributed significantly to the decline in the average balance. See "Changes in Financial Condition - Discount Loan Portfolio, Net." The yield on the discount loan portfolio is likely to fluctuate from period to period as a result of the timing of resolutions, particularly the resolution of large multi-family residential and commercial real estate loans, and the mix of the overall portfolio between performing and non-performing loans.</w:t>
      </w:r>
    </w:p>
    <w:p>
      <w:pPr>
        <w:spacing w:after="0" w:line="164" w:lineRule="exact"/>
        <w:rPr>
          <w:sz w:val="20"/>
          <w:szCs w:val="20"/>
          <w:color w:val="auto"/>
        </w:rPr>
      </w:pPr>
    </w:p>
    <w:p>
      <w:pPr>
        <w:ind w:right="4580" w:firstLine="781"/>
        <w:spacing w:after="0" w:line="253" w:lineRule="auto"/>
        <w:rPr>
          <w:sz w:val="20"/>
          <w:szCs w:val="20"/>
          <w:color w:val="auto"/>
        </w:rPr>
      </w:pPr>
      <w:r>
        <w:rPr>
          <w:rFonts w:ascii="Courier New" w:cs="Courier New" w:eastAsia="Courier New" w:hAnsi="Courier New"/>
          <w:sz w:val="14"/>
          <w:szCs w:val="14"/>
          <w:color w:val="auto"/>
        </w:rPr>
        <w:t>Interest income on match funded loans and securities is comprised of income earned on loans acquired in connection with the acquisition of OAC in October 1999 and on four unrated residual securities transferred by the Company in December 1999 to Ocwen NIMS Corp. in exchange for non-recourse notes. The loans were previously securitized by OAC under a securitization accounted for as a financing transaction. See "Changes in Financial Condition - Match Funded Loans and Securities."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5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Average Balance</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Increase</w:t>
            </w:r>
          </w:p>
        </w:tc>
        <w:tc>
          <w:tcPr>
            <w:tcW w:w="16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Average Rate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Increase</w:t>
            </w:r>
          </w:p>
        </w:tc>
      </w:tr>
      <w:tr>
        <w:trPr>
          <w:trHeight w:val="167"/>
        </w:trPr>
        <w:tc>
          <w:tcPr>
            <w:tcW w:w="12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(Decrease)</w:t>
            </w:r>
          </w:p>
        </w:tc>
        <w:tc>
          <w:tcPr>
            <w:tcW w:w="1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(Decrease)</w:t>
            </w:r>
          </w:p>
        </w:tc>
      </w:tr>
      <w:tr>
        <w:trPr>
          <w:trHeight w:val="167"/>
        </w:trPr>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1999</w:t>
            </w:r>
          </w:p>
        </w:tc>
        <w:tc>
          <w:tcPr>
            <w:tcW w:w="1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2000</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Basis Points</w:t>
            </w:r>
          </w:p>
        </w:tc>
      </w:tr>
      <w:tr>
        <w:trPr>
          <w:trHeight w:val="167"/>
        </w:trPr>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Interest-bearing deposits ............................</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$ 1,534,075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$ 1,629,139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(95,064)</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6.40%</w:t>
            </w:r>
          </w:p>
        </w:tc>
        <w:tc>
          <w:tcPr>
            <w:tcW w:w="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w:t>
            </w:r>
          </w:p>
        </w:tc>
      </w:tr>
      <w:tr>
        <w:trPr>
          <w:trHeight w:val="167"/>
        </w:trPr>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Securities sold under agreements to</w:t>
            </w: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repurchase</w:t>
            </w:r>
          </w:p>
        </w:tc>
        <w:tc>
          <w:tcPr>
            <w:tcW w:w="3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 ....................................</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167,337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107,622</w:t>
            </w:r>
          </w:p>
        </w:tc>
        <w:tc>
          <w:tcPr>
            <w:tcW w:w="1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59,715</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6.41</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6.93</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(52)</w:t>
            </w:r>
          </w:p>
        </w:tc>
      </w:tr>
      <w:tr>
        <w:trPr>
          <w:trHeight w:val="167"/>
        </w:trPr>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Bonds-match funded agreements ........................</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123,856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28,904</w:t>
            </w:r>
          </w:p>
        </w:tc>
        <w:tc>
          <w:tcPr>
            <w:tcW w:w="1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94,952</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9.27</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7.27</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w:t>
            </w:r>
          </w:p>
        </w:tc>
      </w:tr>
      <w:tr>
        <w:trPr>
          <w:trHeight w:val="167"/>
        </w:trPr>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Obligations outstanding under lines of credit (2).....</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151,672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256,300</w:t>
            </w:r>
          </w:p>
        </w:tc>
        <w:tc>
          <w:tcPr>
            <w:tcW w:w="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(104,628)</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9.15</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6.37</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278</w:t>
            </w:r>
          </w:p>
        </w:tc>
      </w:tr>
      <w:tr>
        <w:trPr>
          <w:trHeight w:val="167"/>
        </w:trPr>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Notes, debentures and other ..........................</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284,634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257,219</w:t>
            </w:r>
          </w:p>
        </w:tc>
        <w:tc>
          <w:tcPr>
            <w:tcW w:w="1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27,415</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12.22</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12.16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w:t>
            </w:r>
          </w:p>
        </w:tc>
      </w:tr>
      <w:tr>
        <w:trPr>
          <w:trHeight w:val="167"/>
        </w:trPr>
        <w:tc>
          <w:tcPr>
            <w:tcW w:w="12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$ 2,261,574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$ 2,279,184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(17,610)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7.48%</w:t>
            </w:r>
          </w:p>
        </w:tc>
        <w:tc>
          <w:tcPr>
            <w:tcW w:w="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6.82%</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w:t>
            </w:r>
          </w:p>
        </w:tc>
      </w:tr>
      <w:tr>
        <w:trPr>
          <w:trHeight w:val="167"/>
        </w:trPr>
        <w:tc>
          <w:tcPr>
            <w:tcW w:w="12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171" w:lineRule="exact"/>
        <w:rPr>
          <w:sz w:val="20"/>
          <w:szCs w:val="20"/>
          <w:color w:val="auto"/>
        </w:rPr>
      </w:pPr>
    </w:p>
    <w:p>
      <w:pPr>
        <w:ind w:left="800" w:right="4760" w:hanging="791"/>
        <w:spacing w:after="0" w:line="258" w:lineRule="auto"/>
        <w:tabs>
          <w:tab w:leader="none" w:pos="8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average balance of $22,908 with an average yield of 7.64% for 1999 related to Ocwen UK.</w:t>
      </w:r>
    </w:p>
    <w:p>
      <w:pPr>
        <w:spacing w:after="0" w:line="159" w:lineRule="exact"/>
        <w:rPr>
          <w:rFonts w:ascii="Courier New" w:cs="Courier New" w:eastAsia="Courier New" w:hAnsi="Courier New"/>
          <w:sz w:val="14"/>
          <w:szCs w:val="14"/>
          <w:color w:val="auto"/>
        </w:rPr>
      </w:pPr>
    </w:p>
    <w:p>
      <w:pPr>
        <w:ind w:left="800" w:right="4680" w:hanging="791"/>
        <w:spacing w:after="0" w:line="258" w:lineRule="auto"/>
        <w:tabs>
          <w:tab w:leader="none" w:pos="8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average balance of $130,437 with an average yield of 6.16% for 1999 related to Ocwen UK.</w:t>
      </w:r>
    </w:p>
    <w:p>
      <w:pPr>
        <w:spacing w:after="0" w:line="200" w:lineRule="exact"/>
        <w:rPr>
          <w:sz w:val="20"/>
          <w:szCs w:val="20"/>
          <w:color w:val="auto"/>
        </w:rPr>
      </w:pPr>
    </w:p>
    <w:p>
      <w:pPr>
        <w:spacing w:after="0" w:line="294" w:lineRule="exact"/>
        <w:rPr>
          <w:sz w:val="20"/>
          <w:szCs w:val="20"/>
          <w:color w:val="auto"/>
        </w:rPr>
      </w:pPr>
    </w:p>
    <w:p>
      <w:pPr>
        <w:ind w:right="5020" w:firstLine="781"/>
        <w:spacing w:after="0" w:line="255" w:lineRule="auto"/>
        <w:rPr>
          <w:sz w:val="20"/>
          <w:szCs w:val="20"/>
          <w:color w:val="auto"/>
        </w:rPr>
      </w:pPr>
      <w:r>
        <w:rPr>
          <w:rFonts w:ascii="Courier New" w:cs="Courier New" w:eastAsia="Courier New" w:hAnsi="Courier New"/>
          <w:sz w:val="14"/>
          <w:szCs w:val="14"/>
          <w:color w:val="auto"/>
        </w:rPr>
        <w:t>Interest expense on securities sold under agreements to repurchase increased $3,273 or 44% primarily due to a $59,715 or 55% increase in the average balance.</w:t>
      </w:r>
    </w:p>
    <w:p>
      <w:pPr>
        <w:spacing w:after="0" w:line="162" w:lineRule="exact"/>
        <w:rPr>
          <w:sz w:val="20"/>
          <w:szCs w:val="20"/>
          <w:color w:val="auto"/>
        </w:rPr>
      </w:pPr>
    </w:p>
    <w:p>
      <w:pPr>
        <w:ind w:right="4760" w:firstLine="781"/>
        <w:spacing w:after="0" w:line="253" w:lineRule="auto"/>
        <w:rPr>
          <w:sz w:val="20"/>
          <w:szCs w:val="20"/>
          <w:color w:val="auto"/>
        </w:rPr>
      </w:pPr>
      <w:r>
        <w:rPr>
          <w:rFonts w:ascii="Courier New" w:cs="Courier New" w:eastAsia="Courier New" w:hAnsi="Courier New"/>
          <w:sz w:val="14"/>
          <w:szCs w:val="14"/>
          <w:color w:val="auto"/>
        </w:rPr>
        <w:t>Interest expense on bonds-match funded agreements is comprised of interest incurred on bonds-match funded agreements acquired as a result of the OAC acquisition in October 1999 and on non-recourse notes which resulted from the Company's transfer of four unrated residual securities in December 1999 to Ocwen NIM Corporation in exchange for non-recourse notes. See "Changes in Financial Condition - Bonds Match Funded Agreements."</w:t>
      </w:r>
    </w:p>
    <w:p>
      <w:pPr>
        <w:spacing w:after="0" w:line="165" w:lineRule="exact"/>
        <w:rPr>
          <w:sz w:val="20"/>
          <w:szCs w:val="20"/>
          <w:color w:val="auto"/>
        </w:rPr>
      </w:pPr>
    </w:p>
    <w:p>
      <w:pPr>
        <w:ind w:right="4580" w:firstLine="781"/>
        <w:spacing w:after="0" w:line="253" w:lineRule="auto"/>
        <w:rPr>
          <w:sz w:val="20"/>
          <w:szCs w:val="20"/>
          <w:color w:val="auto"/>
        </w:rPr>
      </w:pPr>
      <w:r>
        <w:rPr>
          <w:rFonts w:ascii="Courier New" w:cs="Courier New" w:eastAsia="Courier New" w:hAnsi="Courier New"/>
          <w:sz w:val="14"/>
          <w:szCs w:val="14"/>
          <w:color w:val="auto"/>
        </w:rPr>
        <w:t>Interest expense on obligations outstanding under lines of credit decreased $2,437 or 15% during 2000 as compared to 1999 due to a $104,628 or 41% decrease in the average balance, which was partially offset by a 278 basis-point increase in the weighted average interest rate. During 1999, lines of credit were used primarily to fund the acquisition and origination of subprime single family loans at OFS and Ocwen UK. The net decrease in the average balance reflects the closure of the domestic subprime origination business and the sale of Ocwen UK, offset by the assumption of lines as a result of the acquisition of OAC. The average balance of the OAC lines, which are collateralized by investments in real estate and commercial loans, declined during 2000 as a result of collateral sales. See "Changes in Financial Condition - Obligations Outstanding Under Lines of Credit."</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Interest expense on notes, debentures and other increased $3,475 or 11%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2000 primarily due to a $27,415 or 11% increase in the average balance.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increase in the average balance is primarily due to the assumption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$140,487 of 11.5% Redeemable Notes as a result of the OAC acquisition in October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offset in part by the Company's repurchase of substantially all of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in December 2000. See "Changes in Financial Condition - Notes, Debentures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 Interest-Bearing Deposits."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1540"/>
          </w:cols>
          <w:pgMar w:left="220" w:top="453" w:right="139" w:bottom="974" w:gutter="0" w:footer="0" w:header="0"/>
        </w:sectPr>
      </w:pPr>
    </w:p>
    <w:bookmarkStart w:id="45" w:name="page46"/>
    <w:bookmarkEnd w:id="45"/>
    <w:p>
      <w:pPr>
        <w:ind w:right="502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 versus 1998:</w:t>
      </w:r>
    </w:p>
    <w:p>
      <w:pPr>
        <w:spacing w:after="0" w:line="175" w:lineRule="exact"/>
        <w:rPr>
          <w:sz w:val="20"/>
          <w:szCs w:val="20"/>
          <w:color w:val="auto"/>
        </w:rPr>
      </w:pPr>
    </w:p>
    <w:p>
      <w:pPr>
        <w:ind w:right="4500" w:firstLine="781"/>
        <w:spacing w:after="0" w:line="253" w:lineRule="auto"/>
        <w:rPr>
          <w:sz w:val="20"/>
          <w:szCs w:val="20"/>
          <w:color w:val="auto"/>
        </w:rPr>
      </w:pPr>
      <w:r>
        <w:rPr>
          <w:rFonts w:ascii="Courier New" w:cs="Courier New" w:eastAsia="Courier New" w:hAnsi="Courier New"/>
          <w:sz w:val="14"/>
          <w:szCs w:val="14"/>
          <w:color w:val="auto"/>
        </w:rPr>
        <w:t>The Company's net interest income before provision for loan losses of $97,682 decreased $25,119 or 20% during 1999 as compared to 1998. The decrease was due to a decrease in average interest-earning assets, offset by a decrease in average interest-bearing liabilities and an increase in the net interest spread. Average interest-earning assets decreased by $648,041 or 23% during 1999 and reduced interest income by $81,790. Average interest-bearing liabilities decreased $413,569 or 15% and reduced interest expense by $24,399. The impact of these volume changes resulted in a $57,391 decrease in net interest income. The net interest spread increased 75 basis points during 1999 as a result of a 70 basis-point increase in the weighted average rate on interest-earning assets and a 5 basis-point decrease in the weighted average rate on interest-bearing liabilities. The impact of these rate changes resulted in a $32,272 increase in net interest income.</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Average Balance</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w:t>
            </w:r>
          </w:p>
        </w:tc>
        <w:tc>
          <w:tcPr>
            <w:tcW w:w="19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Average Yield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w:t>
            </w:r>
          </w:p>
        </w:tc>
      </w:tr>
      <w:tr>
        <w:trPr>
          <w:trHeight w:val="167"/>
        </w:trPr>
        <w:tc>
          <w:tcPr>
            <w:tcW w:w="448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Courier New" w:cs="Courier New" w:eastAsia="Courier New" w:hAnsi="Courier New"/>
                <w:sz w:val="11"/>
                <w:szCs w:val="11"/>
                <w:color w:val="auto"/>
                <w:w w:val="70"/>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(Decrease)</w:t>
            </w: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(Decrease)</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3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18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160" w:type="dxa"/>
            <w:vAlign w:val="bottom"/>
          </w:tcPr>
          <w:p>
            <w:pPr>
              <w:spacing w:after="0"/>
              <w:rPr>
                <w:sz w:val="14"/>
                <w:szCs w:val="14"/>
                <w:color w:val="auto"/>
              </w:rPr>
            </w:pPr>
          </w:p>
        </w:tc>
        <w:tc>
          <w:tcPr>
            <w:tcW w:w="11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Basis Points</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Federal funds sold and repurchase agreements......</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174,495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149,441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25,054</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5.07%</w:t>
            </w: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5.31%</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 ....................</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593,291</w:t>
            </w:r>
          </w:p>
        </w:tc>
        <w:tc>
          <w:tcPr>
            <w:tcW w:w="1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590,367</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2,924</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10.57</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374</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Loans available for sale (1) .....................</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238,747</w:t>
            </w:r>
          </w:p>
        </w:tc>
        <w:tc>
          <w:tcPr>
            <w:tcW w:w="1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523,017</w:t>
            </w:r>
          </w:p>
        </w:tc>
        <w:tc>
          <w:tcPr>
            <w:tcW w:w="1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(284,270)</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10.77</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10.86</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Investment securities and other ..................</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29,340</w:t>
            </w:r>
          </w:p>
        </w:tc>
        <w:tc>
          <w:tcPr>
            <w:tcW w:w="1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30,732</w:t>
            </w:r>
          </w:p>
        </w:tc>
        <w:tc>
          <w:tcPr>
            <w:tcW w:w="1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(1,392)</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7.43</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10.40</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(297)</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Loan portfolio ...................................</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181,445</w:t>
            </w:r>
          </w:p>
        </w:tc>
        <w:tc>
          <w:tcPr>
            <w:tcW w:w="1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266,350</w:t>
            </w:r>
          </w:p>
        </w:tc>
        <w:tc>
          <w:tcPr>
            <w:tcW w:w="1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(84,905)</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15.81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14.50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131</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Match funded loans and securities ................</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30,483</w:t>
            </w:r>
          </w:p>
        </w:tc>
        <w:tc>
          <w:tcPr>
            <w:tcW w:w="1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30,483</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10.62</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1,062</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Discount loan portfolio ..........................</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959,992</w:t>
            </w:r>
          </w:p>
        </w:tc>
        <w:tc>
          <w:tcPr>
            <w:tcW w:w="1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1,295,927</w:t>
            </w:r>
          </w:p>
        </w:tc>
        <w:tc>
          <w:tcPr>
            <w:tcW w:w="1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(335,935)</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12.69</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12.41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w:t>
            </w:r>
          </w:p>
        </w:tc>
      </w:tr>
      <w:tr>
        <w:trPr>
          <w:trHeight w:val="167"/>
        </w:trPr>
        <w:tc>
          <w:tcPr>
            <w:tcW w:w="448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48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2,207,793</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$ 2,855,834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(648,041)</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11.47%</w:t>
            </w: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w:t>
            </w:r>
          </w:p>
        </w:tc>
      </w:tr>
      <w:tr>
        <w:trPr>
          <w:trHeight w:val="167"/>
        </w:trPr>
        <w:tc>
          <w:tcPr>
            <w:tcW w:w="448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171" w:lineRule="exact"/>
        <w:rPr>
          <w:sz w:val="20"/>
          <w:szCs w:val="20"/>
          <w:color w:val="auto"/>
        </w:rPr>
      </w:pPr>
    </w:p>
    <w:p>
      <w:pPr>
        <w:ind w:left="800" w:right="4760" w:hanging="791"/>
        <w:spacing w:after="0" w:line="255" w:lineRule="auto"/>
        <w:tabs>
          <w:tab w:leader="none" w:pos="8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average balance of $132,066 and $177,839 with an average yield earned of 12.28% and 9.77% for 1999 and 1998, respectively, related to Ocwen UK.</w:t>
      </w:r>
    </w:p>
    <w:p>
      <w:pPr>
        <w:spacing w:after="0" w:line="200" w:lineRule="exact"/>
        <w:rPr>
          <w:sz w:val="20"/>
          <w:szCs w:val="20"/>
          <w:color w:val="auto"/>
        </w:rPr>
      </w:pPr>
    </w:p>
    <w:p>
      <w:pPr>
        <w:spacing w:after="0" w:line="296" w:lineRule="exact"/>
        <w:rPr>
          <w:sz w:val="20"/>
          <w:szCs w:val="20"/>
          <w:color w:val="auto"/>
        </w:rPr>
      </w:pPr>
    </w:p>
    <w:p>
      <w:pPr>
        <w:ind w:right="4600" w:firstLine="781"/>
        <w:spacing w:after="0" w:line="254" w:lineRule="auto"/>
        <w:rPr>
          <w:sz w:val="20"/>
          <w:szCs w:val="20"/>
          <w:color w:val="auto"/>
        </w:rPr>
      </w:pPr>
      <w:r>
        <w:rPr>
          <w:rFonts w:ascii="Courier New" w:cs="Courier New" w:eastAsia="Courier New" w:hAnsi="Courier New"/>
          <w:sz w:val="14"/>
          <w:szCs w:val="14"/>
          <w:color w:val="auto"/>
        </w:rPr>
        <w:t>Interest income on securities available for sale increased $22,378 or 56% during 1999 as compared to 1998 primarily as a result of a 374 basis-point increase in the weighted average yield earned. As indicated in the table below, the increase in the weighted average yield during 1999 is due in large part to changes in the composition of the securities available for sale portfolio:</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Average Balance</w:t>
            </w:r>
          </w:p>
        </w:tc>
        <w:tc>
          <w:tcPr>
            <w:tcW w:w="1520" w:type="dxa"/>
            <w:vAlign w:val="bottom"/>
          </w:tcPr>
          <w:p>
            <w:pPr>
              <w:spacing w:after="0"/>
              <w:rPr>
                <w:sz w:val="14"/>
                <w:szCs w:val="14"/>
                <w:color w:val="auto"/>
              </w:rPr>
            </w:pPr>
          </w:p>
        </w:tc>
        <w:tc>
          <w:tcPr>
            <w:tcW w:w="20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Average Yield</w:t>
            </w:r>
          </w:p>
        </w:tc>
      </w:tr>
      <w:tr>
        <w:trPr>
          <w:trHeight w:val="167"/>
        </w:trPr>
        <w:tc>
          <w:tcPr>
            <w:tcW w:w="33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980" w:type="dxa"/>
            <w:vAlign w:val="bottom"/>
          </w:tcPr>
          <w:p>
            <w:pPr>
              <w:spacing w:after="0"/>
              <w:rPr>
                <w:sz w:val="14"/>
                <w:szCs w:val="14"/>
                <w:color w:val="auto"/>
              </w:rPr>
            </w:pPr>
          </w:p>
        </w:tc>
        <w:tc>
          <w:tcPr>
            <w:tcW w:w="14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1999</w:t>
            </w:r>
          </w:p>
        </w:tc>
        <w:tc>
          <w:tcPr>
            <w:tcW w:w="920" w:type="dxa"/>
            <w:vAlign w:val="bottom"/>
          </w:tcPr>
          <w:p>
            <w:pPr>
              <w:spacing w:after="0"/>
              <w:rPr>
                <w:sz w:val="14"/>
                <w:szCs w:val="14"/>
                <w:color w:val="auto"/>
              </w:rPr>
            </w:pPr>
          </w:p>
        </w:tc>
        <w:tc>
          <w:tcPr>
            <w:tcW w:w="152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1999</w:t>
            </w:r>
          </w:p>
        </w:tc>
        <w:tc>
          <w:tcPr>
            <w:tcW w:w="840" w:type="dxa"/>
            <w:vAlign w:val="bottom"/>
          </w:tcPr>
          <w:p>
            <w:pPr>
              <w:ind w:left="140"/>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Amount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Percent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Amount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Percent</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CMOs (AAA-rated) ...................</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$366,343</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$291,669</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5.71%</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5.51%</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Subordinates and residuals (1)......</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226,948</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180,673</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18.40</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13.96</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IOs (AAA-rated agency) .............</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113,347</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(0.87)</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4,678</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0.53</w:t>
            </w:r>
          </w:p>
        </w:tc>
      </w:tr>
      <w:tr>
        <w:trPr>
          <w:trHeight w:val="167"/>
        </w:trPr>
        <w:tc>
          <w:tcPr>
            <w:tcW w:w="336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$593,291</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$590,367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10.57%</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6.83%</w:t>
            </w:r>
          </w:p>
        </w:tc>
      </w:tr>
      <w:tr>
        <w:trPr>
          <w:trHeight w:val="167"/>
        </w:trPr>
        <w:tc>
          <w:tcPr>
            <w:tcW w:w="336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left="800" w:right="4940" w:hanging="791"/>
        <w:spacing w:after="0" w:line="255"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average balance of $60,736 and $30,934 with an average yield earned of 24.45% and 19.45% for 1999 and 1998, respectively, related to Ocwen UK.</w:t>
      </w:r>
    </w:p>
    <w:p>
      <w:pPr>
        <w:spacing w:after="0" w:line="200" w:lineRule="exact"/>
        <w:rPr>
          <w:sz w:val="20"/>
          <w:szCs w:val="20"/>
          <w:color w:val="auto"/>
        </w:rPr>
      </w:pPr>
    </w:p>
    <w:p>
      <w:pPr>
        <w:spacing w:after="0" w:line="296" w:lineRule="exact"/>
        <w:rPr>
          <w:sz w:val="20"/>
          <w:szCs w:val="20"/>
          <w:color w:val="auto"/>
        </w:rPr>
      </w:pPr>
    </w:p>
    <w:p>
      <w:pPr>
        <w:ind w:right="4760" w:firstLine="781"/>
        <w:spacing w:after="0" w:line="254" w:lineRule="auto"/>
        <w:rPr>
          <w:sz w:val="20"/>
          <w:szCs w:val="20"/>
          <w:color w:val="auto"/>
        </w:rPr>
      </w:pPr>
      <w:r>
        <w:rPr>
          <w:rFonts w:ascii="Courier New" w:cs="Courier New" w:eastAsia="Courier New" w:hAnsi="Courier New"/>
          <w:sz w:val="14"/>
          <w:szCs w:val="14"/>
          <w:color w:val="auto"/>
        </w:rPr>
        <w:t>During 1998, the Company discontinued its investment in AAA-rated agency IOs and sold its entire portfolio on July 27, 1998. CMOs are priced to yield less than a less stable class of mortgage-related securities, such as subordinates and residuals. See "Changes in Financial Condition - Securities Available for Sale."</w:t>
      </w:r>
    </w:p>
    <w:p>
      <w:pPr>
        <w:spacing w:after="0" w:line="162" w:lineRule="exact"/>
        <w:rPr>
          <w:sz w:val="20"/>
          <w:szCs w:val="20"/>
          <w:color w:val="auto"/>
        </w:rPr>
      </w:pPr>
    </w:p>
    <w:p>
      <w:pPr>
        <w:ind w:right="4680" w:firstLine="781"/>
        <w:spacing w:after="0" w:line="253" w:lineRule="auto"/>
        <w:rPr>
          <w:sz w:val="20"/>
          <w:szCs w:val="20"/>
          <w:color w:val="auto"/>
        </w:rPr>
      </w:pPr>
      <w:r>
        <w:rPr>
          <w:rFonts w:ascii="Courier New" w:cs="Courier New" w:eastAsia="Courier New" w:hAnsi="Courier New"/>
          <w:sz w:val="14"/>
          <w:szCs w:val="14"/>
          <w:color w:val="auto"/>
        </w:rPr>
        <w:t>Interest income on loans available for sale decreased $31,067 or 55% during 1999 as compared to 1998 primarily as a result of a $284,270 or 54% decrease in the average balance. The decrease in the average balance reflects securitizations of foreign and domestic subprime loans and a decline in originations due to the closure of the domestic subprime origination business, as well as the sale of Ocwen UK. See "Changes in Financial Condition - Loans Available for Sale."</w:t>
      </w:r>
    </w:p>
    <w:p>
      <w:pPr>
        <w:spacing w:after="0" w:line="165" w:lineRule="exact"/>
        <w:rPr>
          <w:sz w:val="20"/>
          <w:szCs w:val="20"/>
          <w:color w:val="auto"/>
        </w:rPr>
      </w:pPr>
    </w:p>
    <w:p>
      <w:pPr>
        <w:ind w:right="4500" w:firstLine="781"/>
        <w:spacing w:after="0" w:line="254" w:lineRule="auto"/>
        <w:rPr>
          <w:sz w:val="20"/>
          <w:szCs w:val="20"/>
          <w:color w:val="auto"/>
        </w:rPr>
      </w:pPr>
      <w:r>
        <w:rPr>
          <w:rFonts w:ascii="Courier New" w:cs="Courier New" w:eastAsia="Courier New" w:hAnsi="Courier New"/>
          <w:sz w:val="14"/>
          <w:szCs w:val="14"/>
          <w:color w:val="auto"/>
        </w:rPr>
        <w:t>Interest income on the loan portfolio decreased by $9,926 or 26% in 1999 versus 1998 due to an $84,905 or 32% decrease in the average balance, which was offset in part by a 131 basis-point increase in the average yield. The decrease in the average balance was due to the repayment of multi-family residential and commercial real estate loans. Interest income includes $8,121 and $12,385 of</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460"/>
          </w:cols>
          <w:pgMar w:left="220" w:top="453" w:right="219" w:bottom="0" w:gutter="0" w:footer="0" w:header="0"/>
        </w:sectPr>
      </w:pPr>
    </w:p>
    <w:bookmarkStart w:id="46" w:name="page47"/>
    <w:bookmarkEnd w:id="46"/>
    <w:p>
      <w:pPr>
        <w:ind w:right="442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080"/>
        <w:spacing w:after="0" w:line="254" w:lineRule="auto"/>
        <w:rPr>
          <w:sz w:val="20"/>
          <w:szCs w:val="20"/>
          <w:color w:val="auto"/>
        </w:rPr>
      </w:pPr>
      <w:r>
        <w:rPr>
          <w:rFonts w:ascii="Courier New" w:cs="Courier New" w:eastAsia="Courier New" w:hAnsi="Courier New"/>
          <w:sz w:val="14"/>
          <w:szCs w:val="14"/>
          <w:color w:val="auto"/>
        </w:rPr>
        <w:t>additional interest received during 1999 and 1998, respectively, in connection with the repayment of such loans. As of June 30, 1999, the Company ceased origination of multi-family and commercial loans. See "Changes in Financial Condition - Loan Portfolio, Net."</w:t>
      </w:r>
    </w:p>
    <w:p>
      <w:pPr>
        <w:spacing w:after="0" w:line="163" w:lineRule="exact"/>
        <w:rPr>
          <w:sz w:val="20"/>
          <w:szCs w:val="20"/>
          <w:color w:val="auto"/>
        </w:rPr>
      </w:pPr>
    </w:p>
    <w:p>
      <w:pPr>
        <w:ind w:right="3900" w:firstLine="781"/>
        <w:spacing w:after="0" w:line="253" w:lineRule="auto"/>
        <w:rPr>
          <w:sz w:val="20"/>
          <w:szCs w:val="20"/>
          <w:color w:val="auto"/>
        </w:rPr>
      </w:pPr>
      <w:r>
        <w:rPr>
          <w:rFonts w:ascii="Courier New" w:cs="Courier New" w:eastAsia="Courier New" w:hAnsi="Courier New"/>
          <w:sz w:val="14"/>
          <w:szCs w:val="14"/>
          <w:color w:val="auto"/>
        </w:rPr>
        <w:t>Interest income on discount loans decreased by $38,993 or 24% during 1999 primarily as a result of a $335,935 or 26% decrease in the average balance. Securitizations, through June 30, 1999, as well as a decline in acquisition volume, contributed significantly to the decline in the average balance. See "Changes in Financial Condition - Discount Loan Portfolio, Net." The yield on the discount loan portfolio is likely to fluctuate from period to period as a result of the timing of resolutions, particularly the resolution of large multi-family residential and commercial real estate loans, and the mix of the overall portfolio between performing and non-performing loans.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Average Balance</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Increase</w:t>
            </w:r>
          </w:p>
        </w:tc>
        <w:tc>
          <w:tcPr>
            <w:tcW w:w="21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Average Rate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w:t>
            </w:r>
          </w:p>
        </w:tc>
      </w:tr>
      <w:tr>
        <w:trPr>
          <w:trHeight w:val="167"/>
        </w:trPr>
        <w:tc>
          <w:tcPr>
            <w:tcW w:w="12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c>
          <w:tcPr>
            <w:tcW w:w="12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(Decrease)</w:t>
            </w: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(Decrease)</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3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Basis Points</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Interest-bearing deposits..............</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1,629,139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$ 1,876,502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(247,363)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6.04%</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Securities sold under agreements to</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repurchase</w:t>
            </w:r>
          </w:p>
        </w:tc>
        <w:tc>
          <w:tcPr>
            <w:tcW w:w="2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107,622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104,980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2,642</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6.93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Bonds-match funded agreements..........</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28,904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28,904</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7.27</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727</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Obligations outstanding under lines of</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credit (2)..........................</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256,300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481,212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(224,912)</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6.37</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7.19</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Notes, debentures and other............</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257,219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230,059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27,160</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12.16</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11.83</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w:t>
            </w:r>
          </w:p>
        </w:tc>
      </w:tr>
      <w:tr>
        <w:trPr>
          <w:trHeight w:val="167"/>
        </w:trPr>
        <w:tc>
          <w:tcPr>
            <w:tcW w:w="12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2,279,184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$ 2,692,753</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(413,569)</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6.82%</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6.87%</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3900" w:hanging="791"/>
        <w:spacing w:after="0" w:line="260" w:lineRule="auto"/>
        <w:tabs>
          <w:tab w:leader="none" w:pos="8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average balance of $22,908 and $5,410 with an average yield of 7.64% and 16.60% for 1999 and 1998, respectively, related to Ocwen UK.</w:t>
      </w:r>
    </w:p>
    <w:p>
      <w:pPr>
        <w:spacing w:after="0" w:line="324" w:lineRule="exact"/>
        <w:rPr>
          <w:rFonts w:ascii="Courier New" w:cs="Courier New" w:eastAsia="Courier New" w:hAnsi="Courier New"/>
          <w:sz w:val="14"/>
          <w:szCs w:val="14"/>
          <w:color w:val="auto"/>
        </w:rPr>
      </w:pPr>
    </w:p>
    <w:p>
      <w:pPr>
        <w:jc w:val="both"/>
        <w:ind w:left="800" w:right="4160" w:hanging="791"/>
        <w:spacing w:after="0" w:line="255" w:lineRule="auto"/>
        <w:tabs>
          <w:tab w:leader="none" w:pos="8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average balance of $130,437 and $159,640 with an average yield of 6.16% and 7.l5% for 1999 and 1998, respectively, related to Ocwen UK.</w:t>
      </w:r>
    </w:p>
    <w:p>
      <w:pPr>
        <w:spacing w:after="0" w:line="200" w:lineRule="exact"/>
        <w:rPr>
          <w:sz w:val="20"/>
          <w:szCs w:val="20"/>
          <w:color w:val="auto"/>
        </w:rPr>
      </w:pPr>
    </w:p>
    <w:p>
      <w:pPr>
        <w:spacing w:after="0" w:line="296" w:lineRule="exact"/>
        <w:rPr>
          <w:sz w:val="20"/>
          <w:szCs w:val="20"/>
          <w:color w:val="auto"/>
        </w:rPr>
      </w:pPr>
    </w:p>
    <w:p>
      <w:pPr>
        <w:ind w:right="3900" w:firstLine="781"/>
        <w:spacing w:after="0" w:line="255" w:lineRule="auto"/>
        <w:rPr>
          <w:sz w:val="20"/>
          <w:szCs w:val="20"/>
          <w:color w:val="auto"/>
        </w:rPr>
      </w:pPr>
      <w:r>
        <w:rPr>
          <w:rFonts w:ascii="Courier New" w:cs="Courier New" w:eastAsia="Courier New" w:hAnsi="Courier New"/>
          <w:sz w:val="14"/>
          <w:szCs w:val="14"/>
          <w:color w:val="auto"/>
        </w:rPr>
        <w:t>Interest expense on interest bearing deposits decreased $18,214 or 16% during 1999 due to a $247,363 or 13% decrease in the average balance. The decline in the average balance was primarily related to certificates of deposit.</w:t>
      </w:r>
    </w:p>
    <w:p>
      <w:pPr>
        <w:spacing w:after="0" w:line="162" w:lineRule="exact"/>
        <w:rPr>
          <w:sz w:val="20"/>
          <w:szCs w:val="20"/>
          <w:color w:val="auto"/>
        </w:rPr>
      </w:pPr>
    </w:p>
    <w:p>
      <w:pPr>
        <w:ind w:right="3900" w:firstLine="781"/>
        <w:spacing w:after="0" w:line="253" w:lineRule="auto"/>
        <w:rPr>
          <w:sz w:val="20"/>
          <w:szCs w:val="20"/>
          <w:color w:val="auto"/>
        </w:rPr>
      </w:pPr>
      <w:r>
        <w:rPr>
          <w:rFonts w:ascii="Courier New" w:cs="Courier New" w:eastAsia="Courier New" w:hAnsi="Courier New"/>
          <w:sz w:val="14"/>
          <w:szCs w:val="14"/>
          <w:color w:val="auto"/>
        </w:rPr>
        <w:t>Interest expense on bonds-match funded agreements is comprised of interest incurred on bonds-match funded agreements acquired as a result of the OAC acquisition and on non-recourse notes which resulted from the Company's transfer of four unrated residual securities in December 1999 to Ocwen NIM Corp. in exchange for non-recourse notes. See "Changes in Financial Condition - Bonds - - Match Funded Agreements."</w:t>
      </w:r>
    </w:p>
    <w:p>
      <w:pPr>
        <w:spacing w:after="0" w:line="165" w:lineRule="exact"/>
        <w:rPr>
          <w:sz w:val="20"/>
          <w:szCs w:val="20"/>
          <w:color w:val="auto"/>
        </w:rPr>
      </w:pPr>
    </w:p>
    <w:p>
      <w:pPr>
        <w:ind w:right="3900" w:firstLine="781"/>
        <w:spacing w:after="0" w:line="253" w:lineRule="auto"/>
        <w:rPr>
          <w:sz w:val="20"/>
          <w:szCs w:val="20"/>
          <w:color w:val="auto"/>
        </w:rPr>
      </w:pPr>
      <w:r>
        <w:rPr>
          <w:rFonts w:ascii="Courier New" w:cs="Courier New" w:eastAsia="Courier New" w:hAnsi="Courier New"/>
          <w:sz w:val="14"/>
          <w:szCs w:val="14"/>
          <w:color w:val="auto"/>
        </w:rPr>
        <w:t>Interest expense on obligations outstanding under lines of credit decreased $18,269 or 53% during 1999 as compared to 1998 due to a $224,912 or 47% decrease in the average balance and an 82 basis-point decrease in the weighted average interest rate. Lines of credit have been used primarily to fund the acquisition and origination of subprime single family loans at OFS and Ocwen UK. The decrease in the average balance is consistent with the decline in the average balance of loans available for sale. The declines in the average rates are primarily due to declines in the United Kingdom London Interbank Offered Rate. See "Changes in Financial Condition - Obligations Outstanding Under Lines of Credit."</w:t>
      </w:r>
    </w:p>
    <w:p>
      <w:pPr>
        <w:spacing w:after="0" w:line="331" w:lineRule="exact"/>
        <w:rPr>
          <w:sz w:val="20"/>
          <w:szCs w:val="20"/>
          <w:color w:val="auto"/>
        </w:rPr>
      </w:pPr>
    </w:p>
    <w:p>
      <w:pPr>
        <w:ind w:right="3900" w:firstLine="781"/>
        <w:spacing w:after="0" w:line="253" w:lineRule="auto"/>
        <w:rPr>
          <w:sz w:val="20"/>
          <w:szCs w:val="20"/>
          <w:color w:val="auto"/>
        </w:rPr>
      </w:pPr>
      <w:r>
        <w:rPr>
          <w:rFonts w:ascii="Courier New" w:cs="Courier New" w:eastAsia="Courier New" w:hAnsi="Courier New"/>
          <w:sz w:val="14"/>
          <w:szCs w:val="14"/>
          <w:color w:val="auto"/>
        </w:rPr>
        <w:t>Interest expense on notes, debentures and other increased $4,089 or 15% during 1999 due to a $27,160 increase in the average balance and a 33 basis-point increase in the weighted average interest rate. The increase in the average balance is primarily due to the acquisition of $140,487 of 11.5% Redeemable Notes as a result of the OAC acquisition in October 1999, offset in part by declines resulting from the Company's repurchases of debt during 1999. See "Changes in Financial Condition - Notes, Debentures and Other Interest-Bearing Obligations."</w:t>
      </w:r>
    </w:p>
    <w:p>
      <w:pPr>
        <w:spacing w:after="0" w:line="332" w:lineRule="exact"/>
        <w:rPr>
          <w:sz w:val="20"/>
          <w:szCs w:val="20"/>
          <w:color w:val="auto"/>
        </w:rPr>
      </w:pPr>
    </w:p>
    <w:p>
      <w:pPr>
        <w:ind w:right="4000" w:firstLine="781"/>
        <w:spacing w:after="0" w:line="253" w:lineRule="auto"/>
        <w:rPr>
          <w:sz w:val="20"/>
          <w:szCs w:val="20"/>
          <w:color w:val="auto"/>
        </w:rPr>
      </w:pPr>
      <w:r>
        <w:rPr>
          <w:rFonts w:ascii="Courier New" w:cs="Courier New" w:eastAsia="Courier New" w:hAnsi="Courier New"/>
          <w:sz w:val="14"/>
          <w:szCs w:val="14"/>
          <w:color w:val="auto"/>
        </w:rPr>
        <w:t>PROVISIONS FOR LOAN LOSSES. Provisions for losses on loans are charged to operations to maintain an allowance for losses on the loan portfolio, the discount loan portfolio and the match funded loans at a level which management considers adequate based upon an evaluation of known and inherent risks in such portfolios. Management's periodic evaluation is based on an analysis of the discount loan portfolio, the loan portfolio and the match funded loans, historical loss experience, current economic conditions and trends, collateral values and other relevant factors.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860"/>
          </w:cols>
          <w:pgMar w:left="220" w:top="453" w:right="819" w:bottom="807" w:gutter="0" w:footer="0" w:header="0"/>
        </w:sectPr>
      </w:pPr>
    </w:p>
    <w:bookmarkStart w:id="47" w:name="page48"/>
    <w:bookmarkEnd w:id="47"/>
    <w:p>
      <w:pPr>
        <w:ind w:right="3799"/>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following table presents the provisions for loan losses by the discount loan portfolio, loan portfolio and the match funded loans for the years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20"/>
                <w:szCs w:val="20"/>
                <w:color w:val="auto"/>
              </w:rPr>
            </w:pPr>
            <w:r>
              <w:rPr>
                <w:rFonts w:ascii="Courier New" w:cs="Courier New" w:eastAsia="Courier New" w:hAnsi="Courier New"/>
                <w:sz w:val="14"/>
                <w:szCs w:val="14"/>
                <w:color w:val="auto"/>
              </w:rPr>
              <w:t>Provisions for loan losses:</w:t>
            </w:r>
          </w:p>
        </w:tc>
        <w:tc>
          <w:tcPr>
            <w:tcW w:w="36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2000</w:t>
            </w:r>
          </w:p>
        </w:tc>
        <w:tc>
          <w:tcPr>
            <w:tcW w:w="340" w:type="dxa"/>
            <w:vAlign w:val="bottom"/>
          </w:tcPr>
          <w:p>
            <w:pPr>
              <w:spacing w:after="0"/>
              <w:rPr>
                <w:sz w:val="14"/>
                <w:szCs w:val="14"/>
                <w:color w:val="auto"/>
              </w:rPr>
            </w:pPr>
          </w:p>
        </w:tc>
        <w:tc>
          <w:tcPr>
            <w:tcW w:w="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560" w:type="dxa"/>
            <w:vAlign w:val="bottom"/>
          </w:tcPr>
          <w:p>
            <w:pPr>
              <w:spacing w:after="0"/>
              <w:rPr>
                <w:sz w:val="14"/>
                <w:szCs w:val="14"/>
                <w:color w:val="auto"/>
              </w:rPr>
            </w:pP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ind w:left="260"/>
              <w:spacing w:after="0"/>
              <w:rPr>
                <w:sz w:val="20"/>
                <w:szCs w:val="20"/>
                <w:color w:val="auto"/>
              </w:rPr>
            </w:pPr>
            <w:r>
              <w:rPr>
                <w:rFonts w:ascii="Courier New" w:cs="Courier New" w:eastAsia="Courier New" w:hAnsi="Courier New"/>
                <w:sz w:val="14"/>
                <w:szCs w:val="14"/>
                <w:color w:val="auto"/>
              </w:rPr>
              <w:t>Discount loan portfolio ............</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15,266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5,434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$ 17,618</w:t>
            </w:r>
          </w:p>
        </w:tc>
      </w:tr>
      <w:tr>
        <w:trPr>
          <w:trHeight w:val="167"/>
        </w:trPr>
        <w:tc>
          <w:tcPr>
            <w:tcW w:w="3560" w:type="dxa"/>
            <w:vAlign w:val="bottom"/>
          </w:tcPr>
          <w:p>
            <w:pPr>
              <w:ind w:left="260"/>
              <w:spacing w:after="0"/>
              <w:rPr>
                <w:sz w:val="20"/>
                <w:szCs w:val="20"/>
                <w:color w:val="auto"/>
              </w:rPr>
            </w:pPr>
            <w:r>
              <w:rPr>
                <w:rFonts w:ascii="Courier New" w:cs="Courier New" w:eastAsia="Courier New" w:hAnsi="Courier New"/>
                <w:sz w:val="14"/>
                <w:szCs w:val="14"/>
                <w:color w:val="auto"/>
              </w:rPr>
              <w:t>Loan portfolio .....................</w:t>
            </w:r>
          </w:p>
        </w:tc>
        <w:tc>
          <w:tcPr>
            <w:tcW w:w="3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spacing w:after="0"/>
              <w:rPr>
                <w:sz w:val="14"/>
                <w:szCs w:val="14"/>
                <w:color w:val="auto"/>
              </w:rPr>
            </w:pP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891</w:t>
            </w:r>
          </w:p>
        </w:tc>
      </w:tr>
      <w:tr>
        <w:trPr>
          <w:trHeight w:val="167"/>
        </w:trPr>
        <w:tc>
          <w:tcPr>
            <w:tcW w:w="3560" w:type="dxa"/>
            <w:vAlign w:val="bottom"/>
          </w:tcPr>
          <w:p>
            <w:pPr>
              <w:ind w:left="260"/>
              <w:spacing w:after="0"/>
              <w:rPr>
                <w:sz w:val="20"/>
                <w:szCs w:val="20"/>
                <w:color w:val="auto"/>
              </w:rPr>
            </w:pPr>
            <w:r>
              <w:rPr>
                <w:rFonts w:ascii="Courier New" w:cs="Courier New" w:eastAsia="Courier New" w:hAnsi="Courier New"/>
                <w:sz w:val="14"/>
                <w:szCs w:val="14"/>
                <w:color w:val="auto"/>
              </w:rPr>
              <w:t>Match funded loans .................</w:t>
            </w:r>
          </w:p>
        </w:tc>
        <w:tc>
          <w:tcPr>
            <w:tcW w:w="3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w:t>
            </w:r>
          </w:p>
        </w:tc>
        <w:tc>
          <w:tcPr>
            <w:tcW w:w="34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15,177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$ 18,509</w:t>
            </w:r>
          </w:p>
        </w:tc>
      </w:tr>
      <w:tr>
        <w:trPr>
          <w:trHeight w:val="167"/>
        </w:trPr>
        <w:tc>
          <w:tcPr>
            <w:tcW w:w="3560" w:type="dxa"/>
            <w:vAlign w:val="bottom"/>
          </w:tcPr>
          <w:p>
            <w:pPr>
              <w:spacing w:after="0"/>
              <w:rPr>
                <w:sz w:val="14"/>
                <w:szCs w:val="14"/>
                <w:color w:val="auto"/>
              </w:rPr>
            </w:pP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increase in the discount loan portfolio loss provision during 2000 is primarily attributed to an increase in the allowance for losses on unsecured credit card receivables. The decline in the provision for losses on the discount loan portfolio during 1999 reflects declines in the balance of the portfolio. The decline in the loss provision on the loan portfolio during 2000 is due to a decline in the portfolio balance and a decline in non-performing loans. Despite declines in the loan portfolio balance during 1999, the provision for loan portfolio losses increased during that period primarily as a result of an increase in non-performing loans. The negative provisions for loan losses on match funded loans reflect a decline in the balance of the portfolio. See "Changes in Financial Condition - Loan Portfolio, Net," "Match Funded Loans and Securities" and "Discount Loan Portfolio, Net."</w:t>
      </w:r>
    </w:p>
    <w:p>
      <w:pPr>
        <w:spacing w:after="0" w:line="164"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The following table sets forth the allowance for loan losses as a percentage of the respective loan balances at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Allowance</w:t>
            </w:r>
          </w:p>
        </w:tc>
      </w:tr>
      <w:tr>
        <w:trPr>
          <w:trHeight w:val="167"/>
        </w:trPr>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Allowance</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Loan Balance</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as a %</w:t>
            </w:r>
          </w:p>
        </w:tc>
      </w:tr>
      <w:tr>
        <w:trPr>
          <w:trHeight w:val="167"/>
        </w:trPr>
        <w:tc>
          <w:tcPr>
            <w:tcW w:w="32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DECEMBER 31, 2000:</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Discount loan portfolio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20,871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556,899</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3.75%</w:t>
            </w: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Loan portfolio ................</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2,408</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95,822</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2.51%</w:t>
            </w: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Match funded loans ............</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80,834</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0.35%</w:t>
            </w:r>
          </w:p>
        </w:tc>
      </w:tr>
      <w:tr>
        <w:trPr>
          <w:trHeight w:val="167"/>
        </w:trPr>
        <w:tc>
          <w:tcPr>
            <w:tcW w:w="32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7"/>
        </w:trPr>
        <w:tc>
          <w:tcPr>
            <w:tcW w:w="3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23,564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733,555</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3.21%</w:t>
            </w:r>
          </w:p>
        </w:tc>
      </w:tr>
      <w:tr>
        <w:trPr>
          <w:trHeight w:val="167"/>
        </w:trPr>
        <w:tc>
          <w:tcPr>
            <w:tcW w:w="32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Discount loan portfolio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19,181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932,410</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2.06%</w:t>
            </w: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Loan portfolio ................</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7,259</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164,667</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4.41%</w:t>
            </w: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Match funded loans ............</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495</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105,596</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0.47%</w:t>
            </w:r>
          </w:p>
        </w:tc>
      </w:tr>
      <w:tr>
        <w:trPr>
          <w:trHeight w:val="167"/>
        </w:trPr>
        <w:tc>
          <w:tcPr>
            <w:tcW w:w="32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7"/>
        </w:trPr>
        <w:tc>
          <w:tcPr>
            <w:tcW w:w="3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26,935</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$1,202,673</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2.24%</w:t>
            </w:r>
          </w:p>
        </w:tc>
      </w:tr>
      <w:tr>
        <w:trPr>
          <w:trHeight w:val="167"/>
        </w:trPr>
        <w:tc>
          <w:tcPr>
            <w:tcW w:w="32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Discount loan portfolio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21,402</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$1,047,913</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2.04%</w:t>
            </w: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Loan portfolio ................</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4,928</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235,240</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2.09%</w:t>
            </w:r>
          </w:p>
        </w:tc>
      </w:tr>
      <w:tr>
        <w:trPr>
          <w:trHeight w:val="167"/>
        </w:trPr>
        <w:tc>
          <w:tcPr>
            <w:tcW w:w="32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7"/>
        </w:trPr>
        <w:tc>
          <w:tcPr>
            <w:tcW w:w="3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26,330</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$1,283,153</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2.05%</w:t>
            </w:r>
          </w:p>
        </w:tc>
      </w:tr>
      <w:tr>
        <w:trPr>
          <w:trHeight w:val="167"/>
        </w:trPr>
        <w:tc>
          <w:tcPr>
            <w:tcW w:w="32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bl>
    <w:p>
      <w:pPr>
        <w:spacing w:after="0" w:line="17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For additional information regarding the Company's allowance for loan losses on the above portfolios, see "Changes in Financial Condition - Allowance for Loan Losses." For information relating to the Company's valuation allowance on real estate owned, see "Changes in Financial Condition - Real Estate Owned, Net."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3" w:right="1440" w:bottom="1440" w:gutter="0" w:footer="0" w:header="0"/>
        </w:sectPr>
      </w:pPr>
    </w:p>
    <w:bookmarkStart w:id="48" w:name="page49"/>
    <w:bookmarkEnd w:id="48"/>
    <w:p>
      <w:pPr>
        <w:ind w:right="104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700" w:firstLine="781"/>
        <w:spacing w:after="0" w:line="254" w:lineRule="auto"/>
        <w:rPr>
          <w:sz w:val="20"/>
          <w:szCs w:val="20"/>
          <w:color w:val="auto"/>
        </w:rPr>
      </w:pPr>
      <w:r>
        <w:rPr>
          <w:rFonts w:ascii="Courier New" w:cs="Courier New" w:eastAsia="Courier New" w:hAnsi="Courier New"/>
          <w:sz w:val="14"/>
          <w:szCs w:val="14"/>
          <w:color w:val="auto"/>
        </w:rPr>
        <w:t>NON-INTEREST INCOME. Non-interest income increased $32,883 or 23% during 2000 and increased $33,175 or 30% during 1999. The following table sets forth the principal components of the Company's non-interest income during the years indicated: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638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Servicing and other fees ..............................................</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97,080</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Gain on interest-earning assets, net ..................................</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18,580</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Unrealized loss on trading securities, net ............................</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(4,926)</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Impairment charges on securities available for sale ...................</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(11,597)</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(Loss) gain on real estate owned, net .................................</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(13,464)</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Gain on other non-interest earning assets, net ........................</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45,517</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operating gains (losses) on investments in real estate ............</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26,140</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Amortization of excess of net assets acquired over purchase price......</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14,112</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Other income ..........................................................</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6,083</w:t>
            </w:r>
          </w:p>
        </w:tc>
      </w:tr>
      <w:tr>
        <w:trPr>
          <w:trHeight w:val="167"/>
        </w:trPr>
        <w:tc>
          <w:tcPr>
            <w:tcW w:w="638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$ 177,525</w:t>
            </w:r>
          </w:p>
        </w:tc>
      </w:tr>
      <w:tr>
        <w:trPr>
          <w:trHeight w:val="167"/>
        </w:trPr>
        <w:tc>
          <w:tcPr>
            <w:tcW w:w="638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520" w:firstLine="781"/>
        <w:spacing w:after="0" w:line="252" w:lineRule="auto"/>
        <w:rPr>
          <w:sz w:val="20"/>
          <w:szCs w:val="20"/>
          <w:color w:val="auto"/>
        </w:rPr>
      </w:pPr>
      <w:r>
        <w:rPr>
          <w:rFonts w:ascii="Courier New" w:cs="Courier New" w:eastAsia="Courier New" w:hAnsi="Courier New"/>
          <w:sz w:val="14"/>
          <w:szCs w:val="14"/>
          <w:color w:val="auto"/>
        </w:rPr>
        <w:t>Servicing and other fees are primarily comprised of fees from investors for servicing mortgage loans. Excluding Ocwen UK, servicing and other fees for 2000 and 1999 increased $30,752 and $15,507, respectively, largely due to growth in loans serviced for others. Excluding Ocwen UK, the average unpaid principal balance of loans serviced for others amounted to $10,798,857, $10,060,673 and $7,998,093 during 2000, 1999 and 1998, respectively. Interest earned on custodial accounts during the holding period between collection of borrower payments and remittance to investors, late charges on residential loans, property valuation fees earned by ORA and special servicing fees also contributed to the increases in servicing and other fees during 2000 and 1999. Servicing fees for 2000, 1999 and 1998 included $10,420, $12,164 and $1,356, respectively, of special servicing fees. The Company began entering into special servicing arrangements in 1998 wherein the Company acts as a special servicer for third parties, typically as part of a securitization. Under these arrangements, the Company services loans that become greater than 90 days past due and receives incentive fees to the extent certain loss mitigation parameters are achieved.</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76,018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59,180</w:t>
            </w:r>
          </w:p>
        </w:tc>
      </w:tr>
      <w:tr>
        <w:trPr>
          <w:trHeight w:val="167"/>
        </w:trPr>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44,298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129,988</w:t>
            </w:r>
          </w:p>
        </w:tc>
      </w:tr>
      <w:tr>
        <w:trPr>
          <w:trHeight w:val="167"/>
        </w:trPr>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(58,777)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(129,714)</w:t>
            </w:r>
          </w:p>
        </w:tc>
      </w:tr>
      <w:tr>
        <w:trPr>
          <w:trHeight w:val="167"/>
        </w:trPr>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14,033</w:t>
            </w:r>
          </w:p>
        </w:tc>
      </w:tr>
      <w:tr>
        <w:trPr>
          <w:trHeight w:val="167"/>
        </w:trPr>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58,693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17,702</w:t>
            </w:r>
          </w:p>
        </w:tc>
      </w:tr>
      <w:tr>
        <w:trPr>
          <w:trHeight w:val="167"/>
        </w:trPr>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(1,715)</w:t>
            </w:r>
          </w:p>
        </w:tc>
      </w:tr>
      <w:tr>
        <w:trPr>
          <w:trHeight w:val="167"/>
        </w:trPr>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3,201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24,346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21,993</w:t>
            </w:r>
          </w:p>
        </w:tc>
      </w:tr>
      <w:tr>
        <w:trPr>
          <w:trHeight w:val="167"/>
        </w:trPr>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$ 144,642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$ 111,467</w:t>
            </w:r>
          </w:p>
        </w:tc>
      </w:tr>
      <w:tr>
        <w:trPr>
          <w:trHeight w:val="167"/>
        </w:trPr>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480" w:space="420"/>
            <w:col w:w="2339"/>
          </w:cols>
          <w:pgMar w:left="220" w:top="453" w:right="1440" w:bottom="1440" w:gutter="0" w:footer="0" w:header="0"/>
        </w:sectPr>
      </w:pPr>
    </w:p>
    <w:bookmarkStart w:id="49" w:name="page50"/>
    <w:bookmarkEnd w:id="49"/>
    <w:p>
      <w:pPr>
        <w:ind w:right="486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table sets forth the Company's loans serviced for others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20"/>
                <w:szCs w:val="20"/>
                <w:color w:val="auto"/>
              </w:rPr>
            </w:pPr>
            <w:r>
              <w:rPr>
                <w:rFonts w:ascii="Courier New" w:cs="Courier New" w:eastAsia="Courier New" w:hAnsi="Courier New"/>
                <w:sz w:val="14"/>
                <w:szCs w:val="14"/>
                <w:color w:val="auto"/>
              </w:rPr>
              <w:t>at the dates indicated:</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Discount Loans</w:t>
            </w:r>
          </w:p>
        </w:tc>
        <w:tc>
          <w:tcPr>
            <w:tcW w:w="260" w:type="dxa"/>
            <w:vAlign w:val="bottom"/>
          </w:tcPr>
          <w:p>
            <w:pPr>
              <w:spacing w:after="0"/>
              <w:rPr>
                <w:sz w:val="24"/>
                <w:szCs w:val="24"/>
                <w:color w:val="auto"/>
              </w:rPr>
            </w:pPr>
          </w:p>
        </w:tc>
        <w:tc>
          <w:tcPr>
            <w:tcW w:w="18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Subprime Loans(2)</w:t>
            </w:r>
          </w:p>
        </w:tc>
        <w:tc>
          <w:tcPr>
            <w:tcW w:w="340" w:type="dxa"/>
            <w:vAlign w:val="bottom"/>
          </w:tcPr>
          <w:p>
            <w:pPr>
              <w:spacing w:after="0"/>
              <w:rPr>
                <w:sz w:val="24"/>
                <w:szCs w:val="24"/>
                <w:color w:val="auto"/>
              </w:rPr>
            </w:pPr>
          </w:p>
        </w:tc>
        <w:tc>
          <w:tcPr>
            <w:tcW w:w="17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Other Loans</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700" w:type="dxa"/>
            <w:vAlign w:val="bottom"/>
          </w:tcPr>
          <w:p>
            <w:pPr>
              <w:spacing w:after="0"/>
              <w:rPr>
                <w:sz w:val="24"/>
                <w:szCs w:val="24"/>
                <w:color w:val="auto"/>
              </w:rPr>
            </w:pPr>
          </w:p>
        </w:tc>
      </w:tr>
      <w:tr>
        <w:trPr>
          <w:trHeight w:val="167"/>
        </w:trPr>
        <w:tc>
          <w:tcPr>
            <w:tcW w:w="30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0"/>
              </w:rPr>
              <w:t>---------------------</w:t>
            </w:r>
          </w:p>
        </w:tc>
        <w:tc>
          <w:tcPr>
            <w:tcW w:w="880" w:type="dxa"/>
            <w:vAlign w:val="bottom"/>
          </w:tcPr>
          <w:p>
            <w:pPr>
              <w:spacing w:after="0"/>
              <w:rPr>
                <w:sz w:val="14"/>
                <w:szCs w:val="14"/>
                <w:color w:val="auto"/>
              </w:rPr>
            </w:pPr>
          </w:p>
        </w:tc>
        <w:tc>
          <w:tcPr>
            <w:tcW w:w="208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 of</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 of</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 of</w:t>
            </w:r>
          </w:p>
        </w:tc>
        <w:tc>
          <w:tcPr>
            <w:tcW w:w="1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 of</w:t>
            </w:r>
          </w:p>
        </w:tc>
      </w:tr>
      <w:tr>
        <w:trPr>
          <w:trHeight w:val="167"/>
        </w:trPr>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Amount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Loans</w:t>
            </w:r>
          </w:p>
        </w:tc>
        <w:tc>
          <w:tcPr>
            <w:tcW w:w="2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Loans</w:t>
            </w:r>
          </w:p>
        </w:tc>
        <w:tc>
          <w:tcPr>
            <w:tcW w:w="3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Loans</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Loans</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DECEMBER 31, 2000 (1):</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Loans securitized:</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Residential loans ...........</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858,549</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14,232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719,231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7,456</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$ 1,577,780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21,688</w:t>
            </w: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Commercial loans ............</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6,884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6,884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865,433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14,270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719,231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7,456</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$ 1,584,664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21,726</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Loans serviced for third parties: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Residential loans (3) .......</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668,736</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13,397</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$ 8,210,658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128,964</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37,510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$ 8,916,904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142,763</w:t>
            </w: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Commercial loans (3) ........</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77,551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w:t>
            </w:r>
          </w:p>
        </w:tc>
        <w:tc>
          <w:tcPr>
            <w:tcW w:w="3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779,983</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858,956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264</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746,287</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13,478</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$ 8,212,080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128,980</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817,493</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$ 9,775,860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143,027</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Total loans serviced for others: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Residential loans ...........</w:t>
            </w: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$ 1,527,285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27,629</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$ 8,929,889</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136,420</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37,510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$10,494,684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164,451</w:t>
            </w: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Commercial loans ............</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84,435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w:t>
            </w:r>
          </w:p>
        </w:tc>
        <w:tc>
          <w:tcPr>
            <w:tcW w:w="3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779,983</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865,840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302</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$ 1,611,720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27,748</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$ 8,931,311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136,436</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817,493</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$11,360,524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164,753</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Loans securitized:</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Residential loans ...........</w:t>
            </w: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$ 1,037,195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16,874</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$ 1,100,800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10,878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$ 2,137,995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27,752</w:t>
            </w: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Commercial loans ............</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9,145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9,145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$ 1,046,340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16,927</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$ 1,100,800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10,878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$ 2,147,140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27,805</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Loans serviced for third parties: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Residential loans (3) .......</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840,172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16,199</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$ 7,070,594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87,881</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51,025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$ 7,961,791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104,577</w:t>
            </w: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Commercial loans (3) ........</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127,821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3,832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w:t>
            </w:r>
          </w:p>
        </w:tc>
        <w:tc>
          <w:tcPr>
            <w:tcW w:w="3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864,699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996,352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967,993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16,343</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$ 7,074,426</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87,923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915,724</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$ 8,958,143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104,865</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Total loans serviced for others: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Residential loans ...........</w:t>
            </w: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$ 1,877,367</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33,073</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$ 8,171,394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98,759</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51,025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$10,099,786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132,329</w:t>
            </w: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Commercial loans ............</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136,966</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3,832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w:t>
            </w:r>
          </w:p>
        </w:tc>
        <w:tc>
          <w:tcPr>
            <w:tcW w:w="3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864,699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1,005,497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341</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$ 2,014,333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33,270</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$ 8,175,226</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98,801</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915,724</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$11,105,283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132,670</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Loans securitized:</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Residential loans ...........</w:t>
            </w: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$ 1,006,014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16,793</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$ 1,307,991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12,541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$ 2,314,005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29,334</w:t>
            </w: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Commercial loans ............</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9,974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9,974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$ 1,015,988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16,839</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$ 1,307,991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12,541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$ 2,323,979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29,380</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Loans serviced for third parties: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Residential loans ...........</w:t>
            </w: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$ 1,105,087</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20,521</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$ 4,967,028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64,146</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102,139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$ 6,174,254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85,665</w:t>
            </w: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Commercial loans ............</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468,198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315</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3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764,079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1,236,942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$ 1,573,285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20,836</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$ 4,971,693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64,196</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866,218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$ 7,411,196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86,123</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Total loans serviced for others: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Residential loans ...........</w:t>
            </w: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$ 2,111,101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37,314</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$ 6,275,019</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76,687</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102,139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$ 8,488,259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114,999</w:t>
            </w:r>
          </w:p>
        </w:tc>
      </w:tr>
      <w:tr>
        <w:trPr>
          <w:trHeight w:val="167"/>
        </w:trPr>
        <w:tc>
          <w:tcPr>
            <w:tcW w:w="3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Commercial loans ............</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478,172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3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764,079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1,246,916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504</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$ 2,589,273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37,675</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$ 6,279,684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76,737</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866,218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$ 9,735,175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115,503</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71" w:lineRule="exact"/>
        <w:rPr>
          <w:sz w:val="20"/>
          <w:szCs w:val="20"/>
          <w:color w:val="auto"/>
        </w:rPr>
      </w:pPr>
    </w:p>
    <w:p>
      <w:pPr>
        <w:ind w:left="800" w:right="4340" w:hanging="791"/>
        <w:spacing w:after="0" w:line="253" w:lineRule="auto"/>
        <w:tabs>
          <w:tab w:leader="none" w:pos="8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approximately 38,500 loans with an unpaid principal balance of approximately $1,027,600 that were acquired on December 31, 2000 but were not boarded in the Company's loan servicing system until 2001. Also does not include approximately 41,700 loans with an unpaid principal balance of approximately $3,184,200 that were acquired by the Company under a subservicing agreement on January 11, 2001.</w:t>
      </w:r>
    </w:p>
    <w:p>
      <w:pPr>
        <w:spacing w:after="0" w:line="165" w:lineRule="exact"/>
        <w:rPr>
          <w:rFonts w:ascii="Courier New" w:cs="Courier New" w:eastAsia="Courier New" w:hAnsi="Courier New"/>
          <w:sz w:val="14"/>
          <w:szCs w:val="14"/>
          <w:color w:val="auto"/>
        </w:rPr>
      </w:pPr>
    </w:p>
    <w:p>
      <w:pPr>
        <w:ind w:left="800" w:right="4600" w:hanging="791"/>
        <w:spacing w:after="0" w:line="258" w:lineRule="auto"/>
        <w:tabs>
          <w:tab w:leader="none" w:pos="8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1998, excludes 37,955 loans with an unpaid principal balance of $857,291 that were serviced by Ocwen UK.</w:t>
      </w:r>
    </w:p>
    <w:p>
      <w:pPr>
        <w:spacing w:after="0" w:line="159" w:lineRule="exact"/>
        <w:rPr>
          <w:rFonts w:ascii="Courier New" w:cs="Courier New" w:eastAsia="Courier New" w:hAnsi="Courier New"/>
          <w:sz w:val="14"/>
          <w:szCs w:val="14"/>
          <w:color w:val="auto"/>
        </w:rPr>
      </w:pPr>
    </w:p>
    <w:p>
      <w:pPr>
        <w:ind w:left="800" w:right="4600" w:hanging="791"/>
        <w:spacing w:after="0" w:line="254" w:lineRule="auto"/>
        <w:tabs>
          <w:tab w:leader="none" w:pos="8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presents loans serviced by the Company under special servicing agreements, which are included in the table above, and the total pool of loans for which the Company is designated as special servicer should those loans become greater than 90 days past due:</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300"/>
          </w:cols>
          <w:pgMar w:left="220" w:top="453" w:right="379" w:bottom="0" w:gutter="0" w:footer="0" w:header="0"/>
        </w:sectPr>
      </w:pPr>
    </w:p>
    <w:bookmarkStart w:id="50" w:name="page51"/>
    <w:bookmarkEnd w:id="50"/>
    <w:p>
      <w:pPr>
        <w:ind w:right="424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Loans</w:t>
            </w:r>
          </w:p>
        </w:tc>
        <w:tc>
          <w:tcPr>
            <w:tcW w:w="1260" w:type="dxa"/>
            <w:vAlign w:val="bottom"/>
          </w:tcPr>
          <w:p>
            <w:pPr>
              <w:spacing w:after="0"/>
              <w:rPr>
                <w:sz w:val="14"/>
                <w:szCs w:val="14"/>
                <w:color w:val="auto"/>
              </w:rPr>
            </w:pPr>
          </w:p>
        </w:tc>
        <w:tc>
          <w:tcPr>
            <w:tcW w:w="25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Designated</w:t>
            </w:r>
          </w:p>
        </w:tc>
      </w:tr>
      <w:tr>
        <w:trPr>
          <w:trHeight w:val="167"/>
        </w:trPr>
        <w:tc>
          <w:tcPr>
            <w:tcW w:w="3300" w:type="dxa"/>
            <w:vAlign w:val="bottom"/>
          </w:tcPr>
          <w:p>
            <w:pPr>
              <w:spacing w:after="0"/>
              <w:rPr>
                <w:sz w:val="14"/>
                <w:szCs w:val="14"/>
                <w:color w:val="auto"/>
              </w:rPr>
            </w:pPr>
          </w:p>
        </w:tc>
        <w:tc>
          <w:tcPr>
            <w:tcW w:w="27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Special Serviced</w:t>
            </w:r>
          </w:p>
        </w:tc>
        <w:tc>
          <w:tcPr>
            <w:tcW w:w="2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Special Servicing</w:t>
            </w:r>
          </w:p>
        </w:tc>
      </w:tr>
      <w:tr>
        <w:trPr>
          <w:trHeight w:val="167"/>
        </w:trPr>
        <w:tc>
          <w:tcPr>
            <w:tcW w:w="3300" w:type="dxa"/>
            <w:vAlign w:val="bottom"/>
          </w:tcPr>
          <w:p>
            <w:pPr>
              <w:spacing w:after="0"/>
              <w:rPr>
                <w:sz w:val="14"/>
                <w:szCs w:val="14"/>
                <w:color w:val="auto"/>
              </w:rPr>
            </w:pPr>
          </w:p>
        </w:tc>
        <w:tc>
          <w:tcPr>
            <w:tcW w:w="274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by Ocwen</w:t>
            </w:r>
          </w:p>
        </w:tc>
        <w:tc>
          <w:tcPr>
            <w:tcW w:w="25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Loan Pools</w:t>
            </w:r>
          </w:p>
        </w:tc>
      </w:tr>
      <w:tr>
        <w:trPr>
          <w:trHeight w:val="167"/>
        </w:trPr>
        <w:tc>
          <w:tcPr>
            <w:tcW w:w="3300" w:type="dxa"/>
            <w:vAlign w:val="bottom"/>
          </w:tcPr>
          <w:p>
            <w:pPr>
              <w:spacing w:after="0"/>
              <w:rPr>
                <w:sz w:val="14"/>
                <w:szCs w:val="14"/>
                <w:color w:val="auto"/>
              </w:rPr>
            </w:pPr>
          </w:p>
        </w:tc>
        <w:tc>
          <w:tcPr>
            <w:tcW w:w="27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Amount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 of Loans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No. of Loans</w:t>
            </w:r>
          </w:p>
        </w:tc>
      </w:tr>
      <w:tr>
        <w:trPr>
          <w:trHeight w:val="167"/>
        </w:trPr>
        <w:tc>
          <w:tcPr>
            <w:tcW w:w="3300" w:type="dxa"/>
            <w:vAlign w:val="bottom"/>
          </w:tcPr>
          <w:p>
            <w:pPr>
              <w:spacing w:after="0"/>
              <w:rPr>
                <w:sz w:val="14"/>
                <w:szCs w:val="14"/>
                <w:color w:val="auto"/>
              </w:rPr>
            </w:pP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DECEMBER 31, 2000:</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Residential loans..............</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$ 2,399,842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26,755</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$12,795,282</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126,065</w:t>
            </w: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Commercial loans...............</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84,155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952,070</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w:t>
            </w:r>
          </w:p>
        </w:tc>
      </w:tr>
      <w:tr>
        <w:trPr>
          <w:trHeight w:val="167"/>
        </w:trPr>
        <w:tc>
          <w:tcPr>
            <w:tcW w:w="3300" w:type="dxa"/>
            <w:vAlign w:val="bottom"/>
          </w:tcPr>
          <w:p>
            <w:pPr>
              <w:spacing w:after="0"/>
              <w:rPr>
                <w:sz w:val="14"/>
                <w:szCs w:val="14"/>
                <w:color w:val="auto"/>
              </w:rPr>
            </w:pP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$ 2,483,997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26,873</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$13,747,352</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126,401</w:t>
            </w:r>
          </w:p>
        </w:tc>
      </w:tr>
      <w:tr>
        <w:trPr>
          <w:trHeight w:val="167"/>
        </w:trPr>
        <w:tc>
          <w:tcPr>
            <w:tcW w:w="3300" w:type="dxa"/>
            <w:vAlign w:val="bottom"/>
          </w:tcPr>
          <w:p>
            <w:pPr>
              <w:spacing w:after="0"/>
              <w:rPr>
                <w:sz w:val="14"/>
                <w:szCs w:val="14"/>
                <w:color w:val="auto"/>
              </w:rPr>
            </w:pP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Residential loans..............</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878,284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9,319</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$ 8,057,768</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82,630</w:t>
            </w: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Commercial loans...............</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123,924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994,230</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w:t>
            </w:r>
          </w:p>
        </w:tc>
      </w:tr>
      <w:tr>
        <w:trPr>
          <w:trHeight w:val="167"/>
        </w:trPr>
        <w:tc>
          <w:tcPr>
            <w:tcW w:w="3300" w:type="dxa"/>
            <w:vAlign w:val="bottom"/>
          </w:tcPr>
          <w:p>
            <w:pPr>
              <w:spacing w:after="0"/>
              <w:rPr>
                <w:sz w:val="14"/>
                <w:szCs w:val="14"/>
                <w:color w:val="auto"/>
              </w:rPr>
            </w:pP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$ 1,002,208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9,470</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$ 9,051,998</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83,052</w:t>
            </w:r>
          </w:p>
        </w:tc>
      </w:tr>
      <w:tr>
        <w:trPr>
          <w:trHeight w:val="167"/>
        </w:trPr>
        <w:tc>
          <w:tcPr>
            <w:tcW w:w="3300" w:type="dxa"/>
            <w:vAlign w:val="bottom"/>
          </w:tcPr>
          <w:p>
            <w:pPr>
              <w:spacing w:after="0"/>
              <w:rPr>
                <w:sz w:val="14"/>
                <w:szCs w:val="14"/>
                <w:color w:val="auto"/>
              </w:rPr>
            </w:pP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720" w:firstLine="781"/>
        <w:spacing w:after="0" w:line="252" w:lineRule="auto"/>
        <w:rPr>
          <w:sz w:val="20"/>
          <w:szCs w:val="20"/>
          <w:color w:val="auto"/>
        </w:rPr>
      </w:pPr>
      <w:r>
        <w:rPr>
          <w:rFonts w:ascii="Courier New" w:cs="Courier New" w:eastAsia="Courier New" w:hAnsi="Courier New"/>
          <w:sz w:val="14"/>
          <w:szCs w:val="14"/>
          <w:color w:val="auto"/>
        </w:rPr>
        <w:t>Net gains on interest-earning assets for 2000 of $18,580 were primarily comprised of $16,264 of gains from sales of single family residential discount loans and a $2,768 gain on the sale of a commercial security. Net gains on interest-earning assets for 1999 of $44,298 were primarily comprised of $36,804 of net gains recognized in connection with the securitization of single family subprime loans and discount loans, as presented in the table below, $4,208 of gains on sales of commercial discount loans and $3,663 of gains on sales of commercial securities available for sale. Net gains on interest-earning assets for 1998 of $129,988 were primarily comprised of $109,601 of net gains recognized in connection with the securitization of single family subprime loans and discount loans, as presented in the table below, and $12,246 of gains on sales of commercial discount loans. During the third quarter of 1999, the Company made a strategic decision to structure future securitizations as financing transactions which will preclude the use of gain-on-sale accounting. There were no securitizations of loans executed by the Company during 2000 or the second half of 1999. See "Changes in Financial Condition - Match Funded Loans and Securities." The following table sets forth details of the Company's net gains recognized in connection with the securitization of loans during 1999 and 1998.</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Book Value of</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Securities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Loans Securitized</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8"/>
              </w:rPr>
              <w:t>Retained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 -----------------------------------------------------------------------</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Types of Loans</w:t>
            </w:r>
          </w:p>
        </w:tc>
        <w:tc>
          <w:tcPr>
            <w:tcW w:w="1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Principal</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 of Loans</w:t>
            </w:r>
          </w:p>
        </w:tc>
        <w:tc>
          <w:tcPr>
            <w:tcW w:w="2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Net Gain</w:t>
            </w:r>
          </w:p>
        </w:tc>
        <w:tc>
          <w:tcPr>
            <w:tcW w:w="1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(Non-Cash Gain)</w:t>
            </w:r>
          </w:p>
        </w:tc>
        <w:tc>
          <w:tcPr>
            <w:tcW w:w="1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Cash Gain</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3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Single family discount................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227,303</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3,137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22,763</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4,040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18,723</w:t>
            </w:r>
          </w:p>
        </w:tc>
      </w:tr>
      <w:tr>
        <w:trPr>
          <w:trHeight w:val="167"/>
        </w:trPr>
        <w:tc>
          <w:tcPr>
            <w:tcW w:w="382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Single family subprime: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Domestic.........................</w:t>
            </w:r>
          </w:p>
        </w:tc>
        <w:tc>
          <w:tcPr>
            <w:tcW w:w="1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235,572</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2,192</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3,834</w:t>
            </w:r>
          </w:p>
        </w:tc>
        <w:tc>
          <w:tcPr>
            <w:tcW w:w="3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12,091</w:t>
            </w:r>
          </w:p>
        </w:tc>
        <w:tc>
          <w:tcPr>
            <w:tcW w:w="1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Foreign (Ocwen UK)...............</w:t>
            </w:r>
          </w:p>
        </w:tc>
        <w:tc>
          <w:tcPr>
            <w:tcW w:w="1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295,157</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8,983</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10,207</w:t>
            </w:r>
          </w:p>
        </w:tc>
        <w:tc>
          <w:tcPr>
            <w:tcW w:w="3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34,452</w:t>
            </w:r>
          </w:p>
        </w:tc>
        <w:tc>
          <w:tcPr>
            <w:tcW w:w="1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530,729</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11,175</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14,041</w:t>
            </w:r>
          </w:p>
        </w:tc>
        <w:tc>
          <w:tcPr>
            <w:tcW w:w="3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46,543</w:t>
            </w:r>
          </w:p>
        </w:tc>
        <w:tc>
          <w:tcPr>
            <w:tcW w:w="1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758,032</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36,804</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50,583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18,723</w:t>
            </w:r>
          </w:p>
        </w:tc>
      </w:tr>
      <w:tr>
        <w:trPr>
          <w:trHeight w:val="167"/>
        </w:trPr>
        <w:tc>
          <w:tcPr>
            <w:tcW w:w="382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Single family discount................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498,798</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7,638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48,085</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32,261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15,824</w:t>
            </w:r>
          </w:p>
        </w:tc>
      </w:tr>
      <w:tr>
        <w:trPr>
          <w:trHeight w:val="167"/>
        </w:trPr>
        <w:tc>
          <w:tcPr>
            <w:tcW w:w="382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Single family subprime: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Domestic.........................</w:t>
            </w:r>
          </w:p>
        </w:tc>
        <w:tc>
          <w:tcPr>
            <w:tcW w:w="1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1,045,174</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5,905</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34,516</w:t>
            </w:r>
          </w:p>
        </w:tc>
        <w:tc>
          <w:tcPr>
            <w:tcW w:w="3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81,742</w:t>
            </w:r>
          </w:p>
        </w:tc>
        <w:tc>
          <w:tcPr>
            <w:tcW w:w="1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Foreign (Ocwen UK)...............</w:t>
            </w:r>
          </w:p>
        </w:tc>
        <w:tc>
          <w:tcPr>
            <w:tcW w:w="1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581,108</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25,330</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27,000</w:t>
            </w:r>
          </w:p>
        </w:tc>
        <w:tc>
          <w:tcPr>
            <w:tcW w:w="3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57,852</w:t>
            </w:r>
          </w:p>
        </w:tc>
        <w:tc>
          <w:tcPr>
            <w:tcW w:w="1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1,626,282</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31,235</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61,516</w:t>
            </w:r>
          </w:p>
        </w:tc>
        <w:tc>
          <w:tcPr>
            <w:tcW w:w="3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139,594</w:t>
            </w:r>
          </w:p>
        </w:tc>
        <w:tc>
          <w:tcPr>
            <w:tcW w:w="1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$ 2,125,080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38,873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109,601</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171,855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15,824</w:t>
            </w:r>
          </w:p>
        </w:tc>
      </w:tr>
      <w:tr>
        <w:trPr>
          <w:trHeight w:val="167"/>
        </w:trPr>
        <w:tc>
          <w:tcPr>
            <w:tcW w:w="382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720" w:firstLine="781"/>
        <w:spacing w:after="0" w:line="254" w:lineRule="auto"/>
        <w:rPr>
          <w:sz w:val="20"/>
          <w:szCs w:val="20"/>
          <w:color w:val="auto"/>
        </w:rPr>
      </w:pPr>
      <w:r>
        <w:rPr>
          <w:rFonts w:ascii="Courier New" w:cs="Courier New" w:eastAsia="Courier New" w:hAnsi="Courier New"/>
          <w:sz w:val="14"/>
          <w:szCs w:val="14"/>
          <w:color w:val="auto"/>
        </w:rPr>
        <w:t>The unrealized loss on trading securities of $(4,926) for 2000 resulted from the Company's change in its policy for securities available for sale and match-funded securities to account for them as trading securities effective September 30, 2000. See Notes 1 and 4 to the Consolidated Financial Statements (which are incorporated herein by reference).</w:t>
      </w:r>
    </w:p>
    <w:p>
      <w:pPr>
        <w:spacing w:after="0" w:line="162" w:lineRule="exact"/>
        <w:rPr>
          <w:sz w:val="20"/>
          <w:szCs w:val="20"/>
          <w:color w:val="auto"/>
        </w:rPr>
      </w:pPr>
    </w:p>
    <w:p>
      <w:pPr>
        <w:ind w:right="3820" w:firstLine="781"/>
        <w:spacing w:after="0" w:line="254" w:lineRule="auto"/>
        <w:rPr>
          <w:sz w:val="20"/>
          <w:szCs w:val="20"/>
          <w:color w:val="auto"/>
        </w:rPr>
      </w:pPr>
      <w:r>
        <w:rPr>
          <w:rFonts w:ascii="Courier New" w:cs="Courier New" w:eastAsia="Courier New" w:hAnsi="Courier New"/>
          <w:sz w:val="14"/>
          <w:szCs w:val="14"/>
          <w:color w:val="auto"/>
        </w:rPr>
        <w:t>Impairment charges on securities available for sale represent declines in fair value that were deemed to be other-than-temporary. See "Changes in Financial Condition - Securities Available for Sale" and the "Securities Available for Sale" section of Note 1 to the Consolidated Financial Statements (which is incorporated herein by reference).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680"/>
          </w:cols>
          <w:pgMar w:left="220" w:top="453" w:right="999" w:bottom="473" w:gutter="0" w:footer="0" w:header="0"/>
        </w:sectPr>
      </w:pPr>
    </w:p>
    <w:bookmarkStart w:id="51" w:name="page52"/>
    <w:bookmarkEnd w:id="51"/>
    <w:p>
      <w:pPr>
        <w:ind w:right="3799"/>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following table sets forth the results of the Company's real estate owned (which does not include investments in real estate, as discussed below) during the years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7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4080" w:type="dxa"/>
            <w:vAlign w:val="bottom"/>
          </w:tcPr>
          <w:p>
            <w:pPr>
              <w:spacing w:after="0"/>
              <w:rPr>
                <w:sz w:val="14"/>
                <w:szCs w:val="14"/>
                <w:color w:val="auto"/>
              </w:rPr>
            </w:pPr>
          </w:p>
        </w:tc>
        <w:tc>
          <w:tcPr>
            <w:tcW w:w="27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0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Gains on sales ...............................</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$ 22,515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$ 36,265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$ 43,839</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Provision for losses in fair value ...........</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(26,674)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(18,626)</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Carrying costs, net ..........................</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(9,305)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(10,317)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(11,180)</w:t>
            </w:r>
          </w:p>
        </w:tc>
      </w:tr>
      <w:tr>
        <w:trPr>
          <w:trHeight w:val="167"/>
        </w:trPr>
        <w:tc>
          <w:tcPr>
            <w:tcW w:w="40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(Loss) gain on real estate owned, net ........</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$(13,464)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(2,060)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$ 14,033</w:t>
            </w:r>
          </w:p>
        </w:tc>
      </w:tr>
      <w:tr>
        <w:trPr>
          <w:trHeight w:val="167"/>
        </w:trPr>
        <w:tc>
          <w:tcPr>
            <w:tcW w:w="40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See "Changes in Financial Condition - Real Estate Owned, Net" for additional information regarding real estate owned and the related provision for losses in fair value.</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Net gains on other non-interest earnings assets, net, for 2000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$45,517 were principally comprised of $22,949 of gains from sales of investments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real estate, primarily those acquired as a result of the OAC acquisition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1999, and a $20,025 gain from the sale of Kensington. Net gains on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earnings assets, net, for 1999 of $58,693 were primarily comprised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 $50,371 gain from the sale of Ocwen UK and $6,591 of gains from sales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low-income housing tax credit interests. Net gains on other non-interest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assets, net, for 1998 of $17,702 were primarily comprised of $10,383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gains on the sale of investment in real estate and $7,366 of gains on the sale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investments in low-income tax credit interests.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Net operating gains on investments in real estate of $26,140 during 2000 included $13,653 of operating income from investments in real estate acquired as a result of the OAC acquisition in October 1999, and $12,427 of equity in earnings related to certain loans acquired during the first quarter of 2000 which are accounted for as investments in real estate. See "Changes in Financial Condition - Investments in Real Estate" and Note 1 and Note 13 to the Consolidated Financial Statements (which are incorporated herein by reference).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Amortization of the excess of net assets acquired over purchase price resulted from the Company's acquisition of OAC on October 7, 1999. The acquisition resulted in an excess of net assets acquired over the purchase price in the amount of $60,042. Amortization is calculated on a straight-line basis. Amortization for the fourth quarter of 2000 includes an additional amount of $2,330 resulting from the reduction in the estimated life of the excess of net assets acquired over the purchase price from 60 months to 39 months, effective October 1, 2000. The unamortized balance of the excess of net assets acquired over the purchase price at December 31, 2000 and 1999 was $36,665 and $56,841, respectively. See Note 2 to the Consolidated Financial Statements (which is incorporated herein by reference).</w:t>
      </w:r>
    </w:p>
    <w:p>
      <w:pPr>
        <w:spacing w:after="0" w:line="331"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See Note 30 to the Consolidated Financial Statements (which is incorporated herein by reference) for a disclosure of the components of other income for 2000, 1999 and 1998.</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NON-INTEREST EXPENSE. Non-interest expense decreased $25,059 or 12.8% during 2000 and $31,478 or 13.9% during 1999. The decreases in non-interest expense during 2000 and 1999 were due largely to the sale of Ocwen UK on September 30, 1999 and the closing of the domestic subprime lending operation at OFS.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3" w:right="1440" w:bottom="1440" w:gutter="0" w:footer="0" w:header="0"/>
        </w:sectPr>
      </w:pPr>
    </w:p>
    <w:bookmarkStart w:id="52" w:name="page53"/>
    <w:bookmarkEnd w:id="52"/>
    <w:p>
      <w:pPr>
        <w:ind w:right="120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table sets forth the principal components of the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Courier New" w:cs="Courier New" w:eastAsia="Courier New" w:hAnsi="Courier New"/>
                <w:sz w:val="14"/>
                <w:szCs w:val="14"/>
                <w:color w:val="auto"/>
              </w:rPr>
              <w:t>Company's non-interest expense during the years indicated:</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8"/>
        </w:trPr>
        <w:tc>
          <w:tcPr>
            <w:tcW w:w="6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63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Compensation and employee benefits....................................</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83,086</w:t>
            </w:r>
          </w:p>
        </w:tc>
      </w:tr>
      <w:tr>
        <w:trPr>
          <w:trHeight w:val="167"/>
        </w:trPr>
        <w:tc>
          <w:tcPr>
            <w:tcW w:w="6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Occupancy and equipment...............................................</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12,005</w:t>
            </w:r>
          </w:p>
        </w:tc>
      </w:tr>
      <w:tr>
        <w:trPr>
          <w:trHeight w:val="167"/>
        </w:trPr>
        <w:tc>
          <w:tcPr>
            <w:tcW w:w="6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Technology and communication costs....................................</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22,515</w:t>
            </w:r>
          </w:p>
        </w:tc>
      </w:tr>
      <w:tr>
        <w:trPr>
          <w:trHeight w:val="167"/>
        </w:trPr>
        <w:tc>
          <w:tcPr>
            <w:tcW w:w="6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Loan expenses.........................................................</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13,051</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operating losses on investment in certain low-income housing tax</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credit interests...................................................</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9,931</w:t>
            </w:r>
          </w:p>
        </w:tc>
      </w:tr>
      <w:tr>
        <w:trPr>
          <w:trHeight w:val="167"/>
        </w:trPr>
        <w:tc>
          <w:tcPr>
            <w:tcW w:w="6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Amortization and write-off of excess of purchase price over net assets</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acquired...........................................................</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3,124</w:t>
            </w:r>
          </w:p>
        </w:tc>
      </w:tr>
      <w:tr>
        <w:trPr>
          <w:trHeight w:val="167"/>
        </w:trPr>
        <w:tc>
          <w:tcPr>
            <w:tcW w:w="6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Professional services and regulatory fees.............................</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13,275</w:t>
            </w:r>
          </w:p>
        </w:tc>
      </w:tr>
      <w:tr>
        <w:trPr>
          <w:trHeight w:val="167"/>
        </w:trPr>
        <w:tc>
          <w:tcPr>
            <w:tcW w:w="6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operating expenses..............................................</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13,022</w:t>
            </w:r>
          </w:p>
        </w:tc>
      </w:tr>
      <w:tr>
        <w:trPr>
          <w:trHeight w:val="167"/>
        </w:trPr>
        <w:tc>
          <w:tcPr>
            <w:tcW w:w="63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170,009</w:t>
            </w:r>
          </w:p>
        </w:tc>
      </w:tr>
      <w:tr>
        <w:trPr>
          <w:trHeight w:val="167"/>
        </w:trPr>
        <w:tc>
          <w:tcPr>
            <w:tcW w:w="63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decline in compensation and employee benefits for 2000 as compared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1999 was largely a result of the sale of Ocwen UK and the closing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subprime lending operations at OFS. Also contributing to the decline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the Company's reversal of accrued profit sharing expense in the amount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$6,012 during the first quarter of 2000 as a result of the Company's decision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suspend the long-term incentive plan. Excluding Ocwen UK, OFS and the $6,012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accrual reversal, compensation and employee benefits increased $9,581 during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This increase reflects an increase in the average number of full-time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 employees (excluding Ocwen UK and OFS) from 1,155 to 1,288 between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and 2000, respectively. Further contributing to the increase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and employee benefits during 2000 was a reversal of $2,248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profit sharing expense in the second quarter of 1999 resulting from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decision at that time to grant stock options under its annual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plan at an exercise price equal to fair market value. Previously,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were granted at exercise prices below fair market value, resulting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recognition of profit sharing expense. For 2000, options were granted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prices below fair market value and accounted for $572 of profit sharing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w:t>
      </w:r>
    </w:p>
    <w:p>
      <w:pPr>
        <w:spacing w:after="0" w:line="175" w:lineRule="exact"/>
        <w:rPr>
          <w:sz w:val="20"/>
          <w:szCs w:val="20"/>
          <w:color w:val="auto"/>
        </w:rPr>
      </w:pPr>
    </w:p>
    <w:p>
      <w:pPr>
        <w:ind w:right="680" w:firstLine="781"/>
        <w:spacing w:after="0" w:line="253" w:lineRule="auto"/>
        <w:rPr>
          <w:sz w:val="20"/>
          <w:szCs w:val="20"/>
          <w:color w:val="auto"/>
        </w:rPr>
      </w:pPr>
      <w:r>
        <w:rPr>
          <w:rFonts w:ascii="Courier New" w:cs="Courier New" w:eastAsia="Courier New" w:hAnsi="Courier New"/>
          <w:sz w:val="14"/>
          <w:szCs w:val="14"/>
          <w:color w:val="auto"/>
        </w:rPr>
        <w:t>Excluding Ocwen UK and OFS, compensation and employee benefits decreased $2,797 during 1999 despite an increase in the average number of employees from 981 during 1998 to 1,155 during 1999. The decrease in compensation and employee benefits during 1999 reflects a reduction in profit sharing expense in connection with the Company's decision to grant options under its annual incentive plan at an exercise price equal to fair market value, as discussed above. Also contributing to the decline in compensation and employee benefits was a decrease in recruiting related expenses as a result of an increase in direct and local hiring. These declines were partially offset by an increase in profit sharing expense related to the Company's long-term incentive plan.</w:t>
      </w:r>
    </w:p>
    <w:p>
      <w:pPr>
        <w:spacing w:after="0" w:line="331" w:lineRule="exact"/>
        <w:rPr>
          <w:sz w:val="20"/>
          <w:szCs w:val="20"/>
          <w:color w:val="auto"/>
        </w:rPr>
      </w:pPr>
    </w:p>
    <w:p>
      <w:pPr>
        <w:ind w:right="1200" w:firstLine="781"/>
        <w:spacing w:after="0" w:line="254" w:lineRule="auto"/>
        <w:rPr>
          <w:sz w:val="20"/>
          <w:szCs w:val="20"/>
          <w:color w:val="auto"/>
        </w:rPr>
      </w:pPr>
      <w:r>
        <w:rPr>
          <w:rFonts w:ascii="Courier New" w:cs="Courier New" w:eastAsia="Courier New" w:hAnsi="Courier New"/>
          <w:sz w:val="14"/>
          <w:szCs w:val="14"/>
          <w:color w:val="auto"/>
        </w:rPr>
        <w:t>Occupancy and equipment costs consist principally of rents, depreciation, mail and delivery expense and other office operations costs. Excluding Ocwen UK and OFS, occupancy and equipment expense decreased $793 during 2000 and increased $2,287 during 1999.</w:t>
      </w:r>
    </w:p>
    <w:p>
      <w:pPr>
        <w:spacing w:after="0" w:line="163" w:lineRule="exact"/>
        <w:rPr>
          <w:sz w:val="20"/>
          <w:szCs w:val="20"/>
          <w:color w:val="auto"/>
        </w:rPr>
      </w:pPr>
    </w:p>
    <w:p>
      <w:pPr>
        <w:ind w:right="680" w:firstLine="781"/>
        <w:spacing w:after="0" w:line="253" w:lineRule="auto"/>
        <w:rPr>
          <w:sz w:val="20"/>
          <w:szCs w:val="20"/>
          <w:color w:val="auto"/>
        </w:rPr>
      </w:pPr>
      <w:r>
        <w:rPr>
          <w:rFonts w:ascii="Courier New" w:cs="Courier New" w:eastAsia="Courier New" w:hAnsi="Courier New"/>
          <w:sz w:val="14"/>
          <w:szCs w:val="14"/>
          <w:color w:val="auto"/>
        </w:rPr>
        <w:t>Technology and communication costs consist primarily of depreciation expense on computer hardware and software, technology-related consulting fees (primarily OTX) and telephone expense. Excluding Ocwen UK and OFS, technology and communication costs increased by $4,907 in 2000 and by $4,740 in 1999. These increases were primarily due to increased consulting fees incurred at OTX. Additionally, OTX capitalized $2,645 and $1,333 of consulting fees as capitalized software development costs during 1999 and 1998, respectively.</w:t>
      </w:r>
    </w:p>
    <w:p>
      <w:pPr>
        <w:spacing w:after="0" w:line="165" w:lineRule="exact"/>
        <w:rPr>
          <w:sz w:val="20"/>
          <w:szCs w:val="20"/>
          <w:color w:val="auto"/>
        </w:rPr>
      </w:pPr>
    </w:p>
    <w:p>
      <w:pPr>
        <w:ind w:right="780" w:firstLine="781"/>
        <w:spacing w:after="0" w:line="254" w:lineRule="auto"/>
        <w:rPr>
          <w:sz w:val="20"/>
          <w:szCs w:val="20"/>
          <w:color w:val="auto"/>
        </w:rPr>
      </w:pPr>
      <w:r>
        <w:rPr>
          <w:rFonts w:ascii="Courier New" w:cs="Courier New" w:eastAsia="Courier New" w:hAnsi="Courier New"/>
          <w:sz w:val="14"/>
          <w:szCs w:val="14"/>
          <w:color w:val="auto"/>
        </w:rPr>
        <w:t>Net operating losses on investments in certain low-income housing tax credits increased during 2000 principally because the Company recorded a charge to earnings of $6,448 for the expected loss on the pending sale of twenty-five low income housing tax credit properties. See "Changes in Financial Condition - Low-Income Housing Tax Credit Interests Held for Sale."</w:t>
      </w:r>
    </w:p>
    <w:p>
      <w:pPr>
        <w:spacing w:after="0" w:line="162" w:lineRule="exact"/>
        <w:rPr>
          <w:sz w:val="20"/>
          <w:szCs w:val="20"/>
          <w:color w:val="auto"/>
        </w:rPr>
      </w:pPr>
    </w:p>
    <w:p>
      <w:pPr>
        <w:ind w:right="780" w:firstLine="781"/>
        <w:spacing w:after="0" w:line="253" w:lineRule="auto"/>
        <w:rPr>
          <w:sz w:val="20"/>
          <w:szCs w:val="20"/>
          <w:color w:val="auto"/>
        </w:rPr>
      </w:pPr>
      <w:r>
        <w:rPr>
          <w:rFonts w:ascii="Courier New" w:cs="Courier New" w:eastAsia="Courier New" w:hAnsi="Courier New"/>
          <w:sz w:val="14"/>
          <w:szCs w:val="14"/>
          <w:color w:val="auto"/>
        </w:rPr>
        <w:t>Goodwill amortization recognized during 2000 and 1999 related entirely to OTX. Amortization in 1999 included a charge of $3,367 reflecting the impact of a reduction in the estimated useful life of the goodwill associated with the acquisitions made by OTX. Of the $11,614 of goodwill amortization recorded during 1998, $10,773 related to OFS, including the $10,061 write-off of the remaining unamortized balance that was impaired.</w:t>
      </w:r>
    </w:p>
    <w:p>
      <w:pPr>
        <w:spacing w:after="0" w:line="165" w:lineRule="exact"/>
        <w:rPr>
          <w:sz w:val="20"/>
          <w:szCs w:val="20"/>
          <w:color w:val="auto"/>
        </w:rPr>
      </w:pPr>
    </w:p>
    <w:p>
      <w:pPr>
        <w:ind w:right="680" w:firstLine="781"/>
        <w:spacing w:after="0" w:line="254" w:lineRule="auto"/>
        <w:rPr>
          <w:sz w:val="20"/>
          <w:szCs w:val="20"/>
          <w:color w:val="auto"/>
        </w:rPr>
      </w:pPr>
      <w:r>
        <w:rPr>
          <w:rFonts w:ascii="Courier New" w:cs="Courier New" w:eastAsia="Courier New" w:hAnsi="Courier New"/>
          <w:sz w:val="14"/>
          <w:szCs w:val="14"/>
          <w:color w:val="auto"/>
        </w:rPr>
        <w:t>Excluding Ocwen UK and OFS, loan expenses increased $5,110 during 2000 and $1,492 during 1999. The increase in loan expenses during 2000 was due primarily to an increase in appraisal fees in connection with property valuation services provided by ORA.</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102,173</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115,556</w:t>
            </w:r>
          </w:p>
        </w:tc>
      </w:tr>
      <w:tr>
        <w:trPr>
          <w:trHeight w:val="167"/>
        </w:trPr>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18,501</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17,652</w:t>
            </w:r>
          </w:p>
        </w:tc>
      </w:tr>
      <w:tr>
        <w:trPr>
          <w:trHeight w:val="167"/>
        </w:trPr>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19,647</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17,560</w:t>
            </w:r>
          </w:p>
        </w:tc>
      </w:tr>
      <w:tr>
        <w:trPr>
          <w:trHeight w:val="167"/>
        </w:trPr>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12,618</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25,373</w:t>
            </w:r>
          </w:p>
        </w:tc>
      </w:tr>
      <w:tr>
        <w:trPr>
          <w:trHeight w:val="334"/>
        </w:trPr>
        <w:tc>
          <w:tcPr>
            <w:tcW w:w="1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6,291</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6,905</w:t>
            </w:r>
          </w:p>
        </w:tc>
      </w:tr>
      <w:tr>
        <w:trPr>
          <w:trHeight w:val="334"/>
        </w:trPr>
        <w:tc>
          <w:tcPr>
            <w:tcW w:w="1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4,448</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11,614</w:t>
            </w:r>
          </w:p>
        </w:tc>
      </w:tr>
      <w:tr>
        <w:trPr>
          <w:trHeight w:val="167"/>
        </w:trPr>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14,205</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18,082</w:t>
            </w:r>
          </w:p>
        </w:tc>
      </w:tr>
      <w:tr>
        <w:trPr>
          <w:trHeight w:val="167"/>
        </w:trPr>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17,185</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13,804</w:t>
            </w:r>
          </w:p>
        </w:tc>
      </w:tr>
      <w:tr>
        <w:trPr>
          <w:trHeight w:val="167"/>
        </w:trPr>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195,068</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226,546</w:t>
            </w:r>
          </w:p>
        </w:tc>
      </w:tr>
      <w:tr>
        <w:trPr>
          <w:trHeight w:val="167"/>
        </w:trPr>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640" w:space="620"/>
            <w:col w:w="2420"/>
          </w:cols>
          <w:pgMar w:left="220" w:top="453" w:right="999" w:bottom="807" w:gutter="0" w:footer="0" w:header="0"/>
        </w:sectPr>
      </w:pPr>
    </w:p>
    <w:bookmarkStart w:id="53" w:name="page54"/>
    <w:bookmarkEnd w:id="53"/>
    <w:p>
      <w:pPr>
        <w:ind w:right="3799"/>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Professional services and regulatory fees are primarily comprised of non-technology related consulting fees, legal and audit fees and FDIC insurance. The declines in professional services and regulatory fees during 2000 and 1999 are principally related to Ocwen UK and OFS. Excluding Ocwen UK and OFS, professional services and regulatory fees increased by $254 in 2000 as compared to 1999 and decreased by $1,135 in 1999 as compared to 1998.</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Other operating expenses include travel costs, acquisition expenses, marketing costs, and amortization of capitalized software costs. Excluding Ocwen UK and OFS, other operating expenses increased $4,328 during 2000 and $2,548 during 1999. The increase in 2000 was largely due to increased marketing costs at OTX and the recognition of $1,355 of deferred expenses related to the sale of twenty-five low-income tax housing tax credit properties. See Note 31 to the Consolidated Financial Statements (which is incorporated herein by reference) for a disclosure of the components of other operating expenses for 2000, 1999 and 1998.</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DISTRIBUTIONS ON COMPANY OBLIGATED, MANDATORILY REDEEMABLE SECURITIES OF SUBSIDIARY TRUST HOLDING SOLELY JUNIOR SUBORDINATED DEBENTURES OF THE COMPANY. Cash distributions on the Capital Securities are payable semi-annually in arrears on February 1 and August 1 of each year at an annual rate of 10.875%. The Company recorded $11,380, $13,111, and $13,594 of distributions to holders of the Capital Securities during 2000, 1999 and 1998, respectively. The decline in distributions is the result of repurchases during 2000 and 1999. See Note 22 to the Consolidated Financial Statements (which is incorporated herein by reference) and "Changes in Financial Condition - Company-Obligated, Mandatorily Redeemable Securities of Subsidiary Trust Holding Solely Junior Subordinated Debentures of the Company."</w:t>
      </w:r>
    </w:p>
    <w:p>
      <w:pPr>
        <w:spacing w:after="0" w:line="33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EQUITY IN (LOSSES) EARNINGS OF INVESTMENTS IN UNCONSOLIDATED ENTITIES.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the Company's sale of its equity investment in Kensington on November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 2000, the Company recorded equity in (losses) earnings of Kensington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$(5,280), $(9,154) and $439, net of goodwill amortization, during 2000, 1999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respectively.</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Equity in the losses of investments in unconsolidated entities for 1999 and 1998 also included the Company's equity in the losses of its investments in OAC and OPLP of $3,605 and $8,701, respectively. Prior to its acquisition of OAC in October 1999, the Company accounted for its investments in OAC and OPLP using the equity method.</w:t>
      </w:r>
    </w:p>
    <w:p>
      <w:pPr>
        <w:spacing w:after="0" w:line="16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See "Changes in Financial Condition - Investment in Unconsolidated Entities" and Note 2 and Note 10 to the Consolidated Financial Statements (which are incorporated herein by reference).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INCOME TAX EXPENSE (BENEFIT). Income tax expense (benefit) amounted to $7,957, $2,608, and $(30,699) during 2000, 1999 and 1998, respectively. The Company's provision for income taxes reflects tax credits resulting from the Company's investment in low-income housing tax credit interests of $2,577, $18,242 and $17,666 during 2000, 1999 and 1998, respectively. The Company's provision in 1999 also reflects the lack of foreign tax payments, which would have generated foreign tax credits to reduce the U.S. tax liability resulting from the sale of Ocwen UK. The Company's provisions in 2000 and 1999 also reflect charges of $17,500 and $2,500, respectively, related to the deferred tax asset valuation allowance. See Note 25 to the Consolidated Financial Statements (which is incorporated herein by reference) and "Changes in Financial Condition - - Investments in Low-Income Housing Tax Credit Interests."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EXTRAORDINARY GAIN ON REPURCHASE OF DEBT, NET OF TAXES. Extraordinary gain on repurchases of debt, net of taxes, for 2000 of $18,713 is comprised of $7,396 of gains recognized in connection with the repurchase of Capital Securities, $11,041 of gains recognized in connection with repurchases of the 11.5% Redeemable Notes and $276 of gains recognized in connection with the repurchase of 11.875% Notes. Extraordinary gain on repurchases of debt for 1999 amounted to $6,983 and was comprised of $4,570 of gains recognized in connection with the repurchases of Capital Securities, $1,323 from the Company's repurchase of 12% Subordinated Debentures and $1,090 of gains recognized from the repurchase of the 11.875% Notes. See "Changes in Financial Condition - Notes, Debentures and Other Interest-Bearing Obligations" and "Company Obligated, Mandatorily Redeemable Securities of Subsidiary Trust Holding Solely Junior Subordinated Debentures of the Company" and Note 21 and Note 22 to the Consolidated Financial Statements (which are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FINANCIAL CONDITION</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TRADING SECURITIES. The Company reclassified its portfolio of securities available for sale to trading on September 30, 2000. On that date, the Company transferred its portfolio of securities available for sale, which had a fair value of $496,295 to trading.</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453" w:right="1440" w:bottom="1440" w:gutter="0" w:footer="0" w:header="0"/>
        </w:sectPr>
      </w:pPr>
    </w:p>
    <w:bookmarkStart w:id="54" w:name="page55"/>
    <w:bookmarkEnd w:id="54"/>
    <w:p>
      <w:pPr>
        <w:ind w:right="3799"/>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table sets forth the fair value of the Company's trading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securities at the dates indicated:</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522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 31,</w:t>
            </w:r>
          </w:p>
        </w:tc>
        <w:tc>
          <w:tcPr>
            <w:tcW w:w="1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2000</w:t>
            </w:r>
          </w:p>
        </w:tc>
        <w:tc>
          <w:tcPr>
            <w:tcW w:w="3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220" w:type="dxa"/>
            <w:vAlign w:val="bottom"/>
          </w:tcPr>
          <w:p>
            <w:pPr>
              <w:spacing w:after="0"/>
              <w:rPr>
                <w:sz w:val="14"/>
                <w:szCs w:val="14"/>
                <w:color w:val="auto"/>
              </w:rPr>
            </w:pP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Mortgage-related securities: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Collateralized mortgage obligations</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(AAA-rated)..........................................</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277,595</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Subordinates, residuals and other securities:</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220" w:type="dxa"/>
            <w:vAlign w:val="bottom"/>
          </w:tcPr>
          <w:p>
            <w:pPr>
              <w:ind w:left="440"/>
              <w:spacing w:after="0"/>
              <w:rPr>
                <w:sz w:val="20"/>
                <w:szCs w:val="20"/>
                <w:color w:val="auto"/>
              </w:rPr>
            </w:pPr>
            <w:r>
              <w:rPr>
                <w:rFonts w:ascii="Courier New" w:cs="Courier New" w:eastAsia="Courier New" w:hAnsi="Courier New"/>
                <w:sz w:val="14"/>
                <w:szCs w:val="14"/>
                <w:color w:val="auto"/>
              </w:rPr>
              <w:t>Single family residential:</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BB-rated subordinates.............................</w:t>
            </w:r>
          </w:p>
        </w:tc>
        <w:tc>
          <w:tcPr>
            <w:tcW w:w="5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4,563</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B-rated subordinates..............................</w:t>
            </w:r>
          </w:p>
        </w:tc>
        <w:tc>
          <w:tcPr>
            <w:tcW w:w="5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2,911</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Unrated subordinates .............................</w:t>
            </w:r>
          </w:p>
        </w:tc>
        <w:tc>
          <w:tcPr>
            <w:tcW w:w="5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9,361</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Unrated subprime residuals........................</w:t>
            </w:r>
          </w:p>
        </w:tc>
        <w:tc>
          <w:tcPr>
            <w:tcW w:w="5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93,176</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110,011</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tcPr>
          <w:p>
            <w:pPr>
              <w:ind w:left="440"/>
              <w:spacing w:after="0"/>
              <w:rPr>
                <w:sz w:val="20"/>
                <w:szCs w:val="20"/>
                <w:color w:val="auto"/>
              </w:rPr>
            </w:pPr>
            <w:r>
              <w:rPr>
                <w:rFonts w:ascii="Courier New" w:cs="Courier New" w:eastAsia="Courier New" w:hAnsi="Courier New"/>
                <w:sz w:val="14"/>
                <w:szCs w:val="14"/>
                <w:color w:val="auto"/>
              </w:rPr>
              <w:t>Multi-family residential and commercial:</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5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Unrated subordinates..............................</w:t>
            </w:r>
          </w:p>
        </w:tc>
        <w:tc>
          <w:tcPr>
            <w:tcW w:w="5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2,636</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112,647</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Trading securities........................................</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390,242</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During the three months ended December 31, 2000, after the transfer of securities available for sale to trading, trading securities declined $106,053. This decline was primarily due to $100,590 of maturities and principal repayments, $1,070 of sales, $1,605 of net premium amortization and a $3,280 decline in fair value.</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Residual and subordinate securities at December 31, 2000 include retained interests with a fair value of $43,016 from securitizations of loans completed by the Company in prior years. The Company determines the present value of anticipated cash flows utilizing valuation assumptions appropriate for each particular transaction. The significant valuation assumptions have included the anticipated prepayment speeds and the anticipated credit losses related to the underlying mortgages. In order to determine the present value of this estimated excess cash flow, the Company currently applies a discount rate of 17% to 20% to the projected cash flows on the unrated classes of securities. The annual prepayment rate of the securitized loans is a function of full and partial prepayments and defaults. The Company makes assumptions as to the prepayment rates of the underlying loans, which the Company believes are reasonable, in estimating fair values of the subordinate securities and residual securities retained. During 2000, the Company utilized proprietary prepayment curves (reaching an approximate range of annualized rates of 11% - 36%). During 2000, the Company estimated annual losses of between 0.5% and 7% of the unpaid principal balance of the underlying loans. See Note 4 to the Consolidated Financial Statements (which is incorporated herein by reference) for additional disclosures regarding retained interests.</w:t>
      </w:r>
    </w:p>
    <w:p>
      <w:pPr>
        <w:spacing w:after="0" w:line="341"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Subordinate and residual interests are affected by the rate and timing of payments of principal (including prepayments, repurchase, defaults and liquidations) on the mortgage loans underlying a series of mortgage-related securities. The rate of principal payments may vary significantly over time depending on a variety of factors, such as the level of prevailing mortgage loan interest rates and economic, demographic, tax, legal and other factors. Prepayments on the mortgage loans underlying a series of mortgage-related securities are generally allocated to the more senior classes of mortgage-related securities. Although in the absence of defaults or interest shortfalls all subordinates receive interest, amounts otherwise allocable to residuals generally are used to make payments on more senior classes or to fund a reserve account for the protection of senior classes until overcollateralization or the balance in the reserve account reaches a specified level. In periods of declining interest rates, rates of prepayments on mortgage loans generally increase, and if the rate of prepayments is faster than anticipated, then the yield on subordinates will be positively affected and the yield on residuals will be negatively affected.</w:t>
      </w:r>
    </w:p>
    <w:p>
      <w:pPr>
        <w:spacing w:after="0" w:line="34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periodically assesses the carrying value of its subordinate securities and residual securities retained. There can be no assurance that the Company's estimates used to determine the gain on securitized loan sales, subordinate securities and residual securities retained will remain appropriate for the life of each securitization. If actual loan prepayments or defaults exceed the Company's estimates, the carrying value of the Company's subordinate securities and residual securities retained may be decreased during the period management recognized the disparity. Other factors may also result in a write-down of the Company's subordinate securities and residual securities in subsequent months. During 2000, and prior to the transfer of securities available for sale to trading, the Company recorded</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453" w:right="1440" w:bottom="473" w:gutter="0" w:footer="0" w:header="0"/>
        </w:sectPr>
      </w:pPr>
    </w:p>
    <w:bookmarkStart w:id="55" w:name="page56"/>
    <w:bookmarkEnd w:id="55"/>
    <w:p>
      <w:pPr>
        <w:ind w:right="502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500"/>
        <w:spacing w:after="0" w:line="255" w:lineRule="auto"/>
        <w:rPr>
          <w:sz w:val="20"/>
          <w:szCs w:val="20"/>
          <w:color w:val="auto"/>
        </w:rPr>
      </w:pPr>
      <w:r>
        <w:rPr>
          <w:rFonts w:ascii="Courier New" w:cs="Courier New" w:eastAsia="Courier New" w:hAnsi="Courier New"/>
          <w:sz w:val="14"/>
          <w:szCs w:val="14"/>
          <w:color w:val="auto"/>
        </w:rPr>
        <w:t>$11,597 of impairment charges on its portfolio of subordinate and residual securities as a result of declines in value that were deemed to be "other- than-temporary."</w:t>
      </w:r>
    </w:p>
    <w:p>
      <w:pPr>
        <w:spacing w:after="0" w:line="162" w:lineRule="exact"/>
        <w:rPr>
          <w:sz w:val="20"/>
          <w:szCs w:val="20"/>
          <w:color w:val="auto"/>
        </w:rPr>
      </w:pPr>
    </w:p>
    <w:p>
      <w:pPr>
        <w:ind w:right="4500" w:firstLine="781"/>
        <w:spacing w:after="0" w:line="256" w:lineRule="auto"/>
        <w:rPr>
          <w:sz w:val="20"/>
          <w:szCs w:val="20"/>
          <w:color w:val="auto"/>
        </w:rPr>
      </w:pPr>
      <w:r>
        <w:rPr>
          <w:rFonts w:ascii="Courier New" w:cs="Courier New" w:eastAsia="Courier New" w:hAnsi="Courier New"/>
          <w:sz w:val="14"/>
          <w:szCs w:val="14"/>
          <w:color w:val="auto"/>
        </w:rPr>
        <w:t>The following tables detail the Company's trading securities portfolio at December 31, 2000 and its estimates of expected yields on such securities, taking into consideration expected prepayment and loss rates together with other factors: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ANTICIPATED</w:t>
            </w: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SUBORDI-</w:t>
            </w: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YIELD TO</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PROSPECTIVE</w:t>
            </w:r>
          </w:p>
        </w:tc>
      </w:tr>
      <w:tr>
        <w:trPr>
          <w:trHeight w:val="167"/>
        </w:trPr>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CLASS SIZE</w:t>
            </w:r>
          </w:p>
        </w:tc>
        <w:tc>
          <w:tcPr>
            <w:tcW w:w="8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rPr>
              <w:t>NATION/OC</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MATURITY AT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YIELD AT</w:t>
            </w:r>
          </w:p>
        </w:tc>
      </w:tr>
      <w:tr>
        <w:trPr>
          <w:trHeight w:val="167"/>
        </w:trPr>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ISSUE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RATING</w:t>
            </w:r>
          </w:p>
        </w:tc>
        <w:tc>
          <w:tcPr>
            <w:tcW w:w="1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INTEREST</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LEVEL AT: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YIELD AT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SECURITIZATION (ISSUER)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SECURITY</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DATE</w:t>
            </w: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RATING</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AGENCIES</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ISSUANCE</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12/31/00</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12/31/00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PURCHASE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12/31/00</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12/31/00</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SINGLE-FAMILY RESIDENTIAL</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Subordinates: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BCF 1996 R1(1)...........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Oct-96</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(a),</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$ 70,773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34,779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None</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7.97%</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38.27%</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CSFB 1996-1R</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(ITT 94-P1) (2)..........</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4B2,</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Oct-96</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(b),</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None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N/A</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BCF 1997 R2 (1)..........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Jun-97</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Ba2,</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BB</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(b),</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6,358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5,544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73.54</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7.05</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9.58</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50.78</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B5</w:t>
            </w:r>
          </w:p>
        </w:tc>
        <w:tc>
          <w:tcPr>
            <w:tcW w:w="7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B2,B</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5,463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73.54</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2.68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10.74</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N/M</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B6</w:t>
            </w:r>
          </w:p>
        </w:tc>
        <w:tc>
          <w:tcPr>
            <w:tcW w:w="7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13,883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73.54</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None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15.98</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SBMS 1997-HUD1 (3)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B5</w:t>
            </w:r>
          </w:p>
        </w:tc>
        <w:tc>
          <w:tcPr>
            <w:tcW w:w="18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Apr-97 B2, n.a. (b),</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9,785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8,098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0.00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5.14</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Apr-97</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16,998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None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(8.97)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ORMBS 1998 R1 (4)........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Mar-98</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(b),</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101,774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48,113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82.48</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None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(28.62)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ORMBS 1998 R2 (4)........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B4A</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Jun-98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Ba2</w:t>
            </w:r>
          </w:p>
        </w:tc>
        <w:tc>
          <w:tcPr>
            <w:tcW w:w="260" w:type="dxa"/>
            <w:vAlign w:val="bottom"/>
          </w:tcPr>
          <w:p>
            <w:pPr>
              <w:spacing w:after="0"/>
              <w:rPr>
                <w:sz w:val="14"/>
                <w:szCs w:val="14"/>
                <w:color w:val="auto"/>
              </w:rPr>
            </w:pP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(b)</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5.97</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13.22</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N/M</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B4F</w:t>
            </w:r>
          </w:p>
        </w:tc>
        <w:tc>
          <w:tcPr>
            <w:tcW w:w="7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Ba2</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5.20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19.23</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72.87</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B5A</w:t>
            </w:r>
          </w:p>
        </w:tc>
        <w:tc>
          <w:tcPr>
            <w:tcW w:w="7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B2</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4.03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23.78</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N/M</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B5F</w:t>
            </w:r>
          </w:p>
        </w:tc>
        <w:tc>
          <w:tcPr>
            <w:tcW w:w="7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B2</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2.48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(0.38)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N/M</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B6A</w:t>
            </w:r>
          </w:p>
        </w:tc>
        <w:tc>
          <w:tcPr>
            <w:tcW w:w="7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None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16.72</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26.44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N/M</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B6F</w:t>
            </w:r>
          </w:p>
        </w:tc>
        <w:tc>
          <w:tcPr>
            <w:tcW w:w="7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None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(19.17)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ORMBS 1998 R3 (4)........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Sep-98</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Ba2,</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BB</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(b),</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11,315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85.87</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1.99</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(45.33)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N/M</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B5</w:t>
            </w:r>
          </w:p>
        </w:tc>
        <w:tc>
          <w:tcPr>
            <w:tcW w:w="7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B2,</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9,151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85.87</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None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(40.33)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N/M</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B6</w:t>
            </w:r>
          </w:p>
        </w:tc>
        <w:tc>
          <w:tcPr>
            <w:tcW w:w="7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26,145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85.87</w:t>
            </w:r>
          </w:p>
        </w:tc>
        <w:tc>
          <w:tcPr>
            <w:tcW w:w="9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(26.24)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ORMBS 1999 R1 (4)........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B5A</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Mar-99</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B2,</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(b),</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4.05</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17.73</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33.39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45.64</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B5F</w:t>
            </w:r>
          </w:p>
        </w:tc>
        <w:tc>
          <w:tcPr>
            <w:tcW w:w="7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B2,</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3.76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17.74</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38.65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N/M</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B6A</w:t>
            </w:r>
          </w:p>
        </w:tc>
        <w:tc>
          <w:tcPr>
            <w:tcW w:w="7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None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54.82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29.78</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B6F</w:t>
            </w:r>
          </w:p>
        </w:tc>
        <w:tc>
          <w:tcPr>
            <w:tcW w:w="7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None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97.89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ORMBS 1999 R2 (4) .......</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Jun-99</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BB</w:t>
            </w:r>
          </w:p>
        </w:tc>
        <w:tc>
          <w:tcPr>
            <w:tcW w:w="1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(a),(c),(d)</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10,530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10,132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6.12</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13.45</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83.71</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B5</w:t>
            </w:r>
          </w:p>
        </w:tc>
        <w:tc>
          <w:tcPr>
            <w:tcW w:w="7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4,511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1.17</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18.45</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32.33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B6</w:t>
            </w:r>
          </w:p>
        </w:tc>
        <w:tc>
          <w:tcPr>
            <w:tcW w:w="7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7,020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None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57.61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(1B)</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Subprime residuals: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SBMS 1996 3 (5)..........</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Jun-96</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(a),</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130,062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23,763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25.47OC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15.52</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24.78</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MLM1 1996 1 (6)..........</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Sep-96</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(a),</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81,142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12,764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42.46OC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15.16</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25.79</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MS 1997 1 (7)............</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X1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Jun-97</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(a),</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6.06OC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21.47</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24.16</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X2</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87,118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13,217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25.45OC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20.38</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14.81</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1997 OFS 2 (8)...........</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X</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Sep-97</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(a),</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102,201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21,437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12.77OC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(0.33)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22.63</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1997 OFS 3 (8)...........</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X</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Dec-97</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(a),</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208,784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56,724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15.48OC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1998 OFS 1 (8)...........</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X</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Mar-98</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(b),</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161,400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46,799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4.28OC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1998 OFS 2 (8)...........</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X</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Jun-98</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(a),</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382,715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118,570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3.91OC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(3.15)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10.88</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1998 OFS 3 (8)...........</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X</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Sep-98</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(a),</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261,649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117,032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5.70OC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(3.14)</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(0.55)</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1998 OFS 4 (8)...........</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X</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Dec-98</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(a),</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349,000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202,129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2.16OC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(6.49)</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w:t>
            </w:r>
          </w:p>
        </w:tc>
      </w:tr>
      <w:tr>
        <w:trPr>
          <w:trHeight w:val="167"/>
        </w:trPr>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1999 OFS 1 (8) ..........</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X</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Jun-99</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(a),</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148,628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110,566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5.81OC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(3.29)</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(0.39)</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PANAM 1997-1 (9).........</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X</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Dec-97</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(a),</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113,544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25,624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11.31OC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22.45</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18.67</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Prepay</w:t>
            </w:r>
          </w:p>
        </w:tc>
        <w:tc>
          <w:tcPr>
            <w:tcW w:w="70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5.98</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(11.92)</w:t>
            </w:r>
          </w:p>
        </w:tc>
      </w:tr>
      <w:tr>
        <w:trPr>
          <w:trHeight w:val="167"/>
        </w:trPr>
        <w:tc>
          <w:tcPr>
            <w:tcW w:w="22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Pen.</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01"/>
        </w:trPr>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60"/>
          </w:cols>
          <w:pgMar w:left="220" w:top="453" w:right="219" w:bottom="1440" w:gutter="0" w:footer="0" w:header="0"/>
        </w:sectPr>
      </w:pPr>
    </w:p>
    <w:bookmarkStart w:id="56" w:name="page57"/>
    <w:bookmarkEnd w:id="56"/>
    <w:p>
      <w:pPr>
        <w:ind w:right="502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ANTICIPATED</w:t>
            </w: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SUBORDI-</w:t>
            </w: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YIELD TO</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PROSPECTIVE</w:t>
            </w:r>
          </w:p>
        </w:tc>
      </w:tr>
      <w:tr>
        <w:trPr>
          <w:trHeight w:val="167"/>
        </w:trPr>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6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CLASS SIZE</w:t>
            </w:r>
          </w:p>
        </w:tc>
        <w:tc>
          <w:tcPr>
            <w:tcW w:w="7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rPr>
              <w:t>NATION/OC</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MATURITY AT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YIELD AT</w:t>
            </w:r>
          </w:p>
        </w:tc>
      </w:tr>
      <w:tr>
        <w:trPr>
          <w:trHeight w:val="167"/>
        </w:trPr>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Courier New" w:cs="Courier New" w:eastAsia="Courier New" w:hAnsi="Courier New"/>
                <w:sz w:val="14"/>
                <w:szCs w:val="14"/>
                <w:color w:val="auto"/>
              </w:rPr>
              <w:t>ISSUE</w:t>
            </w:r>
          </w:p>
        </w:tc>
        <w:tc>
          <w:tcPr>
            <w:tcW w:w="6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RATING</w:t>
            </w:r>
          </w:p>
        </w:tc>
        <w:tc>
          <w:tcPr>
            <w:tcW w:w="880" w:type="dxa"/>
            <w:vAlign w:val="bottom"/>
          </w:tcPr>
          <w:p>
            <w:pPr>
              <w:spacing w:after="0"/>
              <w:rPr>
                <w:sz w:val="20"/>
                <w:szCs w:val="20"/>
                <w:color w:val="auto"/>
              </w:rPr>
            </w:pPr>
            <w:r>
              <w:rPr>
                <w:rFonts w:ascii="Courier New" w:cs="Courier New" w:eastAsia="Courier New" w:hAnsi="Courier New"/>
                <w:sz w:val="11"/>
                <w:szCs w:val="11"/>
                <w:color w:val="auto"/>
                <w:w w:val="72"/>
              </w:rPr>
              <w:t>------------------</w:t>
            </w:r>
          </w:p>
        </w:tc>
        <w:tc>
          <w:tcPr>
            <w:tcW w:w="172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INTEREST</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LEVEL AT: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YIELD AT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SECURITIZATION (ISSUER)</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SECURITY</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RATING</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AGENCIES</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12/31/00</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12/31/00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PURCHASE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12/31/00</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12/31/00</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w w:val="98"/>
              </w:rPr>
              <w:t>--------</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SINGLE-FAMILY RESIDENTIAL</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EQUICON 1994-2 (10)......</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B Fix</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Oct-94</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(b),</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78,846</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$ 14,168</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7.37%OC</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103.81%</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29.00%</w:t>
            </w:r>
          </w:p>
        </w:tc>
      </w:tr>
      <w:tr>
        <w:trPr>
          <w:trHeight w:val="167"/>
        </w:trPr>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(c)</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B Var.</w:t>
            </w:r>
          </w:p>
        </w:tc>
        <w:tc>
          <w:tcPr>
            <w:tcW w:w="56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32,306</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1,798</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45.09OC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29.29</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20.42</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EQUICON 1995-1 (10)......</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B Fix,</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May-95</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(b),</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70,024</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10,153</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11.66OC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27.17</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(c)</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B Var.</w:t>
            </w:r>
          </w:p>
        </w:tc>
        <w:tc>
          <w:tcPr>
            <w:tcW w:w="56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40,519</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4,614</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11.38OC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104.57</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EQUICON 1995-2 (10)......</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B Fix</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Oct-95</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 (b)</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79,288</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14,683</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12.98OC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26.84</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N/M</w:t>
            </w:r>
          </w:p>
        </w:tc>
      </w:tr>
      <w:tr>
        <w:trPr>
          <w:trHeight w:val="167"/>
        </w:trPr>
        <w:tc>
          <w:tcPr>
            <w:tcW w:w="222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B Var.</w:t>
            </w:r>
          </w:p>
        </w:tc>
        <w:tc>
          <w:tcPr>
            <w:tcW w:w="56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39,667</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3,412</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16.60OC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108.66</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1996-1 (11).......</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B Fix,</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Feb-96</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(b)</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120,015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25,465</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6.84OC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29.24</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N/M</w:t>
            </w:r>
          </w:p>
        </w:tc>
      </w:tr>
      <w:tr>
        <w:trPr>
          <w:trHeight w:val="167"/>
        </w:trPr>
        <w:tc>
          <w:tcPr>
            <w:tcW w:w="222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B Var.</w:t>
            </w:r>
          </w:p>
        </w:tc>
        <w:tc>
          <w:tcPr>
            <w:tcW w:w="56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55,362</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6,225</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13.12OC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41.47</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1996-2 (11).......</w:t>
            </w:r>
          </w:p>
        </w:tc>
        <w:tc>
          <w:tcPr>
            <w:tcW w:w="1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B-I,BI-S May-96</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(b)</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142,259</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30,825</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10.12OC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29.66</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B-II</w:t>
            </w:r>
          </w:p>
        </w:tc>
        <w:tc>
          <w:tcPr>
            <w:tcW w:w="56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68,345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6,992</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15.01OC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15.66</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N/M</w:t>
            </w:r>
          </w:p>
        </w:tc>
      </w:tr>
      <w:tr>
        <w:trPr>
          <w:trHeight w:val="167"/>
        </w:trPr>
        <w:tc>
          <w:tcPr>
            <w:tcW w:w="222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BII-S</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1996-3 (11).......</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B-I,</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Aug-96</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(b)</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107,712</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24,939</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15.87OC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19.39</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N/M</w:t>
            </w:r>
          </w:p>
        </w:tc>
      </w:tr>
      <w:tr>
        <w:trPr>
          <w:trHeight w:val="167"/>
        </w:trPr>
        <w:tc>
          <w:tcPr>
            <w:tcW w:w="2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BI-S</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B-II</w:t>
            </w:r>
          </w:p>
        </w:tc>
        <w:tc>
          <w:tcPr>
            <w:tcW w:w="56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99,885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10,439</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23.68OC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18.51</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BII-S</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1996-4 (11).......</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B, B-S</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Nov-96</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(b)</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239,778</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37,098</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35.96OC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12.23</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37.92</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1997-1 (11).......</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B, B-S</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Feb-97</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(b)</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276,442</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57,766</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34.91OC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11.27</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34.15</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1997-2 (11).......</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B, B-S</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May-97</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(b)</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185,197</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37,504</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24.71OC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6.23</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31.46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1997-3 (11).......</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B, B-S</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Oct-97</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(b)</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199,884</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44,730</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17.46OC</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11.78</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40.70</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UK SUBPRIME</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Subordinates:</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CMR1 (12)................</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Deferred</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Apr-96</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(c)</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48,450(B)</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13,003(C)</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14.60RF</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22.83</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24.59</w:t>
            </w:r>
          </w:p>
        </w:tc>
      </w:tr>
      <w:tr>
        <w:trPr>
          <w:trHeight w:val="167"/>
        </w:trPr>
        <w:tc>
          <w:tcPr>
            <w:tcW w:w="2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Comp</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CMR2 (12)................</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Deferred</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Oct-96</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(c)</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97,627(B)</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27,297(C)</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15.50RF</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34.13</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38.46</w:t>
            </w:r>
          </w:p>
        </w:tc>
      </w:tr>
      <w:tr>
        <w:trPr>
          <w:trHeight w:val="167"/>
        </w:trPr>
        <w:tc>
          <w:tcPr>
            <w:tcW w:w="2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Comp</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CMR3 (12)................</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Deferred</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Oct-96</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(c)</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176,047(B)</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49,627(C)</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22.70RF</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61.31</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95.01</w:t>
            </w:r>
          </w:p>
        </w:tc>
      </w:tr>
      <w:tr>
        <w:trPr>
          <w:trHeight w:val="167"/>
        </w:trPr>
        <w:tc>
          <w:tcPr>
            <w:tcW w:w="2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Comp</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CMR4 (12)................</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Deferred</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Jan-97</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(c)</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103,031(B)</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31,551(C)</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11.30RF</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35.36</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41.23</w:t>
            </w:r>
          </w:p>
        </w:tc>
      </w:tr>
      <w:tr>
        <w:trPr>
          <w:trHeight w:val="167"/>
        </w:trPr>
        <w:tc>
          <w:tcPr>
            <w:tcW w:w="2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Comp</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CMR5 (12)................</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Deferred</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Jan-97</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(c)</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54,686(B)</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16,552(C)</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55.40RF</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w:t>
            </w:r>
          </w:p>
        </w:tc>
        <w:tc>
          <w:tcPr>
            <w:tcW w:w="7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N/A</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(A)</w:t>
            </w:r>
          </w:p>
        </w:tc>
      </w:tr>
      <w:tr>
        <w:trPr>
          <w:trHeight w:val="167"/>
        </w:trPr>
        <w:tc>
          <w:tcPr>
            <w:tcW w:w="2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Comp</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CMR6 (12)................</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Deferred</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Apr-97</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 (c)</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90,498(B)</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24,383(C)</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12.80RF</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46.15</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69.77</w:t>
            </w:r>
          </w:p>
        </w:tc>
      </w:tr>
      <w:tr>
        <w:trPr>
          <w:trHeight w:val="167"/>
        </w:trPr>
        <w:tc>
          <w:tcPr>
            <w:tcW w:w="2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Comp</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Subordinates:</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BT97-SI (13).............</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Equity</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Dec-97</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UR</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None</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57,750</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35,509</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25.00</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0.00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22.15</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12.10</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10.09</w:t>
            </w:r>
          </w:p>
        </w:tc>
      </w:tr>
      <w:tr>
        <w:trPr>
          <w:trHeight w:val="167"/>
        </w:trPr>
        <w:tc>
          <w:tcPr>
            <w:tcW w:w="222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Cert.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01"/>
        </w:trPr>
        <w:tc>
          <w:tcPr>
            <w:tcW w:w="2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60"/>
          </w:cols>
          <w:pgMar w:left="220" w:top="453" w:right="219" w:bottom="1440" w:gutter="0" w:footer="0" w:header="0"/>
        </w:sectPr>
      </w:pPr>
    </w:p>
    <w:bookmarkStart w:id="57" w:name="page58"/>
    <w:bookmarkEnd w:id="57"/>
    <w:p>
      <w:pPr>
        <w:ind w:right="494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WEIGHTED</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1140" w:type="dxa"/>
            <w:vAlign w:val="bottom"/>
          </w:tcPr>
          <w:p>
            <w:pPr>
              <w:ind w:left="60"/>
              <w:spacing w:after="0"/>
              <w:rPr>
                <w:sz w:val="20"/>
                <w:szCs w:val="20"/>
                <w:color w:val="auto"/>
              </w:rPr>
            </w:pPr>
            <w:r>
              <w:rPr>
                <w:rFonts w:ascii="Courier New" w:cs="Courier New" w:eastAsia="Courier New" w:hAnsi="Courier New"/>
                <w:sz w:val="14"/>
                <w:szCs w:val="14"/>
                <w:color w:val="auto"/>
              </w:rPr>
              <w:t>ACTUAL LIFE</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ACTUAL LIFE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DELINQUENCY</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 DATE</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TO DATE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COLLATERAL</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BALANCE</w:t>
            </w:r>
          </w:p>
        </w:tc>
      </w:tr>
      <w:tr>
        <w:trPr>
          <w:trHeight w:val="167"/>
        </w:trPr>
        <w:tc>
          <w:tcPr>
            <w:tcW w:w="24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COUPON AT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LTV</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CPR AT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LOSSES AT</w:t>
            </w:r>
          </w:p>
        </w:tc>
        <w:tc>
          <w:tcPr>
            <w:tcW w:w="30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PRODUCT</w:t>
            </w: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rPr>
              <w:t>TYPE AT</w:t>
            </w:r>
          </w:p>
        </w:tc>
        <w:tc>
          <w:tcPr>
            <w:tcW w:w="10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4"/>
              </w:rPr>
              <w:t>-------------------</w:t>
            </w:r>
          </w:p>
        </w:tc>
        <w:tc>
          <w:tcPr>
            <w:tcW w:w="860" w:type="dxa"/>
            <w:vAlign w:val="bottom"/>
          </w:tcPr>
          <w:p>
            <w:pPr>
              <w:spacing w:after="0"/>
              <w:rPr>
                <w:sz w:val="14"/>
                <w:szCs w:val="1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SECURITIZATION (ISSUER)</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12/31/00</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AT 12/31/00</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12/31/00</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12/31/00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12/31/00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12/31/00</w:t>
            </w:r>
          </w:p>
        </w:tc>
        <w:tc>
          <w:tcPr>
            <w:tcW w:w="34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ISSUANCE</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12/31/00</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SINGLE-FAMILY RESIDENTIAL</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Subordinates:</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BCF 1996 R1 (1).............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75.96%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11.79%</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13.68%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31,934</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98%</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rPr>
              <w:t>2% 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$505,513</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$244,365</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CSFB 1996 1R</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(ITT 94-P1) (2) ............</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8.57</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3.39</w:t>
            </w:r>
          </w:p>
        </w:tc>
        <w:tc>
          <w:tcPr>
            <w:tcW w:w="1140" w:type="dxa"/>
            <w:vAlign w:val="bottom"/>
          </w:tcPr>
          <w:p>
            <w:pPr>
              <w:ind w:left="480"/>
              <w:spacing w:after="0"/>
              <w:rPr>
                <w:sz w:val="20"/>
                <w:szCs w:val="20"/>
                <w:color w:val="auto"/>
              </w:rPr>
            </w:pPr>
            <w:r>
              <w:rPr>
                <w:rFonts w:ascii="Courier New" w:cs="Courier New" w:eastAsia="Courier New" w:hAnsi="Courier New"/>
                <w:sz w:val="14"/>
                <w:szCs w:val="14"/>
                <w:color w:val="auto"/>
              </w:rPr>
              <w:t>N/A</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9"/>
              </w:rPr>
              <w:t>1-Year CMT</w:t>
            </w: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32,487</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3,742</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BCF 1997 R2 (1).............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73.90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18.23</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14.16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9,389</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25%</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75%</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251,790</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125,036</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SBMS 1997-HUD1 (3)..........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76.88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10.60</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15.56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17,236</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97%</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rPr>
              <w:t>3% 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326,147</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159,911</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ORMBS 1998 R1 (4)...........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86.11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25.81</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11.28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50,014</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98%</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rPr>
              <w:t>2% 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565,411</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396,512</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ORMBS 1998 R2 (4)...........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74.85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23.16</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16.00</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4,278</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44%</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56%</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123,917</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71,793</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ORMBS 1998 R3 (4)...........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85.25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36.15</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13.52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30,546</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98%</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rPr>
              <w:t>2% 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261,452</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183,740</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ORMBS 1999 R1 (4)...........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71.21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31.24</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15.83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3,121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59%</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41%</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147,101</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99,351</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ORMBS 1999 R2 (4)...........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81.51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30.58</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12.39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5,864</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Fixed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117,004</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91,009</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Subprime residuals:</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SBMS 1996 3 (5).............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66.30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16.37</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31.02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3,605</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94%</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rPr>
              <w:t>6% 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130,062</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23,763</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MLM1 1996 1 (6).............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70.46</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24.32</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34.89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2,419</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38%</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62%</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81,142</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12,764</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MS 1997 1 (7) X1............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73.38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18.62</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35.98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2,885</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17,727</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8,337</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MS 1997 1 (7) X2............</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ARM</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87,118</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13,217</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1997 OFS 2 (8)..............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75.54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21.80</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37.78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3,369</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28%</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72%</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102,201</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21,437</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1997 OFS 3 (8)..............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76.55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27.62</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34.84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6,893</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25%</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75%</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208,784</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56,724</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1998 OFS 1 (8)..............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77.31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28.50</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35.76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6,028</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21%</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79%</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161,400</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46,799</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1998 OFS 2 (8)..............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73.54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20.13</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36.92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11,201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50%</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50%</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382,715</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118,570</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1998 OFS 3 (8)..............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77.10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26.47</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29.63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8,196</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41%</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59%</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261,649</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117,032</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1998 OFS 4 (8)..............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77.27</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27.69</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23.10</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13,682</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45%</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55%</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349,000</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202,129</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1999 OFS 1 (8)..............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76.57</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18.04</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17.29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2,312</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69%</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31%</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148,628</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110,566</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PANAM 1997-1(9).............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85.01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24.52</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39.03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6,102</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58%</w:t>
            </w:r>
          </w:p>
        </w:tc>
        <w:tc>
          <w:tcPr>
            <w:tcW w:w="8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42%</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113,544</w:t>
            </w:r>
          </w:p>
        </w:tc>
        <w:tc>
          <w:tcPr>
            <w:tcW w:w="10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25,624</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EQUICON 1994-2 (10).........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81.61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18.34</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31.51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1,893</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Fixed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78,846</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14,168</w:t>
            </w:r>
          </w:p>
        </w:tc>
      </w:tr>
      <w:tr>
        <w:trPr>
          <w:trHeight w:val="167"/>
        </w:trPr>
        <w:tc>
          <w:tcPr>
            <w:tcW w:w="2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ARM</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32,306</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1,798</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EQUICON 1995-1 (10).........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106.92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32.73</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28.24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3,424</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Fixed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70,024</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10,153</w:t>
            </w:r>
          </w:p>
        </w:tc>
      </w:tr>
      <w:tr>
        <w:trPr>
          <w:trHeight w:val="167"/>
        </w:trPr>
        <w:tc>
          <w:tcPr>
            <w:tcW w:w="2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ARM</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40,519</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4,614</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EQUICON 1995-2 (10).........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80.32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33.60</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32.34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2,737</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Fixed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79,288</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14,683</w:t>
            </w:r>
          </w:p>
        </w:tc>
      </w:tr>
      <w:tr>
        <w:trPr>
          <w:trHeight w:val="167"/>
        </w:trPr>
        <w:tc>
          <w:tcPr>
            <w:tcW w:w="2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ARM</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39,667</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3,412</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ACCESS 1996-1 (11)..........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74.97</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26.71</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29.60</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4,411</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Fixed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120,015</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25,465</w:t>
            </w:r>
          </w:p>
        </w:tc>
      </w:tr>
      <w:tr>
        <w:trPr>
          <w:trHeight w:val="167"/>
        </w:trPr>
        <w:tc>
          <w:tcPr>
            <w:tcW w:w="2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ARM</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55,362</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6,225</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ACCESS 1996-2 (11)..........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72.71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29.60</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31.99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5,746</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Fixed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142,259</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30,825</w:t>
            </w:r>
          </w:p>
        </w:tc>
      </w:tr>
      <w:tr>
        <w:trPr>
          <w:trHeight w:val="167"/>
        </w:trPr>
        <w:tc>
          <w:tcPr>
            <w:tcW w:w="2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ARM</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68,345</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6,992</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ACCESS 1996-3 (11)..........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76.32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40.36</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34.51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4,697</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Fixed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107,712</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24,939</w:t>
            </w:r>
          </w:p>
        </w:tc>
      </w:tr>
      <w:tr>
        <w:trPr>
          <w:trHeight w:val="167"/>
        </w:trPr>
        <w:tc>
          <w:tcPr>
            <w:tcW w:w="2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100%</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ARM</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99,885</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10,439</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ACCESS 1996-4 (11)..........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77.84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36.05</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37.71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7,218</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56%</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44%</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239,778</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37,098</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ACCESS 1997-1 (11)..........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78.29</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39.57</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35.56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11,314</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64%</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36%</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276,442</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57,766</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ACCESS 1997-2 (11)..........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78.99</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34.30</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38.37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6,188</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64%</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36%</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185,197</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37,504</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ACCESS 1997-3 (11)..........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83.85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39.34</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38.60</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5,130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57%</w:t>
            </w:r>
          </w:p>
        </w:tc>
        <w:tc>
          <w:tcPr>
            <w:tcW w:w="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Fixed,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43%</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ARM</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199,884</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42,780</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UK SUBPRIME</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Subordinates:</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CMR1 (12)...................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40.27</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22.89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959</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N/A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48,450(B)</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13,003(C)</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CMR2 (12)...................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28.70</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23.74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1,489</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N/A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97,627(B)</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27,927(C)</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CMR3 (12)...................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16.98</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21.07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3,835</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N/A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176,047(B)</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49,627(C)</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CMR4 (12)...................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38.70</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24.02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2,239</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N/A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103,031(B)</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31,551(C)</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CMR5 (12)...................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63.79</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23.69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7,664</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N/A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54,686(B)</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16,552(C)</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CMR6 (12)...................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35.12</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27.44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1,469</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N/A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90,498(B)</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24,383(C)</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Subordinates:</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BT97-SI (13)................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38.09</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N/A</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10,734</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N/A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295,925</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69,596</w:t>
            </w:r>
          </w:p>
        </w:tc>
      </w:tr>
      <w:tr>
        <w:trPr>
          <w:trHeight w:val="501"/>
        </w:trPr>
        <w:tc>
          <w:tcPr>
            <w:tcW w:w="2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380"/>
          </w:cols>
          <w:pgMar w:left="220" w:top="453" w:right="299" w:bottom="1440" w:gutter="0" w:footer="0" w:header="0"/>
        </w:sectPr>
      </w:pPr>
    </w:p>
    <w:bookmarkStart w:id="58" w:name="page59"/>
    <w:bookmarkEnd w:id="58"/>
    <w:p>
      <w:pPr>
        <w:ind w:right="494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380"/>
          </w:cols>
          <w:pgMar w:left="220" w:top="453" w:right="299" w:bottom="473"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ISSUERS:</w:t>
      </w:r>
    </w:p>
    <w:p>
      <w:pPr>
        <w:spacing w:after="0" w:line="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w:t>
        <w:tab/>
        <w:t>BlackRock Capital Finance 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RATING AGENCIES:</w:t>
      </w:r>
    </w:p>
    <w:p>
      <w:pPr>
        <w:spacing w:after="0" w:line="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(a)</w:t>
        <w:tab/>
        <w:t>S&amp;P</w:t>
      </w:r>
    </w:p>
    <w:p>
      <w:pPr>
        <w:spacing w:after="0" w:line="8" w:lineRule="exact"/>
        <w:rPr>
          <w:sz w:val="20"/>
          <w:szCs w:val="20"/>
          <w:color w:val="auto"/>
        </w:rPr>
      </w:pPr>
    </w:p>
    <w:p>
      <w:pPr>
        <w:sectPr>
          <w:pgSz w:w="11900" w:h="16838" w:orient="portrait"/>
          <w:cols w:equalWidth="0" w:num="2">
            <w:col w:w="3800" w:space="720"/>
            <w:col w:w="6860"/>
          </w:cols>
          <w:pgMar w:left="220" w:top="453" w:right="299" w:bottom="473" w:gutter="0" w:footer="0" w:header="0"/>
          <w:type w:val="continuous"/>
        </w:sectPr>
      </w:pPr>
    </w:p>
    <w:p>
      <w:pPr>
        <w:ind w:left="440" w:hanging="431"/>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Suisse First Boston (ITT Federal Bank,  (b)  Moody's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Courier New" w:cs="Courier New" w:eastAsia="Courier New" w:hAnsi="Courier New"/>
                <w:sz w:val="14"/>
                <w:szCs w:val="14"/>
                <w:color w:val="auto"/>
              </w:rPr>
              <w:t>FSB)</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(c)</w:t>
            </w:r>
          </w:p>
        </w:tc>
        <w:tc>
          <w:tcPr>
            <w:tcW w:w="6240" w:type="dxa"/>
            <w:vAlign w:val="bottom"/>
            <w:gridSpan w:val="2"/>
          </w:tcPr>
          <w:p>
            <w:pPr>
              <w:spacing w:after="0"/>
              <w:rPr>
                <w:sz w:val="20"/>
                <w:szCs w:val="20"/>
                <w:color w:val="auto"/>
              </w:rPr>
            </w:pPr>
            <w:r>
              <w:rPr>
                <w:rFonts w:ascii="Courier New" w:cs="Courier New" w:eastAsia="Courier New" w:hAnsi="Courier New"/>
                <w:sz w:val="14"/>
                <w:szCs w:val="14"/>
                <w:color w:val="auto"/>
              </w:rPr>
              <w:t>Fitch</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Salomon Brothers Mortgage Securities</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(d)</w:t>
            </w:r>
          </w:p>
        </w:tc>
        <w:tc>
          <w:tcPr>
            <w:tcW w:w="6240" w:type="dxa"/>
            <w:vAlign w:val="bottom"/>
            <w:gridSpan w:val="2"/>
          </w:tcPr>
          <w:p>
            <w:pPr>
              <w:spacing w:after="0"/>
              <w:rPr>
                <w:sz w:val="20"/>
                <w:szCs w:val="20"/>
                <w:color w:val="auto"/>
              </w:rPr>
            </w:pPr>
            <w:r>
              <w:rPr>
                <w:rFonts w:ascii="Courier New" w:cs="Courier New" w:eastAsia="Courier New" w:hAnsi="Courier New"/>
                <w:sz w:val="14"/>
                <w:szCs w:val="14"/>
                <w:color w:val="auto"/>
              </w:rPr>
              <w:t>DCR</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Ocwen Residential MBS Corporation</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20" w:type="dxa"/>
            <w:vAlign w:val="bottom"/>
          </w:tcPr>
          <w:p>
            <w:pPr>
              <w:spacing w:after="0"/>
              <w:rPr>
                <w:sz w:val="14"/>
                <w:szCs w:val="14"/>
                <w:color w:val="auto"/>
              </w:rPr>
            </w:pP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Salomon Brothers Mortgage Securities VII</w:t>
            </w:r>
          </w:p>
        </w:tc>
        <w:tc>
          <w:tcPr>
            <w:tcW w:w="8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OTHER:</w:t>
            </w:r>
          </w:p>
        </w:tc>
        <w:tc>
          <w:tcPr>
            <w:tcW w:w="6120" w:type="dxa"/>
            <w:vAlign w:val="bottom"/>
          </w:tcPr>
          <w:p>
            <w:pPr>
              <w:spacing w:after="0"/>
              <w:rPr>
                <w:sz w:val="14"/>
                <w:szCs w:val="14"/>
                <w:color w:val="auto"/>
              </w:rPr>
            </w:pP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Merrill Lynch Mortgage Investors, Inc.</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N/A -</w:t>
            </w:r>
          </w:p>
        </w:tc>
        <w:tc>
          <w:tcPr>
            <w:tcW w:w="12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Not Available</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Morgan Stanley ABS Capital I, Inc.</w:t>
            </w:r>
          </w:p>
        </w:tc>
        <w:tc>
          <w:tcPr>
            <w:tcW w:w="8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N/M -</w:t>
            </w: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As a result of impairment charge write-downs of the security while</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Ocwen Mortgage Loan Asset Backed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classified as available for sale, the prospective yield at 12/31/00 is</w:t>
            </w:r>
          </w:p>
        </w:tc>
      </w:tr>
      <w:tr>
        <w:trPr>
          <w:trHeight w:val="167"/>
        </w:trPr>
        <w:tc>
          <w:tcPr>
            <w:tcW w:w="40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Courier New" w:cs="Courier New" w:eastAsia="Courier New" w:hAnsi="Courier New"/>
                <w:sz w:val="14"/>
                <w:szCs w:val="14"/>
                <w:color w:val="auto"/>
              </w:rPr>
              <w:t>Certificates</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not meaningful.</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Pan American Bank, FSB</w:t>
            </w:r>
          </w:p>
        </w:tc>
        <w:tc>
          <w:tcPr>
            <w:tcW w:w="8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 -</w:t>
            </w: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As a result of impairment charge write-downs of the security while</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Equicon Mortgage Loan Trust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classified as available for sale, the book value is zero, therefore,</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Access Financial Mortgage Loan Trust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there is no prospective yield on the security.</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City Mortgage Receivable</w:t>
            </w:r>
          </w:p>
        </w:tc>
        <w:tc>
          <w:tcPr>
            <w:tcW w:w="8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(B) -</w:t>
            </w: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Dollar equivalent of amounts in British pounds at the rate of exchange</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Bankers Trust Corporation Mortgage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that prevailed at the time of issuance.</w:t>
            </w:r>
          </w:p>
        </w:tc>
      </w:tr>
      <w:tr>
        <w:trPr>
          <w:trHeight w:val="167"/>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Investors Trust</w:t>
            </w:r>
          </w:p>
        </w:tc>
        <w:tc>
          <w:tcPr>
            <w:tcW w:w="8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 -</w:t>
            </w: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Dollar equivalent of amounts in British pounds at the rate of exchange</w:t>
            </w:r>
          </w:p>
        </w:tc>
      </w:tr>
      <w:tr>
        <w:trPr>
          <w:trHeight w:val="167"/>
        </w:trPr>
        <w:tc>
          <w:tcPr>
            <w:tcW w:w="4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at 12/31/00.</w:t>
            </w:r>
          </w:p>
        </w:tc>
      </w:tr>
    </w:tbl>
    <w:p>
      <w:pPr>
        <w:spacing w:after="0" w:line="338" w:lineRule="exact"/>
        <w:rPr>
          <w:sz w:val="20"/>
          <w:szCs w:val="20"/>
          <w:color w:val="auto"/>
        </w:rPr>
      </w:pPr>
    </w:p>
    <w:p>
      <w:pPr>
        <w:ind w:right="4420" w:firstLine="781"/>
        <w:spacing w:after="0" w:line="255" w:lineRule="auto"/>
        <w:rPr>
          <w:sz w:val="20"/>
          <w:szCs w:val="20"/>
          <w:color w:val="auto"/>
        </w:rPr>
      </w:pPr>
      <w:r>
        <w:rPr>
          <w:rFonts w:ascii="Courier New" w:cs="Courier New" w:eastAsia="Courier New" w:hAnsi="Courier New"/>
          <w:sz w:val="14"/>
          <w:szCs w:val="14"/>
          <w:color w:val="auto"/>
        </w:rPr>
        <w:t>The following table sets forth the principal amount of mortgage loans by the geographic location of the property securing the mortgages that underlie the Company's trading subordinated and residual securities at December 31, 2000:</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196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CALIFORNIA</w:t>
            </w:r>
          </w:p>
        </w:tc>
        <w:tc>
          <w:tcPr>
            <w:tcW w:w="160" w:type="dxa"/>
            <w:vAlign w:val="bottom"/>
          </w:tcPr>
          <w:p>
            <w:pPr>
              <w:spacing w:after="0"/>
              <w:rPr>
                <w:sz w:val="14"/>
                <w:szCs w:val="14"/>
                <w:color w:val="auto"/>
              </w:rPr>
            </w:pP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FLORIDA</w:t>
            </w:r>
          </w:p>
        </w:tc>
        <w:tc>
          <w:tcPr>
            <w:tcW w:w="20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TEXAS</w:t>
            </w:r>
          </w:p>
        </w:tc>
        <w:tc>
          <w:tcPr>
            <w:tcW w:w="2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U.K.</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NEW YORK</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(1)</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920" w:type="dxa"/>
            <w:vAlign w:val="bottom"/>
            <w:gridSpan w:val="2"/>
          </w:tcPr>
          <w:p>
            <w:pPr>
              <w:jc w:val="right"/>
              <w:ind w:right="1708"/>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Single family residential.......</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448,302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209,809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194,259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163,043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141,976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$1,454,210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$2,611,599</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21,736</w:t>
            </w:r>
          </w:p>
        </w:tc>
        <w:tc>
          <w:tcPr>
            <w:tcW w:w="160" w:type="dxa"/>
            <w:vAlign w:val="bottom"/>
          </w:tcPr>
          <w:p>
            <w:pPr>
              <w:spacing w:after="0"/>
              <w:rPr>
                <w:sz w:val="14"/>
                <w:szCs w:val="14"/>
                <w:color w:val="auto"/>
              </w:rPr>
            </w:pPr>
          </w:p>
        </w:tc>
        <w:tc>
          <w:tcPr>
            <w:tcW w:w="106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122</w:t>
            </w:r>
          </w:p>
        </w:tc>
        <w:tc>
          <w:tcPr>
            <w:tcW w:w="2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1,872</w:t>
            </w:r>
          </w:p>
        </w:tc>
        <w:tc>
          <w:tcPr>
            <w:tcW w:w="2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47,745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71,964</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Multi-family ...................</w:t>
            </w:r>
          </w:p>
        </w:tc>
        <w:tc>
          <w:tcPr>
            <w:tcW w:w="3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460</w:t>
            </w:r>
          </w:p>
        </w:tc>
        <w:tc>
          <w:tcPr>
            <w:tcW w:w="160" w:type="dxa"/>
            <w:vAlign w:val="bottom"/>
          </w:tcPr>
          <w:p>
            <w:pPr>
              <w:spacing w:after="0"/>
              <w:rPr>
                <w:sz w:val="14"/>
                <w:szCs w:val="14"/>
                <w:color w:val="auto"/>
              </w:rPr>
            </w:pPr>
          </w:p>
        </w:tc>
        <w:tc>
          <w:tcPr>
            <w:tcW w:w="106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81</w:t>
            </w:r>
          </w:p>
        </w:tc>
        <w:tc>
          <w:tcPr>
            <w:tcW w:w="2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5,376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4,441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10,358</w:t>
            </w:r>
          </w:p>
        </w:tc>
      </w:tr>
      <w:tr>
        <w:trPr>
          <w:trHeight w:val="167"/>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Total ..........................</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470,498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210,012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196,131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163,043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147,841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$1,506,396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$2,693,921</w:t>
            </w:r>
          </w:p>
        </w:tc>
      </w:tr>
      <w:tr>
        <w:trPr>
          <w:trHeight w:val="167"/>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Percentage</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 .................</w:t>
            </w: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17.74%</w:t>
            </w:r>
          </w:p>
        </w:tc>
        <w:tc>
          <w:tcPr>
            <w:tcW w:w="16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7.80%</w:t>
            </w:r>
          </w:p>
        </w:tc>
        <w:tc>
          <w:tcPr>
            <w:tcW w:w="20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7.28%</w:t>
            </w:r>
          </w:p>
        </w:tc>
        <w:tc>
          <w:tcPr>
            <w:tcW w:w="22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w:t>
            </w:r>
          </w:p>
        </w:tc>
        <w:tc>
          <w:tcPr>
            <w:tcW w:w="18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5.48%</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55.92%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jc w:val="right"/>
              <w:ind w:right="1708"/>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171" w:lineRule="exact"/>
        <w:rPr>
          <w:sz w:val="20"/>
          <w:szCs w:val="20"/>
          <w:color w:val="auto"/>
        </w:rPr>
      </w:pPr>
    </w:p>
    <w:p>
      <w:pPr>
        <w:ind w:left="800" w:right="5040" w:hanging="791"/>
        <w:spacing w:after="0" w:line="258"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properties located in 46 other states, none of which aggregated over $118,710 in any one state.</w:t>
      </w:r>
    </w:p>
    <w:p>
      <w:pPr>
        <w:spacing w:after="0" w:line="159" w:lineRule="exact"/>
        <w:rPr>
          <w:rFonts w:ascii="Courier New" w:cs="Courier New" w:eastAsia="Courier New" w:hAnsi="Courier New"/>
          <w:sz w:val="14"/>
          <w:szCs w:val="14"/>
          <w:color w:val="auto"/>
        </w:rPr>
      </w:pPr>
    </w:p>
    <w:p>
      <w:pPr>
        <w:ind w:left="800" w:right="4860" w:hanging="791"/>
        <w:spacing w:after="0" w:line="258"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a percentage of the total unpaid principal balance of the underlying loans of other.</w:t>
      </w:r>
    </w:p>
    <w:p>
      <w:pPr>
        <w:spacing w:after="0" w:line="200" w:lineRule="exact"/>
        <w:rPr>
          <w:sz w:val="20"/>
          <w:szCs w:val="20"/>
          <w:color w:val="auto"/>
        </w:rPr>
      </w:pPr>
    </w:p>
    <w:p>
      <w:pPr>
        <w:spacing w:after="0" w:line="294" w:lineRule="exact"/>
        <w:rPr>
          <w:sz w:val="20"/>
          <w:szCs w:val="20"/>
          <w:color w:val="auto"/>
        </w:rPr>
      </w:pPr>
    </w:p>
    <w:p>
      <w:pPr>
        <w:ind w:right="4420" w:firstLine="781"/>
        <w:spacing w:after="0" w:line="255" w:lineRule="auto"/>
        <w:rPr>
          <w:sz w:val="20"/>
          <w:szCs w:val="20"/>
          <w:color w:val="auto"/>
        </w:rPr>
      </w:pPr>
      <w:r>
        <w:rPr>
          <w:rFonts w:ascii="Courier New" w:cs="Courier New" w:eastAsia="Courier New" w:hAnsi="Courier New"/>
          <w:sz w:val="14"/>
          <w:szCs w:val="14"/>
          <w:color w:val="auto"/>
        </w:rPr>
        <w:t>The following table presents information regarding trading subordinated and residual securities summarized by classification and rating at December 31, 2000:</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ANTICIPATED</w:t>
            </w: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YIELD TO</w:t>
            </w:r>
          </w:p>
        </w:tc>
        <w:tc>
          <w:tcPr>
            <w:tcW w:w="88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ANTICIPATED</w:t>
            </w:r>
          </w:p>
        </w:tc>
        <w:tc>
          <w:tcPr>
            <w:tcW w:w="114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ANTICIPATED</w:t>
            </w: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MATURITY</w:t>
            </w:r>
          </w:p>
        </w:tc>
        <w:tc>
          <w:tcPr>
            <w:tcW w:w="8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WEIGHTED</w:t>
            </w:r>
          </w:p>
        </w:tc>
        <w:tc>
          <w:tcPr>
            <w:tcW w:w="114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YIELD TO</w:t>
            </w: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AT</w:t>
            </w:r>
          </w:p>
        </w:tc>
        <w:tc>
          <w:tcPr>
            <w:tcW w:w="8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PROSPECTIVE</w:t>
            </w:r>
          </w:p>
        </w:tc>
      </w:tr>
      <w:tr>
        <w:trPr>
          <w:trHeight w:val="167"/>
        </w:trPr>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PERCENT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MATURITY</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12/31/00</w:t>
            </w:r>
          </w:p>
        </w:tc>
        <w:tc>
          <w:tcPr>
            <w:tcW w:w="8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REMAINING</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YIELD AT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RATING/DESCRIPTION</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FAIR VALUE</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OWNED</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AT PURCHASE</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COUPON</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LIFE (2)</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12/31/00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SINGLE-FAMILY RESIDENTIAL:</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440" w:type="dxa"/>
            <w:vAlign w:val="bottom"/>
          </w:tcPr>
          <w:p>
            <w:pPr>
              <w:ind w:left="360"/>
              <w:spacing w:after="0"/>
              <w:rPr>
                <w:sz w:val="20"/>
                <w:szCs w:val="20"/>
                <w:color w:val="auto"/>
              </w:rPr>
            </w:pPr>
            <w:r>
              <w:rPr>
                <w:rFonts w:ascii="Courier New" w:cs="Courier New" w:eastAsia="Courier New" w:hAnsi="Courier New"/>
                <w:sz w:val="14"/>
                <w:szCs w:val="14"/>
                <w:color w:val="auto"/>
              </w:rPr>
              <w:t>BB-rated subordinates............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4,563</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89.35%</w:t>
            </w: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11.72%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(4.45)%</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6.93%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29.05%</w:t>
            </w:r>
          </w:p>
        </w:tc>
      </w:tr>
      <w:tr>
        <w:trPr>
          <w:trHeight w:val="167"/>
        </w:trPr>
        <w:tc>
          <w:tcPr>
            <w:tcW w:w="3440" w:type="dxa"/>
            <w:vAlign w:val="bottom"/>
          </w:tcPr>
          <w:p>
            <w:pPr>
              <w:ind w:left="360"/>
              <w:spacing w:after="0"/>
              <w:rPr>
                <w:sz w:val="20"/>
                <w:szCs w:val="20"/>
                <w:color w:val="auto"/>
              </w:rPr>
            </w:pPr>
            <w:r>
              <w:rPr>
                <w:rFonts w:ascii="Courier New" w:cs="Courier New" w:eastAsia="Courier New" w:hAnsi="Courier New"/>
                <w:sz w:val="14"/>
                <w:szCs w:val="14"/>
                <w:color w:val="auto"/>
              </w:rPr>
              <w:t>B-rated subordinates.............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2,911</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92.57</w:t>
            </w: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15.99</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4.44</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7.31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60.35</w:t>
            </w:r>
          </w:p>
        </w:tc>
      </w:tr>
      <w:tr>
        <w:trPr>
          <w:trHeight w:val="167"/>
        </w:trPr>
        <w:tc>
          <w:tcPr>
            <w:tcW w:w="3440" w:type="dxa"/>
            <w:vAlign w:val="bottom"/>
          </w:tcPr>
          <w:p>
            <w:pPr>
              <w:ind w:left="360"/>
              <w:spacing w:after="0"/>
              <w:rPr>
                <w:sz w:val="20"/>
                <w:szCs w:val="20"/>
                <w:color w:val="auto"/>
              </w:rPr>
            </w:pPr>
            <w:r>
              <w:rPr>
                <w:rFonts w:ascii="Courier New" w:cs="Courier New" w:eastAsia="Courier New" w:hAnsi="Courier New"/>
                <w:sz w:val="14"/>
                <w:szCs w:val="14"/>
                <w:color w:val="auto"/>
              </w:rPr>
              <w:t>Unrated subordinates.............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9,361</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71.49</w:t>
            </w: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18.14</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(9.54)</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7.97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106.60</w:t>
            </w:r>
          </w:p>
        </w:tc>
      </w:tr>
      <w:tr>
        <w:trPr>
          <w:trHeight w:val="167"/>
        </w:trPr>
        <w:tc>
          <w:tcPr>
            <w:tcW w:w="3440" w:type="dxa"/>
            <w:vAlign w:val="bottom"/>
          </w:tcPr>
          <w:p>
            <w:pPr>
              <w:ind w:left="360"/>
              <w:spacing w:after="0"/>
              <w:rPr>
                <w:sz w:val="20"/>
                <w:szCs w:val="20"/>
                <w:color w:val="auto"/>
              </w:rPr>
            </w:pPr>
            <w:r>
              <w:rPr>
                <w:rFonts w:ascii="Courier New" w:cs="Courier New" w:eastAsia="Courier New" w:hAnsi="Courier New"/>
                <w:sz w:val="14"/>
                <w:szCs w:val="14"/>
                <w:color w:val="auto"/>
              </w:rPr>
              <w:t>Unrated subprime residuals.......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93,176</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100.00</w:t>
            </w: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18.42</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7.93</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N/A</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6.42</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31.11</w:t>
            </w:r>
          </w:p>
        </w:tc>
      </w:tr>
      <w:tr>
        <w:trPr>
          <w:trHeight w:val="167"/>
        </w:trPr>
        <w:tc>
          <w:tcPr>
            <w:tcW w:w="344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110,011</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40" w:type="dxa"/>
            <w:vAlign w:val="bottom"/>
          </w:tcPr>
          <w:p>
            <w:pPr>
              <w:ind w:left="360"/>
              <w:spacing w:after="0"/>
              <w:rPr>
                <w:sz w:val="20"/>
                <w:szCs w:val="20"/>
                <w:color w:val="auto"/>
              </w:rPr>
            </w:pPr>
            <w:r>
              <w:rPr>
                <w:rFonts w:ascii="Courier New" w:cs="Courier New" w:eastAsia="Courier New" w:hAnsi="Courier New"/>
                <w:sz w:val="14"/>
                <w:szCs w:val="14"/>
                <w:color w:val="auto"/>
              </w:rPr>
              <w:t>Unrated subordinates.............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2,636</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25.00</w:t>
            </w:r>
          </w:p>
        </w:tc>
        <w:tc>
          <w:tcPr>
            <w:tcW w:w="1180" w:type="dxa"/>
            <w:vAlign w:val="bottom"/>
          </w:tcPr>
          <w:p>
            <w:pPr>
              <w:ind w:left="400"/>
              <w:spacing w:after="0"/>
              <w:rPr>
                <w:sz w:val="20"/>
                <w:szCs w:val="20"/>
                <w:color w:val="auto"/>
              </w:rPr>
            </w:pPr>
            <w:r>
              <w:rPr>
                <w:rFonts w:ascii="Courier New" w:cs="Courier New" w:eastAsia="Courier New" w:hAnsi="Courier New"/>
                <w:sz w:val="14"/>
                <w:szCs w:val="14"/>
                <w:color w:val="auto"/>
              </w:rPr>
              <w:t>22.15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12.10</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N/A</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10.09</w:t>
            </w:r>
          </w:p>
        </w:tc>
      </w:tr>
      <w:tr>
        <w:trPr>
          <w:trHeight w:val="167"/>
        </w:trPr>
        <w:tc>
          <w:tcPr>
            <w:tcW w:w="344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$ 112,647</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4780" w:hanging="791"/>
        <w:spacing w:after="0" w:line="255" w:lineRule="auto"/>
        <w:tabs>
          <w:tab w:leader="none" w:pos="8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December 31, 2000 anticipated yield to maturity from that originally anticipated are primarily the result of changes in prepayment assumptions and loss assumptions.</w:t>
      </w:r>
    </w:p>
    <w:p>
      <w:pPr>
        <w:spacing w:after="0" w:line="162" w:lineRule="exact"/>
        <w:rPr>
          <w:rFonts w:ascii="Courier New" w:cs="Courier New" w:eastAsia="Courier New" w:hAnsi="Courier New"/>
          <w:sz w:val="14"/>
          <w:szCs w:val="14"/>
          <w:color w:val="auto"/>
        </w:rPr>
      </w:pPr>
    </w:p>
    <w:p>
      <w:pPr>
        <w:ind w:left="800" w:right="4680" w:hanging="791"/>
        <w:spacing w:after="0" w:line="258" w:lineRule="auto"/>
        <w:tabs>
          <w:tab w:leader="none" w:pos="8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Equals the weighted average life based on the December 31, 2000 book value.</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1380"/>
          </w:cols>
          <w:pgMar w:left="220" w:top="453" w:right="299" w:bottom="473" w:gutter="0" w:footer="0" w:header="0"/>
          <w:type w:val="continuous"/>
        </w:sectPr>
      </w:pPr>
    </w:p>
    <w:bookmarkStart w:id="59" w:name="page60"/>
    <w:bookmarkEnd w:id="59"/>
    <w:p>
      <w:pPr>
        <w:ind w:right="3799"/>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80" w:hanging="171"/>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 glossary of terms included in the above tables.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ACTUAL LIFE TO DATE CPR - The Constant Prepayment Rate is used to measure the average prepayment rate for the underlying mortgage pool(s) over the period of time lapsed since the issuance of the securities through the date indicated and is calculated as follows: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ind w:left="278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ind w:left="278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3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ind w:left="2780"/>
              <w:spacing w:after="0"/>
              <w:rPr>
                <w:sz w:val="20"/>
                <w:szCs w:val="20"/>
                <w:color w:val="auto"/>
              </w:rPr>
            </w:pPr>
            <w:r>
              <w:rPr>
                <w:rFonts w:ascii="Courier New" w:cs="Courier New" w:eastAsia="Courier New" w:hAnsi="Courier New"/>
                <w:sz w:val="14"/>
                <w:szCs w:val="14"/>
                <w:color w:val="auto"/>
                <w:w w:val="95"/>
              </w:rPr>
              <w:t>| |</w:t>
            </w:r>
          </w:p>
        </w:tc>
        <w:tc>
          <w:tcPr>
            <w:tcW w:w="100" w:type="dxa"/>
            <w:vAlign w:val="bottom"/>
          </w:tcPr>
          <w:p>
            <w:pPr>
              <w:spacing w:after="0"/>
              <w:rPr>
                <w:sz w:val="14"/>
                <w:szCs w:val="14"/>
                <w:color w:val="auto"/>
              </w:rPr>
            </w:pPr>
          </w:p>
        </w:tc>
        <w:tc>
          <w:tcPr>
            <w:tcW w:w="3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1-Final Aggregate Balance actual</w:t>
            </w:r>
          </w:p>
        </w:tc>
        <w:tc>
          <w:tcPr>
            <w:tcW w:w="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 |</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Actual Life to Date CPR = 100 x | |</w:t>
            </w:r>
          </w:p>
        </w:tc>
        <w:tc>
          <w:tcPr>
            <w:tcW w:w="100" w:type="dxa"/>
            <w:vAlign w:val="bottom"/>
          </w:tcPr>
          <w:p>
            <w:pPr>
              <w:spacing w:after="0"/>
              <w:rPr>
                <w:sz w:val="14"/>
                <w:szCs w:val="14"/>
                <w:color w:val="auto"/>
              </w:rPr>
            </w:pPr>
          </w:p>
        </w:tc>
        <w:tc>
          <w:tcPr>
            <w:tcW w:w="3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rPr>
              <w:t>| x |</w:t>
            </w: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 |</w:t>
            </w:r>
          </w:p>
        </w:tc>
      </w:tr>
      <w:tr>
        <w:trPr>
          <w:trHeight w:val="167"/>
        </w:trPr>
        <w:tc>
          <w:tcPr>
            <w:tcW w:w="3040" w:type="dxa"/>
            <w:vAlign w:val="bottom"/>
          </w:tcPr>
          <w:p>
            <w:pPr>
              <w:ind w:left="2780"/>
              <w:spacing w:after="0"/>
              <w:rPr>
                <w:sz w:val="20"/>
                <w:szCs w:val="20"/>
                <w:color w:val="auto"/>
              </w:rPr>
            </w:pPr>
            <w:r>
              <w:rPr>
                <w:rFonts w:ascii="Courier New" w:cs="Courier New" w:eastAsia="Courier New" w:hAnsi="Courier New"/>
                <w:sz w:val="14"/>
                <w:szCs w:val="14"/>
                <w:color w:val="auto"/>
                <w:w w:val="95"/>
              </w:rPr>
              <w:t>| |</w:t>
            </w:r>
          </w:p>
        </w:tc>
        <w:tc>
          <w:tcPr>
            <w:tcW w:w="100" w:type="dxa"/>
            <w:vAlign w:val="bottom"/>
          </w:tcPr>
          <w:p>
            <w:pPr>
              <w:spacing w:after="0"/>
              <w:rPr>
                <w:sz w:val="14"/>
                <w:szCs w:val="14"/>
                <w:color w:val="auto"/>
              </w:rPr>
            </w:pPr>
          </w:p>
        </w:tc>
        <w:tc>
          <w:tcPr>
            <w:tcW w:w="3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Final Aggregate Balance scheduled</w:t>
            </w:r>
          </w:p>
        </w:tc>
        <w:tc>
          <w:tcPr>
            <w:tcW w:w="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Months In Period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 |</w:t>
            </w:r>
          </w:p>
        </w:tc>
      </w:tr>
      <w:tr>
        <w:trPr>
          <w:trHeight w:val="167"/>
        </w:trPr>
        <w:tc>
          <w:tcPr>
            <w:tcW w:w="3040" w:type="dxa"/>
            <w:vAlign w:val="bottom"/>
          </w:tcPr>
          <w:p>
            <w:pPr>
              <w:ind w:left="278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3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ind w:left="278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ACTUAL LIFE-TO-DATE LOSSES - Represents cumulative losses of the original collateral at the indicated date.</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ANTICIPATED YIELD TO MATURITY AT DECEMBER 31, 2000- Effective yield based on the purchase price, actual cash flows received from inception until the respective date, and the then current estimate of future cash flows under the assumptions at the respective date.</w:t>
      </w:r>
    </w:p>
    <w:p>
      <w:pPr>
        <w:spacing w:after="0" w:line="163"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ANTICIPATED YIELD TO MATURITY AT PURCHASE - Effective yield from inception to maturity based on the purchase price and anticipated future cash flows under pricing assumptions.</w:t>
      </w:r>
    </w:p>
    <w:p>
      <w:pPr>
        <w:spacing w:after="0" w:line="162" w:lineRule="exact"/>
        <w:rPr>
          <w:sz w:val="20"/>
          <w:szCs w:val="20"/>
          <w:color w:val="auto"/>
        </w:rPr>
      </w:pPr>
    </w:p>
    <w:p>
      <w:pPr>
        <w:ind w:right="3279" w:firstLine="781"/>
        <w:spacing w:after="0" w:line="260" w:lineRule="auto"/>
        <w:rPr>
          <w:sz w:val="20"/>
          <w:szCs w:val="20"/>
          <w:color w:val="auto"/>
        </w:rPr>
      </w:pPr>
      <w:r>
        <w:rPr>
          <w:rFonts w:ascii="Courier New" w:cs="Courier New" w:eastAsia="Courier New" w:hAnsi="Courier New"/>
          <w:sz w:val="14"/>
          <w:szCs w:val="14"/>
          <w:color w:val="auto"/>
        </w:rPr>
        <w:t>CLASS SIZE - Represents the dollar size of a particular class. Class Size for subprime residuals is equal to the Collateral Balance at the respective date.</w:t>
      </w:r>
    </w:p>
    <w:p>
      <w:pPr>
        <w:spacing w:after="0" w:line="324"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COLLATERAL BALANCE - Represents the unpaid principal balance including arrearage of the underlying collateral of the entire issuance at the indicated date.</w:t>
      </w:r>
    </w:p>
    <w:p>
      <w:pPr>
        <w:spacing w:after="0" w:line="162"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INTEREST PERCENTAGE - Represents the percentage of the particular class of security owned by the Company.</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ISSUE DATE - Represents the date on which the indicated securities were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OVER-COLLATERIZATION LEVEL - For residual interests in residential mortgage-backed securities, over-collaterization ("OC") is the amount by which the collateral balance exceeds the sum of the bond principal amounts. OC is achieved by applying monthly a portion of the interest payments of the underlying mortgages toward the reduction of the class certificate principal amounts, causing them to amortize more rapidly than the aggregate loan balance. The OC percentage, expressed as a percentage of the outstanding collateral balance, represents the first tier of loss protection afforded to the non-residual holders. The OC percentage also determines whether the over-collaterization target has been satisfied as of a specific date, such that cash flows to the residual holder are warranted. To the extent not consumed by losses on more highly rated bonds, OC is remitted to the residual holders.</w:t>
      </w:r>
    </w:p>
    <w:p>
      <w:pPr>
        <w:spacing w:after="0" w:line="164" w:lineRule="exact"/>
        <w:rPr>
          <w:sz w:val="20"/>
          <w:szCs w:val="20"/>
          <w:color w:val="auto"/>
        </w:rPr>
      </w:pPr>
    </w:p>
    <w:p>
      <w:pPr>
        <w:jc w:val="both"/>
        <w:ind w:right="3719" w:firstLine="781"/>
        <w:spacing w:after="0" w:line="255" w:lineRule="auto"/>
        <w:rPr>
          <w:sz w:val="20"/>
          <w:szCs w:val="20"/>
          <w:color w:val="auto"/>
        </w:rPr>
      </w:pPr>
      <w:r>
        <w:rPr>
          <w:rFonts w:ascii="Courier New" w:cs="Courier New" w:eastAsia="Courier New" w:hAnsi="Courier New"/>
          <w:sz w:val="14"/>
          <w:szCs w:val="14"/>
          <w:color w:val="auto"/>
        </w:rPr>
        <w:t>PROSPECTIVE YIELD - Effective yield based on the book value of the investment and the then current estimate of the future cash flows under the assumptions at the respective date.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RATING - Refers to the credit rating designated by the rating agency for each securitization transaction. Classes designated "A" have a superior claim on payment to those rated "B", which are superior to those rated "C." Additionally, multiple letters have a superior claim to designations with fewer letters. Thus, for example, "BBB" is superior to "BB," which in turn is superior to "B." The lower class designations in any securitization will receive interest payments subsequent to senior classes and will experience losses prior to any senior class. The lowest potential class designation is not rated ("UR") which, if included in a securitization, will always receive interest last and experience losses first.</w:t>
      </w:r>
    </w:p>
    <w:p>
      <w:pPr>
        <w:spacing w:after="0" w:line="33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SECURITIZATION - Series description.</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SECURITY - Represents the name of the class associated with each securitization held by the Company. This has no relationship to a formal rating but is for identification purposes (although the names are usually in alphabetical or numeric order from the highest rated to the lowest rated).</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SUBORDINATION LEVEL - Represents the credit support for each mortgage-backed security by indicating the percentage of outstanding bonds whose right to receive payment is subordinate to the referenced security. The subordinate classes must experience a complete loss before any additional losses would affect the particular referenced security.</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453" w:right="1440" w:bottom="807" w:gutter="0" w:footer="0" w:header="0"/>
        </w:sectPr>
      </w:pPr>
    </w:p>
    <w:bookmarkStart w:id="60" w:name="page61"/>
    <w:bookmarkEnd w:id="60"/>
    <w:p>
      <w:pPr>
        <w:ind w:right="94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520" w:firstLine="781"/>
        <w:spacing w:after="0" w:line="255" w:lineRule="auto"/>
        <w:rPr>
          <w:sz w:val="20"/>
          <w:szCs w:val="20"/>
          <w:color w:val="auto"/>
        </w:rPr>
      </w:pPr>
      <w:r>
        <w:rPr>
          <w:rFonts w:ascii="Courier New" w:cs="Courier New" w:eastAsia="Courier New" w:hAnsi="Courier New"/>
          <w:sz w:val="14"/>
          <w:szCs w:val="14"/>
          <w:color w:val="auto"/>
        </w:rPr>
        <w:t>TOTAL DELINQUENCY - Represents the total unpaid principal balance of loans more than 30 days delinquent at the indicated date as a percentage of the unpaid principal balance of the collateral at such date.</w:t>
      </w:r>
    </w:p>
    <w:p>
      <w:pPr>
        <w:spacing w:after="0" w:line="162" w:lineRule="exact"/>
        <w:rPr>
          <w:sz w:val="20"/>
          <w:szCs w:val="20"/>
          <w:color w:val="auto"/>
        </w:rPr>
      </w:pPr>
    </w:p>
    <w:p>
      <w:pPr>
        <w:ind w:right="1040" w:firstLine="781"/>
        <w:spacing w:after="0" w:line="255" w:lineRule="auto"/>
        <w:rPr>
          <w:sz w:val="20"/>
          <w:szCs w:val="20"/>
          <w:color w:val="auto"/>
        </w:rPr>
      </w:pPr>
      <w:r>
        <w:rPr>
          <w:rFonts w:ascii="Courier New" w:cs="Courier New" w:eastAsia="Courier New" w:hAnsi="Courier New"/>
          <w:sz w:val="14"/>
          <w:szCs w:val="14"/>
          <w:color w:val="auto"/>
        </w:rPr>
        <w:t>WEIGHTED AVERAGE COUPON - Represents the interest rate of the underlying mortgage loans weighted by the unpaid principal balance of the underlying mortgage loans at the respective date.</w:t>
      </w:r>
    </w:p>
    <w:p>
      <w:pPr>
        <w:spacing w:after="0" w:line="162" w:lineRule="exact"/>
        <w:rPr>
          <w:sz w:val="20"/>
          <w:szCs w:val="20"/>
          <w:color w:val="auto"/>
        </w:rPr>
      </w:pPr>
    </w:p>
    <w:p>
      <w:pPr>
        <w:ind w:right="780" w:firstLine="781"/>
        <w:spacing w:after="0" w:line="255" w:lineRule="auto"/>
        <w:rPr>
          <w:sz w:val="20"/>
          <w:szCs w:val="20"/>
          <w:color w:val="auto"/>
        </w:rPr>
      </w:pPr>
      <w:r>
        <w:rPr>
          <w:rFonts w:ascii="Courier New" w:cs="Courier New" w:eastAsia="Courier New" w:hAnsi="Courier New"/>
          <w:sz w:val="14"/>
          <w:szCs w:val="14"/>
          <w:color w:val="auto"/>
        </w:rPr>
        <w:t>WEIGHTED AVERAGE LTV - Represents the ratio of the unpaid principal balance including arrearage to the value of the underlying collateral and applies to the single-family residential securities.</w:t>
      </w:r>
    </w:p>
    <w:p>
      <w:pPr>
        <w:spacing w:after="0" w:line="162" w:lineRule="exact"/>
        <w:rPr>
          <w:sz w:val="20"/>
          <w:szCs w:val="20"/>
          <w:color w:val="auto"/>
        </w:rPr>
      </w:pPr>
    </w:p>
    <w:p>
      <w:pPr>
        <w:ind w:right="420" w:firstLine="781"/>
        <w:spacing w:after="0" w:line="253" w:lineRule="auto"/>
        <w:rPr>
          <w:sz w:val="20"/>
          <w:szCs w:val="20"/>
          <w:color w:val="auto"/>
        </w:rPr>
      </w:pPr>
      <w:r>
        <w:rPr>
          <w:rFonts w:ascii="Courier New" w:cs="Courier New" w:eastAsia="Courier New" w:hAnsi="Courier New"/>
          <w:sz w:val="14"/>
          <w:szCs w:val="14"/>
          <w:color w:val="auto"/>
        </w:rPr>
        <w:t>SECURITIES AVAILABLE FOR SALE. As discussed above, on September 30, 2000, the Company changed its policy for securities available for sale to account for them as trading securities. Securities available for sale were carried at fair value with unrealized gains or losses reported as a separate component of accumulated other comprehensive income in stockholders' equity, net of taxes. Unrealized losses on securities available for sale that reflected a decline in value, which was other-than-temporary, were charged to earnings. At December 31, 1999, securities available for sale included an aggregate of $1,036 of unrealized gain, ($6,967 of gross gains and $5,931 of gross losses). See "Changes in Financial Condition - Trading Securities."</w:t>
      </w:r>
    </w:p>
    <w:p>
      <w:pPr>
        <w:spacing w:after="0" w:line="164" w:lineRule="exact"/>
        <w:rPr>
          <w:sz w:val="20"/>
          <w:szCs w:val="20"/>
          <w:color w:val="auto"/>
        </w:rPr>
      </w:pPr>
    </w:p>
    <w:p>
      <w:pPr>
        <w:ind w:right="420" w:firstLine="608"/>
        <w:spacing w:after="0" w:line="258" w:lineRule="auto"/>
        <w:rPr>
          <w:sz w:val="20"/>
          <w:szCs w:val="20"/>
          <w:color w:val="auto"/>
        </w:rPr>
      </w:pPr>
      <w:r>
        <w:rPr>
          <w:rFonts w:ascii="Courier New" w:cs="Courier New" w:eastAsia="Courier New" w:hAnsi="Courier New"/>
          <w:sz w:val="14"/>
          <w:szCs w:val="14"/>
          <w:color w:val="auto"/>
        </w:rPr>
        <w:t>The following table sets forth the fair value of the Company's securities available for sale at the dates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6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6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120" w:type="dxa"/>
            <w:vAlign w:val="bottom"/>
          </w:tcPr>
          <w:p>
            <w:pPr>
              <w:jc w:val="right"/>
              <w:ind w:right="3608"/>
              <w:spacing w:after="0"/>
              <w:rPr>
                <w:sz w:val="20"/>
                <w:szCs w:val="20"/>
                <w:color w:val="auto"/>
              </w:rPr>
            </w:pPr>
            <w:r>
              <w:rPr>
                <w:rFonts w:ascii="Courier New" w:cs="Courier New" w:eastAsia="Courier New" w:hAnsi="Courier New"/>
                <w:sz w:val="14"/>
                <w:szCs w:val="14"/>
                <w:color w:val="auto"/>
              </w:rPr>
              <w:t>Mortgage-related securities: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Collateralized mortgage obligations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(AAA-rated)....................................................</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Subordinates, residuals and other securities: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Single family residential:</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BB-rated subordinates.......................................</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B-rated subordinates........................................</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Unrated subordinates .......................................</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Unrated subprime residuals..................................</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Multi-family residential and commercial:</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BB-rated subordinates.......................................</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Unrated subordinates........................................</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Unrated interest only.......................................</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600" w:firstLine="781"/>
        <w:spacing w:after="0" w:line="254" w:lineRule="auto"/>
        <w:rPr>
          <w:sz w:val="20"/>
          <w:szCs w:val="20"/>
          <w:color w:val="auto"/>
        </w:rPr>
      </w:pPr>
      <w:r>
        <w:rPr>
          <w:rFonts w:ascii="Courier New" w:cs="Courier New" w:eastAsia="Courier New" w:hAnsi="Courier New"/>
          <w:sz w:val="14"/>
          <w:szCs w:val="14"/>
          <w:color w:val="auto"/>
        </w:rPr>
        <w:t>During the nine months ended September 30, 2000, and prior to the transfer of securities available for sale to trading, securities available for sale declined $91,233 primarily due to $416,004 of maturities and principal repayments, $553,589 of sales, $11,597 of impairment charges and $7,568 of premium amortization, offset by $894,038 of purchases.</w:t>
      </w:r>
    </w:p>
    <w:p>
      <w:pPr>
        <w:spacing w:after="0" w:line="162" w:lineRule="exact"/>
        <w:rPr>
          <w:sz w:val="20"/>
          <w:szCs w:val="20"/>
          <w:color w:val="auto"/>
        </w:rPr>
      </w:pPr>
    </w:p>
    <w:p>
      <w:pPr>
        <w:ind w:right="600" w:firstLine="781"/>
        <w:spacing w:after="0" w:line="258" w:lineRule="auto"/>
        <w:rPr>
          <w:sz w:val="20"/>
          <w:szCs w:val="20"/>
          <w:color w:val="auto"/>
        </w:rPr>
      </w:pPr>
      <w:r>
        <w:rPr>
          <w:rFonts w:ascii="Courier New" w:cs="Courier New" w:eastAsia="Courier New" w:hAnsi="Courier New"/>
          <w:sz w:val="14"/>
          <w:szCs w:val="14"/>
          <w:color w:val="auto"/>
        </w:rPr>
        <w:t>See Note 1 and Note 5 to the Consolidated Financial Statements (which is incorporated herein by reference).</w:t>
      </w:r>
    </w:p>
    <w:p>
      <w:pPr>
        <w:spacing w:after="0" w:line="160" w:lineRule="exact"/>
        <w:rPr>
          <w:sz w:val="20"/>
          <w:szCs w:val="20"/>
          <w:color w:val="auto"/>
        </w:rPr>
      </w:pPr>
    </w:p>
    <w:p>
      <w:pPr>
        <w:ind w:right="420" w:firstLine="781"/>
        <w:spacing w:after="0" w:line="253" w:lineRule="auto"/>
        <w:rPr>
          <w:sz w:val="20"/>
          <w:szCs w:val="20"/>
          <w:color w:val="auto"/>
        </w:rPr>
      </w:pPr>
      <w:r>
        <w:rPr>
          <w:rFonts w:ascii="Courier New" w:cs="Courier New" w:eastAsia="Courier New" w:hAnsi="Courier New"/>
          <w:sz w:val="14"/>
          <w:szCs w:val="14"/>
          <w:color w:val="auto"/>
        </w:rPr>
        <w:t>LOANS AVAILABLE FOR SALE. Loans which the Company presently does not intend to hold to maturity are designated as available for sale and are carried at the lower of cost or aggregate market value. Loans available for sale, which are comprised primarily of subprime single family residential loans, decreased by $34,603 or 77% during 2000. The decline in loans available for sale during 2000 and 1999 reflects the closure of the domestic subprime origination business in 1999 and the sale of Ocwen UK, also in 1999.</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440" w:hanging="440"/>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392,387</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5,908</w:t>
      </w:r>
    </w:p>
    <w:p>
      <w:pPr>
        <w:spacing w:after="0" w:line="8"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6,098</w:t>
      </w:r>
    </w:p>
    <w:p>
      <w:pPr>
        <w:spacing w:after="0" w:line="8"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17,287</w:t>
      </w:r>
    </w:p>
    <w:p>
      <w:pPr>
        <w:spacing w:after="0" w:line="8"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124,087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153,380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38,234</w:t>
      </w:r>
    </w:p>
    <w:p>
      <w:pPr>
        <w:spacing w:after="0" w:line="8"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3,503</w:t>
      </w:r>
    </w:p>
    <w:p>
      <w:pPr>
        <w:spacing w:after="0" w:line="8"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41,751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195,131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hanging="440"/>
        <w:spacing w:after="0"/>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587,518</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7380" w:space="440"/>
            <w:col w:w="2419"/>
          </w:cols>
          <w:pgMar w:left="220" w:top="453" w:right="1440" w:bottom="1440" w:gutter="0" w:footer="0" w:header="0"/>
        </w:sectPr>
      </w:pPr>
    </w:p>
    <w:bookmarkStart w:id="61" w:name="page62"/>
    <w:bookmarkEnd w:id="61"/>
    <w:p>
      <w:pPr>
        <w:ind w:right="442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Composition of Loans Available for Sale. The following table sets forth</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000" w:type="dxa"/>
            <w:vAlign w:val="bottom"/>
            <w:gridSpan w:val="5"/>
          </w:tcPr>
          <w:p>
            <w:pPr>
              <w:spacing w:after="0"/>
              <w:rPr>
                <w:sz w:val="20"/>
                <w:szCs w:val="20"/>
                <w:color w:val="auto"/>
              </w:rPr>
            </w:pPr>
            <w:r>
              <w:rPr>
                <w:rFonts w:ascii="Courier New" w:cs="Courier New" w:eastAsia="Courier New" w:hAnsi="Courier New"/>
                <w:sz w:val="14"/>
                <w:szCs w:val="14"/>
                <w:color w:val="auto"/>
              </w:rPr>
              <w:t>the composition of the Company's loans available for sale by type of loan at the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dates indicated: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4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31,</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140" w:type="dxa"/>
            <w:vAlign w:val="bottom"/>
          </w:tcPr>
          <w:p>
            <w:pPr>
              <w:spacing w:after="0"/>
              <w:rPr>
                <w:sz w:val="14"/>
                <w:szCs w:val="14"/>
                <w:color w:val="auto"/>
              </w:rPr>
            </w:pPr>
          </w:p>
        </w:tc>
        <w:tc>
          <w:tcPr>
            <w:tcW w:w="66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2000</w:t>
            </w:r>
          </w:p>
        </w:tc>
        <w:tc>
          <w:tcPr>
            <w:tcW w:w="360" w:type="dxa"/>
            <w:vAlign w:val="bottom"/>
          </w:tcPr>
          <w:p>
            <w:pPr>
              <w:spacing w:after="0"/>
              <w:rPr>
                <w:sz w:val="14"/>
                <w:szCs w:val="14"/>
                <w:color w:val="auto"/>
              </w:rPr>
            </w:pPr>
          </w:p>
        </w:tc>
        <w:tc>
          <w:tcPr>
            <w:tcW w:w="10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4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140" w:type="dxa"/>
            <w:vAlign w:val="bottom"/>
          </w:tcPr>
          <w:p>
            <w:pPr>
              <w:spacing w:after="0"/>
              <w:rPr>
                <w:sz w:val="14"/>
                <w:szCs w:val="14"/>
                <w:color w:val="auto"/>
              </w:rPr>
            </w:pP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10,559</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45,084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177,578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176,554</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111,980</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Multi-family residential loans..............</w:t>
            </w:r>
          </w:p>
        </w:tc>
        <w:tc>
          <w:tcPr>
            <w:tcW w:w="5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13,657</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5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3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w:t>
            </w: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w:t>
            </w: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487</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729</w:t>
            </w:r>
          </w:p>
        </w:tc>
      </w:tr>
      <w:tr>
        <w:trPr>
          <w:trHeight w:val="167"/>
        </w:trPr>
        <w:tc>
          <w:tcPr>
            <w:tcW w:w="4140" w:type="dxa"/>
            <w:vAlign w:val="bottom"/>
          </w:tcPr>
          <w:p>
            <w:pPr>
              <w:spacing w:after="0"/>
              <w:rPr>
                <w:sz w:val="14"/>
                <w:szCs w:val="14"/>
                <w:color w:val="auto"/>
              </w:rPr>
            </w:pP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14"/>
                <w:szCs w:val="14"/>
                <w:color w:val="auto"/>
              </w:rPr>
            </w:pP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10,610</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45,213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177,847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177,041</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126,366</w:t>
            </w:r>
          </w:p>
        </w:tc>
      </w:tr>
      <w:tr>
        <w:trPr>
          <w:trHeight w:val="167"/>
        </w:trPr>
        <w:tc>
          <w:tcPr>
            <w:tcW w:w="4140" w:type="dxa"/>
            <w:vAlign w:val="bottom"/>
          </w:tcPr>
          <w:p>
            <w:pPr>
              <w:spacing w:after="0"/>
              <w:rPr>
                <w:sz w:val="14"/>
                <w:szCs w:val="14"/>
                <w:color w:val="auto"/>
              </w:rPr>
            </w:pPr>
          </w:p>
        </w:tc>
        <w:tc>
          <w:tcPr>
            <w:tcW w:w="14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both"/>
        <w:ind w:right="4160" w:firstLine="781"/>
        <w:spacing w:after="0" w:line="255" w:lineRule="auto"/>
        <w:rPr>
          <w:sz w:val="20"/>
          <w:szCs w:val="20"/>
          <w:color w:val="auto"/>
        </w:rPr>
      </w:pPr>
      <w:r>
        <w:rPr>
          <w:rFonts w:ascii="Courier New" w:cs="Courier New" w:eastAsia="Courier New" w:hAnsi="Courier New"/>
          <w:sz w:val="14"/>
          <w:szCs w:val="14"/>
          <w:color w:val="auto"/>
        </w:rPr>
        <w:t>Activity in Loans Available for Sale. The following table sets forth the activity in the Company's net loans available for sale during the periods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Year Ended December 31,</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8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30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000" w:type="dxa"/>
            <w:vAlign w:val="bottom"/>
            <w:gridSpan w:val="3"/>
          </w:tcPr>
          <w:p>
            <w:pPr>
              <w:spacing w:after="0"/>
              <w:rPr>
                <w:sz w:val="20"/>
                <w:szCs w:val="20"/>
                <w:color w:val="auto"/>
              </w:rPr>
            </w:pPr>
            <w:r>
              <w:rPr>
                <w:rFonts w:ascii="Courier New" w:cs="Courier New" w:eastAsia="Courier New" w:hAnsi="Courier New"/>
                <w:sz w:val="14"/>
                <w:szCs w:val="14"/>
                <w:color w:val="auto"/>
              </w:rPr>
              <w:t>Balance at beginning of period.............</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45,213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177,847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177,041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126,366</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251,790</w:t>
            </w:r>
          </w:p>
        </w:tc>
      </w:tr>
      <w:tr>
        <w:trPr>
          <w:trHeight w:val="167"/>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gridSpan w:val="3"/>
          </w:tcPr>
          <w:p>
            <w:pPr>
              <w:spacing w:after="0"/>
              <w:rPr>
                <w:sz w:val="20"/>
                <w:szCs w:val="20"/>
                <w:color w:val="auto"/>
              </w:rPr>
            </w:pPr>
            <w:r>
              <w:rPr>
                <w:rFonts w:ascii="Courier New" w:cs="Courier New" w:eastAsia="Courier New" w:hAnsi="Courier New"/>
                <w:sz w:val="14"/>
                <w:szCs w:val="14"/>
                <w:color w:val="auto"/>
              </w:rPr>
              <w:t>Purchases (1)..............................</w:t>
            </w:r>
          </w:p>
        </w:tc>
        <w:tc>
          <w:tcPr>
            <w:tcW w:w="6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47,129</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795,053</w:t>
            </w:r>
          </w:p>
        </w:tc>
        <w:tc>
          <w:tcPr>
            <w:tcW w:w="30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278,081</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295,054</w:t>
            </w:r>
          </w:p>
        </w:tc>
      </w:tr>
      <w:tr>
        <w:trPr>
          <w:trHeight w:val="167"/>
        </w:trPr>
        <w:tc>
          <w:tcPr>
            <w:tcW w:w="4000" w:type="dxa"/>
            <w:vAlign w:val="bottom"/>
            <w:gridSpan w:val="3"/>
          </w:tcPr>
          <w:p>
            <w:pPr>
              <w:spacing w:after="0"/>
              <w:rPr>
                <w:sz w:val="20"/>
                <w:szCs w:val="20"/>
                <w:color w:val="auto"/>
              </w:rPr>
            </w:pPr>
            <w:r>
              <w:rPr>
                <w:rFonts w:ascii="Courier New" w:cs="Courier New" w:eastAsia="Courier New" w:hAnsi="Courier New"/>
                <w:sz w:val="14"/>
                <w:szCs w:val="14"/>
                <w:color w:val="auto"/>
              </w:rPr>
              <w:t>Originations (2)...........................</w:t>
            </w:r>
          </w:p>
        </w:tc>
        <w:tc>
          <w:tcPr>
            <w:tcW w:w="6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728,509</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959,105</w:t>
            </w:r>
          </w:p>
        </w:tc>
        <w:tc>
          <w:tcPr>
            <w:tcW w:w="30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316,101</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9,447</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3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(24,774)</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(865,959)</w:t>
            </w:r>
          </w:p>
        </w:tc>
        <w:tc>
          <w:tcPr>
            <w:tcW w:w="26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(1,658,773)</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(501,079)</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(395,999)</w:t>
            </w:r>
          </w:p>
        </w:tc>
      </w:tr>
      <w:tr>
        <w:trPr>
          <w:trHeight w:val="167"/>
        </w:trPr>
        <w:tc>
          <w:tcPr>
            <w:tcW w:w="4000" w:type="dxa"/>
            <w:vAlign w:val="bottom"/>
            <w:gridSpan w:val="3"/>
          </w:tcPr>
          <w:p>
            <w:pPr>
              <w:spacing w:after="0"/>
              <w:rPr>
                <w:sz w:val="20"/>
                <w:szCs w:val="20"/>
                <w:color w:val="auto"/>
              </w:rPr>
            </w:pPr>
            <w:r>
              <w:rPr>
                <w:rFonts w:ascii="Courier New" w:cs="Courier New" w:eastAsia="Courier New" w:hAnsi="Courier New"/>
                <w:sz w:val="14"/>
                <w:szCs w:val="14"/>
                <w:color w:val="auto"/>
              </w:rPr>
              <w:t>Decrease (increase) in lower of cost or</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40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market valuation allowance..............</w:t>
            </w:r>
          </w:p>
        </w:tc>
        <w:tc>
          <w:tcPr>
            <w:tcW w:w="6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1,625</w:t>
            </w:r>
          </w:p>
        </w:tc>
        <w:tc>
          <w:tcPr>
            <w:tcW w:w="34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1,282</w:t>
            </w:r>
          </w:p>
        </w:tc>
        <w:tc>
          <w:tcPr>
            <w:tcW w:w="26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(4,064)</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(1,034)</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(2,455)</w:t>
            </w:r>
          </w:p>
        </w:tc>
      </w:tr>
      <w:tr>
        <w:trPr>
          <w:trHeight w:val="167"/>
        </w:trPr>
        <w:tc>
          <w:tcPr>
            <w:tcW w:w="4000" w:type="dxa"/>
            <w:vAlign w:val="bottom"/>
            <w:gridSpan w:val="3"/>
          </w:tcPr>
          <w:p>
            <w:pPr>
              <w:spacing w:after="0"/>
              <w:rPr>
                <w:sz w:val="20"/>
                <w:szCs w:val="20"/>
                <w:color w:val="auto"/>
              </w:rPr>
            </w:pPr>
            <w:r>
              <w:rPr>
                <w:rFonts w:ascii="Courier New" w:cs="Courier New" w:eastAsia="Courier New" w:hAnsi="Courier New"/>
                <w:sz w:val="14"/>
                <w:szCs w:val="14"/>
                <w:color w:val="auto"/>
              </w:rPr>
              <w:t>Loans transferred (to)/from loan portfolio.</w:t>
            </w:r>
          </w:p>
        </w:tc>
        <w:tc>
          <w:tcPr>
            <w:tcW w:w="6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(13,674)</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r>
      <w:tr>
        <w:trPr>
          <w:trHeight w:val="167"/>
        </w:trPr>
        <w:tc>
          <w:tcPr>
            <w:tcW w:w="4000" w:type="dxa"/>
            <w:vAlign w:val="bottom"/>
            <w:gridSpan w:val="3"/>
          </w:tcPr>
          <w:p>
            <w:pPr>
              <w:spacing w:after="0"/>
              <w:rPr>
                <w:sz w:val="20"/>
                <w:szCs w:val="20"/>
                <w:color w:val="auto"/>
              </w:rPr>
            </w:pPr>
            <w:r>
              <w:rPr>
                <w:rFonts w:ascii="Courier New" w:cs="Courier New" w:eastAsia="Courier New" w:hAnsi="Courier New"/>
                <w:sz w:val="14"/>
                <w:szCs w:val="14"/>
                <w:color w:val="auto"/>
              </w:rPr>
              <w:t>Principal repayments, net of capitalized</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40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interest................................</w:t>
            </w:r>
          </w:p>
        </w:tc>
        <w:tc>
          <w:tcPr>
            <w:tcW w:w="6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(6,785)</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(30,314)</w:t>
            </w:r>
          </w:p>
        </w:tc>
        <w:tc>
          <w:tcPr>
            <w:tcW w:w="26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(82,728)</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(22,151)</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(27,845)</w:t>
            </w:r>
          </w:p>
        </w:tc>
      </w:tr>
      <w:tr>
        <w:trPr>
          <w:trHeight w:val="167"/>
        </w:trPr>
        <w:tc>
          <w:tcPr>
            <w:tcW w:w="4000" w:type="dxa"/>
            <w:vAlign w:val="bottom"/>
            <w:gridSpan w:val="3"/>
          </w:tcPr>
          <w:p>
            <w:pPr>
              <w:spacing w:after="0"/>
              <w:rPr>
                <w:sz w:val="20"/>
                <w:szCs w:val="20"/>
                <w:color w:val="auto"/>
              </w:rPr>
            </w:pPr>
            <w:r>
              <w:rPr>
                <w:rFonts w:ascii="Courier New" w:cs="Courier New" w:eastAsia="Courier New" w:hAnsi="Courier New"/>
                <w:sz w:val="14"/>
                <w:szCs w:val="14"/>
                <w:color w:val="auto"/>
              </w:rPr>
              <w:t>Transfer to real estate owned..............</w:t>
            </w:r>
          </w:p>
        </w:tc>
        <w:tc>
          <w:tcPr>
            <w:tcW w:w="6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(4,669)</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(13,281)</w:t>
            </w:r>
          </w:p>
        </w:tc>
        <w:tc>
          <w:tcPr>
            <w:tcW w:w="26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(7,787)</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(5,569)</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(3,671)</w:t>
            </w:r>
          </w:p>
        </w:tc>
      </w:tr>
      <w:tr>
        <w:trPr>
          <w:trHeight w:val="167"/>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gridSpan w:val="3"/>
          </w:tcPr>
          <w:p>
            <w:pPr>
              <w:spacing w:after="0"/>
              <w:rPr>
                <w:sz w:val="20"/>
                <w:szCs w:val="20"/>
                <w:color w:val="auto"/>
              </w:rPr>
            </w:pPr>
            <w:r>
              <w:rPr>
                <w:rFonts w:ascii="Courier New" w:cs="Courier New" w:eastAsia="Courier New" w:hAnsi="Courier New"/>
                <w:sz w:val="14"/>
                <w:szCs w:val="14"/>
                <w:color w:val="auto"/>
              </w:rPr>
              <w:t>Net (decrease) increase in loans...........</w:t>
            </w:r>
          </w:p>
        </w:tc>
        <w:tc>
          <w:tcPr>
            <w:tcW w:w="6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(34,603)</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(132,634)</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806</w:t>
            </w:r>
          </w:p>
        </w:tc>
        <w:tc>
          <w:tcPr>
            <w:tcW w:w="30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50,675</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(125,424)</w:t>
            </w:r>
          </w:p>
        </w:tc>
      </w:tr>
      <w:tr>
        <w:trPr>
          <w:trHeight w:val="167"/>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gridSpan w:val="3"/>
          </w:tcPr>
          <w:p>
            <w:pPr>
              <w:spacing w:after="0"/>
              <w:rPr>
                <w:sz w:val="20"/>
                <w:szCs w:val="20"/>
                <w:color w:val="auto"/>
              </w:rPr>
            </w:pPr>
            <w:r>
              <w:rPr>
                <w:rFonts w:ascii="Courier New" w:cs="Courier New" w:eastAsia="Courier New" w:hAnsi="Courier New"/>
                <w:sz w:val="14"/>
                <w:szCs w:val="14"/>
                <w:color w:val="auto"/>
              </w:rPr>
              <w:t>Balance at end of period...................</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10,610</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45,213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177,847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177,041</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126,366</w:t>
            </w:r>
          </w:p>
        </w:tc>
      </w:tr>
      <w:tr>
        <w:trPr>
          <w:trHeight w:val="167"/>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right="3900" w:hanging="791"/>
        <w:spacing w:after="0" w:line="255" w:lineRule="auto"/>
        <w:tabs>
          <w:tab w:leader="none" w:pos="8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$292,848 purchased during 1998 from the U.S. operations of Cityscape Financial Corp. and $421,188 purchased from the UK operations of Cityscape Financial Corp.</w:t>
      </w:r>
    </w:p>
    <w:p>
      <w:pPr>
        <w:spacing w:after="0" w:line="162" w:lineRule="exact"/>
        <w:rPr>
          <w:rFonts w:ascii="Courier New" w:cs="Courier New" w:eastAsia="Courier New" w:hAnsi="Courier New"/>
          <w:sz w:val="14"/>
          <w:szCs w:val="14"/>
          <w:color w:val="auto"/>
        </w:rPr>
      </w:pPr>
    </w:p>
    <w:p>
      <w:pPr>
        <w:ind w:left="800" w:right="4260" w:hanging="791"/>
        <w:spacing w:after="0" w:line="258" w:lineRule="auto"/>
        <w:tabs>
          <w:tab w:leader="none" w:pos="8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approximately $509,800 and $254,300 originated by Ocwen UK during 1999 and 1998, respectively.</w:t>
      </w:r>
    </w:p>
    <w:p>
      <w:pPr>
        <w:spacing w:after="0" w:line="159" w:lineRule="exact"/>
        <w:rPr>
          <w:rFonts w:ascii="Courier New" w:cs="Courier New" w:eastAsia="Courier New" w:hAnsi="Courier New"/>
          <w:sz w:val="14"/>
          <w:szCs w:val="14"/>
          <w:color w:val="auto"/>
        </w:rPr>
      </w:pPr>
    </w:p>
    <w:p>
      <w:pPr>
        <w:ind w:left="800" w:right="4340" w:hanging="791"/>
        <w:spacing w:after="0" w:line="258" w:lineRule="auto"/>
        <w:tabs>
          <w:tab w:leader="none" w:pos="8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$297,469 related to the sale of Ocwen UK on September 30, 1999.</w:t>
      </w:r>
    </w:p>
    <w:p>
      <w:pPr>
        <w:spacing w:after="0" w:line="159" w:lineRule="exact"/>
        <w:rPr>
          <w:rFonts w:ascii="Courier New" w:cs="Courier New" w:eastAsia="Courier New" w:hAnsi="Courier New"/>
          <w:sz w:val="14"/>
          <w:szCs w:val="14"/>
          <w:color w:val="auto"/>
        </w:rPr>
      </w:pPr>
    </w:p>
    <w:p>
      <w:pPr>
        <w:ind w:left="800" w:right="3900" w:hanging="791"/>
        <w:spacing w:after="0" w:line="258" w:lineRule="auto"/>
        <w:tabs>
          <w:tab w:leader="none" w:pos="8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securitizations of domestic and foreign subprime single family residential loans. See "Results of Operations - Non-interest Income."</w:t>
      </w:r>
    </w:p>
    <w:p>
      <w:pPr>
        <w:spacing w:after="0" w:line="200" w:lineRule="exact"/>
        <w:rPr>
          <w:sz w:val="20"/>
          <w:szCs w:val="20"/>
          <w:color w:val="auto"/>
        </w:rPr>
      </w:pPr>
    </w:p>
    <w:p>
      <w:pPr>
        <w:spacing w:after="0" w:line="294" w:lineRule="exact"/>
        <w:rPr>
          <w:sz w:val="20"/>
          <w:szCs w:val="20"/>
          <w:color w:val="auto"/>
        </w:rPr>
      </w:pPr>
    </w:p>
    <w:p>
      <w:pPr>
        <w:ind w:right="4000" w:firstLine="781"/>
        <w:spacing w:after="0" w:line="258" w:lineRule="auto"/>
        <w:rPr>
          <w:sz w:val="20"/>
          <w:szCs w:val="20"/>
          <w:color w:val="auto"/>
        </w:rPr>
      </w:pPr>
      <w:r>
        <w:rPr>
          <w:rFonts w:ascii="Courier New" w:cs="Courier New" w:eastAsia="Courier New" w:hAnsi="Courier New"/>
          <w:sz w:val="14"/>
          <w:szCs w:val="14"/>
          <w:color w:val="auto"/>
        </w:rPr>
        <w:t>The following table presents a summary of the Company's non-performing loans in the loans available for sale portfolio at the dates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31,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spacing w:after="0"/>
              <w:rPr>
                <w:sz w:val="14"/>
                <w:szCs w:val="14"/>
                <w:color w:val="auto"/>
              </w:rPr>
            </w:pPr>
          </w:p>
        </w:tc>
        <w:tc>
          <w:tcPr>
            <w:tcW w:w="648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2000</w:t>
            </w:r>
          </w:p>
        </w:tc>
        <w:tc>
          <w:tcPr>
            <w:tcW w:w="34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14"/>
                <w:szCs w:val="14"/>
                <w:color w:val="auto"/>
              </w:rPr>
            </w:pP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300" w:type="dxa"/>
            <w:vAlign w:val="bottom"/>
          </w:tcPr>
          <w:p>
            <w:pPr>
              <w:spacing w:after="0"/>
              <w:rPr>
                <w:sz w:val="14"/>
                <w:szCs w:val="14"/>
                <w:color w:val="auto"/>
              </w:rPr>
            </w:pP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36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Non-performing loans: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Single family loans (1)....................</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15,319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39,415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13,509</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14,409</w:t>
            </w: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Consumer loans.............................</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3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15,320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39,424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13,534</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14,445</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Non-performing loans as a percentage of:</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Total loans available for sale.............</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22.68%</w:t>
            </w:r>
          </w:p>
        </w:tc>
        <w:tc>
          <w:tcPr>
            <w:tcW w:w="3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33.88%</w:t>
            </w:r>
          </w:p>
        </w:tc>
        <w:tc>
          <w:tcPr>
            <w:tcW w:w="3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22.17%</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7.64%</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11.43%</w:t>
            </w: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0.11%</w:t>
            </w:r>
          </w:p>
        </w:tc>
        <w:tc>
          <w:tcPr>
            <w:tcW w:w="3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0.47%</w:t>
            </w:r>
          </w:p>
        </w:tc>
        <w:tc>
          <w:tcPr>
            <w:tcW w:w="3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0.44%</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bl>
    <w:p>
      <w:pPr>
        <w:spacing w:after="0" w:line="338" w:lineRule="exact"/>
        <w:rPr>
          <w:sz w:val="20"/>
          <w:szCs w:val="20"/>
          <w:color w:val="auto"/>
        </w:rPr>
      </w:pPr>
    </w:p>
    <w:p>
      <w:pPr>
        <w:ind w:left="800" w:hanging="791"/>
        <w:spacing w:after="0"/>
        <w:tabs>
          <w:tab w:leader="none" w:pos="8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$7,245 related to Ocwen UK at December 31, 1998.</w:t>
      </w:r>
    </w:p>
    <w:p>
      <w:pPr>
        <w:spacing w:after="0" w:line="200" w:lineRule="exact"/>
        <w:rPr>
          <w:sz w:val="20"/>
          <w:szCs w:val="20"/>
          <w:color w:val="auto"/>
        </w:rPr>
      </w:pPr>
    </w:p>
    <w:p>
      <w:pPr>
        <w:spacing w:after="0" w:line="309" w:lineRule="exact"/>
        <w:rPr>
          <w:sz w:val="20"/>
          <w:szCs w:val="20"/>
          <w:color w:val="auto"/>
        </w:rPr>
      </w:pPr>
    </w:p>
    <w:p>
      <w:pPr>
        <w:ind w:right="4080" w:firstLine="781"/>
        <w:spacing w:after="0" w:line="255" w:lineRule="auto"/>
        <w:rPr>
          <w:sz w:val="20"/>
          <w:szCs w:val="20"/>
          <w:color w:val="auto"/>
        </w:rPr>
      </w:pPr>
      <w:r>
        <w:rPr>
          <w:rFonts w:ascii="Courier New" w:cs="Courier New" w:eastAsia="Courier New" w:hAnsi="Courier New"/>
          <w:sz w:val="14"/>
          <w:szCs w:val="14"/>
          <w:color w:val="auto"/>
        </w:rPr>
        <w:t>Non-performing loans available for sale consist primarily of subprime single family residential loans. See Note 6 to the Consolidated Financial Statements (which is incorporated herein by reference).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860"/>
          </w:cols>
          <w:pgMar w:left="220" w:top="453" w:right="819" w:bottom="0" w:gutter="0" w:footer="0" w:header="0"/>
        </w:sectPr>
      </w:pPr>
    </w:p>
    <w:bookmarkStart w:id="62" w:name="page63"/>
    <w:bookmarkEnd w:id="62"/>
    <w:p>
      <w:pPr>
        <w:ind w:right="450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160" w:firstLine="781"/>
        <w:spacing w:after="0" w:line="253" w:lineRule="auto"/>
        <w:rPr>
          <w:sz w:val="20"/>
          <w:szCs w:val="20"/>
          <w:color w:val="auto"/>
        </w:rPr>
      </w:pPr>
      <w:r>
        <w:rPr>
          <w:rFonts w:ascii="Courier New" w:cs="Courier New" w:eastAsia="Courier New" w:hAnsi="Courier New"/>
          <w:sz w:val="14"/>
          <w:szCs w:val="14"/>
          <w:color w:val="auto"/>
        </w:rPr>
        <w:t>LOAN PORTFOLIO, NET. Loans held for investment in the Company's loan portfolio are carried at amortized cost, less an allowance for loan losses, because the Company has the ability and presently intends to hold them to maturity. The Company's net loan portfolio decreased by $63,994 or 41% during 2000 reflecting the continuing payoff of multi-family and commercial loans and the Company's decision in 1999 to cease origination of such loans.</w:t>
      </w:r>
    </w:p>
    <w:p>
      <w:pPr>
        <w:spacing w:after="0" w:line="165" w:lineRule="exact"/>
        <w:rPr>
          <w:sz w:val="20"/>
          <w:szCs w:val="20"/>
          <w:color w:val="auto"/>
        </w:rPr>
      </w:pPr>
    </w:p>
    <w:p>
      <w:pPr>
        <w:ind w:right="4500" w:firstLine="781"/>
        <w:spacing w:after="0" w:line="255" w:lineRule="auto"/>
        <w:rPr>
          <w:sz w:val="20"/>
          <w:szCs w:val="20"/>
          <w:color w:val="auto"/>
        </w:rPr>
      </w:pPr>
      <w:r>
        <w:rPr>
          <w:rFonts w:ascii="Courier New" w:cs="Courier New" w:eastAsia="Courier New" w:hAnsi="Courier New"/>
          <w:sz w:val="14"/>
          <w:szCs w:val="14"/>
          <w:color w:val="auto"/>
        </w:rPr>
        <w:t>Composition of Loan Portfolio. The following table sets forth the composition of the Company's loan portfolio by type of loan at the dates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31,</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67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468"/>
              <w:spacing w:after="0"/>
              <w:rPr>
                <w:sz w:val="20"/>
                <w:szCs w:val="20"/>
                <w:color w:val="auto"/>
              </w:rPr>
            </w:pPr>
            <w:r>
              <w:rPr>
                <w:rFonts w:ascii="Courier New" w:cs="Courier New" w:eastAsia="Courier New" w:hAnsi="Courier New"/>
                <w:sz w:val="14"/>
                <w:szCs w:val="14"/>
                <w:color w:val="auto"/>
                <w:w w:val="95"/>
              </w:rPr>
              <w:t>2000</w:t>
            </w:r>
          </w:p>
        </w:tc>
        <w:tc>
          <w:tcPr>
            <w:tcW w:w="38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36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4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1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Single family residential loans..............</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848</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30,361</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46,226</w:t>
            </w:r>
          </w:p>
        </w:tc>
        <w:tc>
          <w:tcPr>
            <w:tcW w:w="4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73,186</w:t>
            </w:r>
          </w:p>
        </w:tc>
      </w:tr>
      <w:tr>
        <w:trPr>
          <w:trHeight w:val="167"/>
        </w:trPr>
        <w:tc>
          <w:tcPr>
            <w:tcW w:w="41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Multi-family residential loans: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Permanent................................</w:t>
            </w:r>
          </w:p>
        </w:tc>
        <w:tc>
          <w:tcPr>
            <w:tcW w:w="6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6,083</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23,430</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53,311</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38,105</w:t>
            </w:r>
          </w:p>
        </w:tc>
        <w:tc>
          <w:tcPr>
            <w:tcW w:w="4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31,252</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Construction.............................</w:t>
            </w:r>
          </w:p>
        </w:tc>
        <w:tc>
          <w:tcPr>
            <w:tcW w:w="6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39,123</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57,526</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22,288</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33,277</w:t>
            </w:r>
          </w:p>
        </w:tc>
        <w:tc>
          <w:tcPr>
            <w:tcW w:w="4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36,590</w:t>
            </w:r>
          </w:p>
        </w:tc>
      </w:tr>
      <w:tr>
        <w:trPr>
          <w:trHeight w:val="167"/>
        </w:trPr>
        <w:tc>
          <w:tcPr>
            <w:tcW w:w="41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multi-family residential........</w:t>
            </w:r>
          </w:p>
        </w:tc>
        <w:tc>
          <w:tcPr>
            <w:tcW w:w="6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45,206</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80,956</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75,599</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71,382</w:t>
            </w:r>
          </w:p>
        </w:tc>
        <w:tc>
          <w:tcPr>
            <w:tcW w:w="4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67,842</w:t>
            </w:r>
          </w:p>
        </w:tc>
      </w:tr>
      <w:tr>
        <w:trPr>
          <w:trHeight w:val="167"/>
        </w:trPr>
        <w:tc>
          <w:tcPr>
            <w:tcW w:w="41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Commercial real estate:</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80" w:type="dxa"/>
            <w:vAlign w:val="bottom"/>
          </w:tcPr>
          <w:p>
            <w:pPr>
              <w:jc w:val="right"/>
              <w:ind w:right="3048"/>
              <w:spacing w:after="0"/>
              <w:rPr>
                <w:sz w:val="20"/>
                <w:szCs w:val="20"/>
                <w:color w:val="auto"/>
              </w:rPr>
            </w:pPr>
            <w:r>
              <w:rPr>
                <w:rFonts w:ascii="Courier New" w:cs="Courier New" w:eastAsia="Courier New" w:hAnsi="Courier New"/>
                <w:sz w:val="14"/>
                <w:szCs w:val="14"/>
                <w:color w:val="auto"/>
              </w:rPr>
              <w:t>Hotels: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Permanent.............................</w:t>
            </w:r>
          </w:p>
        </w:tc>
        <w:tc>
          <w:tcPr>
            <w:tcW w:w="6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29,735</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64,040</w:t>
            </w:r>
          </w:p>
        </w:tc>
        <w:tc>
          <w:tcPr>
            <w:tcW w:w="4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173,947</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Construction..........................</w:t>
            </w:r>
          </w:p>
        </w:tc>
        <w:tc>
          <w:tcPr>
            <w:tcW w:w="6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38,153</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38,349</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6,896</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25,322</w:t>
            </w:r>
          </w:p>
        </w:tc>
        <w:tc>
          <w:tcPr>
            <w:tcW w:w="4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26,364</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Office buildings........................</w:t>
            </w:r>
          </w:p>
        </w:tc>
        <w:tc>
          <w:tcPr>
            <w:tcW w:w="6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20,817</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64,745</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93,068</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68,759</w:t>
            </w:r>
          </w:p>
        </w:tc>
        <w:tc>
          <w:tcPr>
            <w:tcW w:w="4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128,782</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Land....................................</w:t>
            </w:r>
          </w:p>
        </w:tc>
        <w:tc>
          <w:tcPr>
            <w:tcW w:w="6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2,238</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2,266</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2,858</w:t>
            </w:r>
          </w:p>
        </w:tc>
        <w:tc>
          <w:tcPr>
            <w:tcW w:w="4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2,332</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w:t>
            </w:r>
          </w:p>
        </w:tc>
        <w:tc>
          <w:tcPr>
            <w:tcW w:w="6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6,762</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16,094</w:t>
            </w:r>
          </w:p>
        </w:tc>
        <w:tc>
          <w:tcPr>
            <w:tcW w:w="4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25,623</w:t>
            </w:r>
          </w:p>
        </w:tc>
      </w:tr>
      <w:tr>
        <w:trPr>
          <w:trHeight w:val="167"/>
        </w:trPr>
        <w:tc>
          <w:tcPr>
            <w:tcW w:w="41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commercial real estate...........</w:t>
            </w:r>
          </w:p>
        </w:tc>
        <w:tc>
          <w:tcPr>
            <w:tcW w:w="6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58,971</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105,332</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138,727</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177,073</w:t>
            </w:r>
          </w:p>
        </w:tc>
        <w:tc>
          <w:tcPr>
            <w:tcW w:w="4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357,048</w:t>
            </w:r>
          </w:p>
        </w:tc>
      </w:tr>
      <w:tr>
        <w:trPr>
          <w:trHeight w:val="167"/>
        </w:trPr>
        <w:tc>
          <w:tcPr>
            <w:tcW w:w="41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w:t>
            </w:r>
          </w:p>
        </w:tc>
        <w:tc>
          <w:tcPr>
            <w:tcW w:w="6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w:t>
            </w:r>
          </w:p>
        </w:tc>
        <w:tc>
          <w:tcPr>
            <w:tcW w:w="4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3,038</w:t>
            </w:r>
          </w:p>
        </w:tc>
      </w:tr>
      <w:tr>
        <w:trPr>
          <w:trHeight w:val="167"/>
        </w:trPr>
        <w:tc>
          <w:tcPr>
            <w:tcW w:w="41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105,073</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190,704</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244,819</w:t>
            </w:r>
          </w:p>
        </w:tc>
        <w:tc>
          <w:tcPr>
            <w:tcW w:w="3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294,925</w:t>
            </w:r>
          </w:p>
        </w:tc>
        <w:tc>
          <w:tcPr>
            <w:tcW w:w="4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501,114</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Undisbursed loan funds.......................</w:t>
            </w:r>
          </w:p>
        </w:tc>
        <w:tc>
          <w:tcPr>
            <w:tcW w:w="60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(8,879)</w:t>
            </w:r>
          </w:p>
        </w:tc>
        <w:tc>
          <w:tcPr>
            <w:tcW w:w="38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(24,654)</w:t>
            </w:r>
          </w:p>
        </w:tc>
        <w:tc>
          <w:tcPr>
            <w:tcW w:w="3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(7,099)</w:t>
            </w:r>
          </w:p>
        </w:tc>
        <w:tc>
          <w:tcPr>
            <w:tcW w:w="36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(22,210)</w:t>
            </w: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(89,840)</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Unamortized deferred fees....................</w:t>
            </w:r>
          </w:p>
        </w:tc>
        <w:tc>
          <w:tcPr>
            <w:tcW w:w="60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w:t>
            </w:r>
          </w:p>
        </w:tc>
        <w:tc>
          <w:tcPr>
            <w:tcW w:w="38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(1,383)</w:t>
            </w:r>
          </w:p>
        </w:tc>
        <w:tc>
          <w:tcPr>
            <w:tcW w:w="3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(2,480)</w:t>
            </w:r>
          </w:p>
        </w:tc>
        <w:tc>
          <w:tcPr>
            <w:tcW w:w="36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(2,721)</w:t>
            </w: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(5,169)</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Allowance for loan losses....................</w:t>
            </w:r>
          </w:p>
        </w:tc>
        <w:tc>
          <w:tcPr>
            <w:tcW w:w="60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(2,408)</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(7,259)</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(4,928)</w:t>
            </w:r>
          </w:p>
        </w:tc>
        <w:tc>
          <w:tcPr>
            <w:tcW w:w="36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(3,695)</w:t>
            </w: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(3,523)</w:t>
            </w:r>
          </w:p>
        </w:tc>
      </w:tr>
      <w:tr>
        <w:trPr>
          <w:trHeight w:val="167"/>
        </w:trPr>
        <w:tc>
          <w:tcPr>
            <w:tcW w:w="41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93,414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157,408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230,312</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266,299</w:t>
            </w:r>
          </w:p>
        </w:tc>
        <w:tc>
          <w:tcPr>
            <w:tcW w:w="4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402,582</w:t>
            </w:r>
          </w:p>
        </w:tc>
      </w:tr>
      <w:tr>
        <w:trPr>
          <w:trHeight w:val="167"/>
        </w:trPr>
        <w:tc>
          <w:tcPr>
            <w:tcW w:w="418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240" w:firstLine="781"/>
        <w:spacing w:after="0" w:line="253" w:lineRule="auto"/>
        <w:rPr>
          <w:sz w:val="20"/>
          <w:szCs w:val="20"/>
          <w:color w:val="auto"/>
        </w:rPr>
      </w:pPr>
      <w:r>
        <w:rPr>
          <w:rFonts w:ascii="Courier New" w:cs="Courier New" w:eastAsia="Courier New" w:hAnsi="Courier New"/>
          <w:sz w:val="14"/>
          <w:szCs w:val="14"/>
          <w:color w:val="auto"/>
        </w:rPr>
        <w:t>Contractual Principal Repayments. The following table sets forth certain information at December 31, 2000 regarding the dollar amount of loans maturing in the Company's loan portfolio based on scheduled contractual amortization, as well as the dollar amount of loans which have fixed or adjustable interest rates. Demand loans (loans having no stated schedule of repayments and no stated maturity) and overdrafts are reported as due in one year or less. Loan balances have not been reduced for (i) undisbursed loan proceeds, unearned discounts and the allowance for loan losses or (ii) non-performing loans.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Maturing in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820" w:type="dxa"/>
            <w:vAlign w:val="bottom"/>
          </w:tcPr>
          <w:p>
            <w:pPr>
              <w:spacing w:after="0"/>
              <w:rPr>
                <w:sz w:val="14"/>
                <w:szCs w:val="14"/>
                <w:color w:val="auto"/>
              </w:rPr>
            </w:pPr>
          </w:p>
        </w:tc>
        <w:tc>
          <w:tcPr>
            <w:tcW w:w="70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After</w:t>
            </w: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After Five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One Year</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Years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8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One</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Year</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Through Five</w:t>
            </w: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Through Ten</w:t>
            </w:r>
          </w:p>
        </w:tc>
        <w:tc>
          <w:tcPr>
            <w:tcW w:w="3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After Ten</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8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or</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Less</w:t>
            </w:r>
          </w:p>
        </w:tc>
        <w:tc>
          <w:tcPr>
            <w:tcW w:w="40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Years</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Years</w:t>
            </w:r>
          </w:p>
        </w:tc>
        <w:tc>
          <w:tcPr>
            <w:tcW w:w="36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Years</w:t>
            </w:r>
          </w:p>
        </w:tc>
        <w:tc>
          <w:tcPr>
            <w:tcW w:w="4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82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Single family residential loans..........</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848</w:t>
            </w:r>
          </w:p>
        </w:tc>
      </w:tr>
      <w:tr>
        <w:trPr>
          <w:trHeight w:val="167"/>
        </w:trPr>
        <w:tc>
          <w:tcPr>
            <w:tcW w:w="3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Multi-family residential loans...........</w:t>
            </w:r>
          </w:p>
        </w:tc>
        <w:tc>
          <w:tcPr>
            <w:tcW w:w="7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28,097</w:t>
            </w:r>
          </w:p>
        </w:tc>
        <w:tc>
          <w:tcPr>
            <w:tcW w:w="4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17,109</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45,206</w:t>
            </w:r>
          </w:p>
        </w:tc>
      </w:tr>
      <w:tr>
        <w:trPr>
          <w:trHeight w:val="167"/>
        </w:trPr>
        <w:tc>
          <w:tcPr>
            <w:tcW w:w="3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Commercial real estate and land loans....</w:t>
            </w:r>
          </w:p>
        </w:tc>
        <w:tc>
          <w:tcPr>
            <w:tcW w:w="7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35,831</w:t>
            </w:r>
          </w:p>
        </w:tc>
        <w:tc>
          <w:tcPr>
            <w:tcW w:w="4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20,983</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1,579</w:t>
            </w:r>
          </w:p>
        </w:tc>
        <w:tc>
          <w:tcPr>
            <w:tcW w:w="3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w:t>
            </w: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58,971</w:t>
            </w:r>
          </w:p>
        </w:tc>
      </w:tr>
      <w:tr>
        <w:trPr>
          <w:trHeight w:val="167"/>
        </w:trPr>
        <w:tc>
          <w:tcPr>
            <w:tcW w:w="3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Consumer and other loans.................</w:t>
            </w:r>
          </w:p>
        </w:tc>
        <w:tc>
          <w:tcPr>
            <w:tcW w:w="7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w:t>
            </w:r>
          </w:p>
        </w:tc>
        <w:tc>
          <w:tcPr>
            <w:tcW w:w="4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7"/>
        </w:trPr>
        <w:tc>
          <w:tcPr>
            <w:tcW w:w="382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64,102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38,103</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105,073</w:t>
            </w:r>
          </w:p>
        </w:tc>
      </w:tr>
      <w:tr>
        <w:trPr>
          <w:trHeight w:val="167"/>
        </w:trPr>
        <w:tc>
          <w:tcPr>
            <w:tcW w:w="382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Interest rate terms on amounts due:</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3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Fixed.................................</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22,988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3,269</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28,343</w:t>
            </w:r>
          </w:p>
        </w:tc>
      </w:tr>
      <w:tr>
        <w:trPr>
          <w:trHeight w:val="167"/>
        </w:trPr>
        <w:tc>
          <w:tcPr>
            <w:tcW w:w="3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Adjustable............................</w:t>
            </w:r>
          </w:p>
        </w:tc>
        <w:tc>
          <w:tcPr>
            <w:tcW w:w="7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41,114</w:t>
            </w:r>
          </w:p>
        </w:tc>
        <w:tc>
          <w:tcPr>
            <w:tcW w:w="4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34,834</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c>
          <w:tcPr>
            <w:tcW w:w="3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686</w:t>
            </w: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76,730</w:t>
            </w:r>
          </w:p>
        </w:tc>
      </w:tr>
      <w:tr>
        <w:trPr>
          <w:trHeight w:val="167"/>
        </w:trPr>
        <w:tc>
          <w:tcPr>
            <w:tcW w:w="382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64,102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38,103</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105,073</w:t>
            </w:r>
          </w:p>
        </w:tc>
      </w:tr>
      <w:tr>
        <w:trPr>
          <w:trHeight w:val="167"/>
        </w:trPr>
        <w:tc>
          <w:tcPr>
            <w:tcW w:w="382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160" w:firstLine="781"/>
        <w:spacing w:after="0" w:line="254" w:lineRule="auto"/>
        <w:rPr>
          <w:sz w:val="20"/>
          <w:szCs w:val="20"/>
          <w:color w:val="auto"/>
        </w:rPr>
      </w:pPr>
      <w:r>
        <w:rPr>
          <w:rFonts w:ascii="Courier New" w:cs="Courier New" w:eastAsia="Courier New" w:hAnsi="Courier New"/>
          <w:sz w:val="14"/>
          <w:szCs w:val="14"/>
          <w:color w:val="auto"/>
        </w:rPr>
        <w:t>Scheduled contractual principal repayments may not reflect the actual maturities of loans because of prepayments and, in the case of conventional mortgage loans, due-on-sale clauses. The average life of mortgage loans, particularly fixed-rate loans, tends to</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940"/>
          </w:cols>
          <w:pgMar w:left="220" w:top="453" w:right="739" w:bottom="306" w:gutter="0" w:footer="0" w:header="0"/>
        </w:sectPr>
      </w:pPr>
    </w:p>
    <w:bookmarkStart w:id="63" w:name="page64"/>
    <w:bookmarkEnd w:id="63"/>
    <w:p>
      <w:pPr>
        <w:ind w:right="450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980"/>
        <w:spacing w:after="0" w:line="255" w:lineRule="auto"/>
        <w:rPr>
          <w:sz w:val="20"/>
          <w:szCs w:val="20"/>
          <w:color w:val="auto"/>
        </w:rPr>
      </w:pPr>
      <w:r>
        <w:rPr>
          <w:rFonts w:ascii="Courier New" w:cs="Courier New" w:eastAsia="Courier New" w:hAnsi="Courier New"/>
          <w:sz w:val="14"/>
          <w:szCs w:val="14"/>
          <w:color w:val="auto"/>
        </w:rPr>
        <w:t>increase when current mortgage loan rates are substantially higher than rates on existing mortgage loans and, conversely, to decrease when rates on existing mortgages are substantially higher than current mortgage loan rates.</w:t>
      </w:r>
    </w:p>
    <w:p>
      <w:pPr>
        <w:spacing w:after="0" w:line="162" w:lineRule="exact"/>
        <w:rPr>
          <w:sz w:val="20"/>
          <w:szCs w:val="20"/>
          <w:color w:val="auto"/>
        </w:rPr>
      </w:pPr>
    </w:p>
    <w:p>
      <w:pPr>
        <w:ind w:right="4420" w:firstLine="781"/>
        <w:spacing w:after="0" w:line="258" w:lineRule="auto"/>
        <w:rPr>
          <w:sz w:val="20"/>
          <w:szCs w:val="20"/>
          <w:color w:val="auto"/>
        </w:rPr>
      </w:pPr>
      <w:r>
        <w:rPr>
          <w:rFonts w:ascii="Courier New" w:cs="Courier New" w:eastAsia="Courier New" w:hAnsi="Courier New"/>
          <w:sz w:val="14"/>
          <w:szCs w:val="14"/>
          <w:color w:val="auto"/>
        </w:rPr>
        <w:t>Activity in the Loan Portfolio. The following table sets forth the activity in the Company's net loan portfolio during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480" w:type="dxa"/>
            <w:vAlign w:val="bottom"/>
          </w:tcPr>
          <w:p>
            <w:pPr>
              <w:spacing w:after="0"/>
              <w:rPr>
                <w:sz w:val="14"/>
                <w:szCs w:val="14"/>
                <w:color w:val="auto"/>
              </w:rPr>
            </w:pPr>
          </w:p>
        </w:tc>
        <w:tc>
          <w:tcPr>
            <w:tcW w:w="64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2000</w:t>
            </w:r>
          </w:p>
        </w:tc>
        <w:tc>
          <w:tcPr>
            <w:tcW w:w="32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320" w:type="dxa"/>
            <w:vAlign w:val="bottom"/>
          </w:tcPr>
          <w:p>
            <w:pPr>
              <w:spacing w:after="0"/>
              <w:rPr>
                <w:sz w:val="14"/>
                <w:szCs w:val="14"/>
                <w:color w:val="auto"/>
              </w:rPr>
            </w:pP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9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48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Balance at beginning of period...................</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157,408</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230,312</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266,299</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402,582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295,605</w:t>
            </w:r>
          </w:p>
        </w:tc>
      </w:tr>
      <w:tr>
        <w:trPr>
          <w:trHeight w:val="167"/>
        </w:trPr>
        <w:tc>
          <w:tcPr>
            <w:tcW w:w="448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Originations and funded commitments:</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Single family residential loans...............</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10,681</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Multi-family residential loans................</w:t>
            </w:r>
          </w:p>
        </w:tc>
        <w:tc>
          <w:tcPr>
            <w:tcW w:w="4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36,165</w:t>
            </w:r>
          </w:p>
        </w:tc>
        <w:tc>
          <w:tcPr>
            <w:tcW w:w="3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3,692</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56,657</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16,799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68,076</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Commercial real estate loans..................</w:t>
            </w:r>
          </w:p>
        </w:tc>
        <w:tc>
          <w:tcPr>
            <w:tcW w:w="4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3,627</w:t>
            </w:r>
          </w:p>
        </w:tc>
        <w:tc>
          <w:tcPr>
            <w:tcW w:w="3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17,258</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116,452</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69,948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199,017</w:t>
            </w:r>
          </w:p>
        </w:tc>
      </w:tr>
      <w:tr>
        <w:trPr>
          <w:trHeight w:val="167"/>
        </w:trPr>
        <w:tc>
          <w:tcPr>
            <w:tcW w:w="448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Commercial non-mortgage and</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consumer loans..............................</w:t>
            </w:r>
          </w:p>
        </w:tc>
        <w:tc>
          <w:tcPr>
            <w:tcW w:w="4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3,366</w:t>
            </w:r>
          </w:p>
        </w:tc>
      </w:tr>
      <w:tr>
        <w:trPr>
          <w:trHeight w:val="167"/>
        </w:trPr>
        <w:tc>
          <w:tcPr>
            <w:tcW w:w="448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loans originated (1)..................</w:t>
            </w:r>
          </w:p>
        </w:tc>
        <w:tc>
          <w:tcPr>
            <w:tcW w:w="4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39,792</w:t>
            </w:r>
          </w:p>
        </w:tc>
        <w:tc>
          <w:tcPr>
            <w:tcW w:w="3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20,950</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173,109</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89,874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281,140</w:t>
            </w:r>
          </w:p>
        </w:tc>
      </w:tr>
      <w:tr>
        <w:trPr>
          <w:trHeight w:val="167"/>
        </w:trPr>
        <w:tc>
          <w:tcPr>
            <w:tcW w:w="448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Purchases:</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Single family residential loans...............</w:t>
            </w:r>
          </w:p>
        </w:tc>
        <w:tc>
          <w:tcPr>
            <w:tcW w:w="4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6,209</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Multi-family residential loans................</w:t>
            </w:r>
          </w:p>
        </w:tc>
        <w:tc>
          <w:tcPr>
            <w:tcW w:w="4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45,285</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Commercial real estate loans..................</w:t>
            </w:r>
          </w:p>
        </w:tc>
        <w:tc>
          <w:tcPr>
            <w:tcW w:w="4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69,619</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loans purchased (2)...................</w:t>
            </w:r>
          </w:p>
        </w:tc>
        <w:tc>
          <w:tcPr>
            <w:tcW w:w="4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121,113</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w:t>
            </w:r>
          </w:p>
        </w:tc>
      </w:tr>
      <w:tr>
        <w:trPr>
          <w:trHeight w:val="167"/>
        </w:trPr>
        <w:tc>
          <w:tcPr>
            <w:tcW w:w="448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Sales............................................</w:t>
            </w:r>
          </w:p>
        </w:tc>
        <w:tc>
          <w:tcPr>
            <w:tcW w:w="4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(32,959)</w:t>
            </w:r>
          </w:p>
        </w:tc>
        <w:tc>
          <w:tcPr>
            <w:tcW w:w="3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(53,197)</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(2,346)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Loans transferred from available for sale........</w:t>
            </w:r>
          </w:p>
        </w:tc>
        <w:tc>
          <w:tcPr>
            <w:tcW w:w="4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13,782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Principal repayments.............................</w:t>
            </w:r>
          </w:p>
        </w:tc>
        <w:tc>
          <w:tcPr>
            <w:tcW w:w="4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(89,591)</w:t>
            </w:r>
          </w:p>
        </w:tc>
        <w:tc>
          <w:tcPr>
            <w:tcW w:w="3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(138,530)</w:t>
            </w:r>
          </w:p>
        </w:tc>
        <w:tc>
          <w:tcPr>
            <w:tcW w:w="3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(222,668)</w:t>
            </w:r>
          </w:p>
        </w:tc>
        <w:tc>
          <w:tcPr>
            <w:tcW w:w="3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(306,916)</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(121,818)</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Transfer to real estate owned....................</w:t>
            </w:r>
          </w:p>
        </w:tc>
        <w:tc>
          <w:tcPr>
            <w:tcW w:w="4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(2,872)</w:t>
            </w:r>
          </w:p>
        </w:tc>
        <w:tc>
          <w:tcPr>
            <w:tcW w:w="3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(4,451)</w:t>
            </w:r>
          </w:p>
        </w:tc>
        <w:tc>
          <w:tcPr>
            <w:tcW w:w="3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(547)</w:t>
            </w:r>
          </w:p>
        </w:tc>
        <w:tc>
          <w:tcPr>
            <w:tcW w:w="3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(1,207)</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Decrease (increase) in undisbursed loan funds....</w:t>
            </w:r>
          </w:p>
        </w:tc>
        <w:tc>
          <w:tcPr>
            <w:tcW w:w="4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15,774</w:t>
            </w:r>
          </w:p>
        </w:tc>
        <w:tc>
          <w:tcPr>
            <w:tcW w:w="3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(17,555)</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15,111</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67,630</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(50,119)</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Decrease in unamortized deferred fees............</w:t>
            </w:r>
          </w:p>
        </w:tc>
        <w:tc>
          <w:tcPr>
            <w:tcW w:w="4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1,011</w:t>
            </w:r>
          </w:p>
        </w:tc>
        <w:tc>
          <w:tcPr>
            <w:tcW w:w="3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1,097</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Decrease (increase) in allowance for loan losses.</w:t>
            </w:r>
          </w:p>
        </w:tc>
        <w:tc>
          <w:tcPr>
            <w:tcW w:w="4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4,851</w:t>
            </w:r>
          </w:p>
        </w:tc>
        <w:tc>
          <w:tcPr>
            <w:tcW w:w="3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(2,331)</w:t>
            </w:r>
          </w:p>
        </w:tc>
        <w:tc>
          <w:tcPr>
            <w:tcW w:w="3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(1,233)</w:t>
            </w:r>
          </w:p>
        </w:tc>
        <w:tc>
          <w:tcPr>
            <w:tcW w:w="3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(1,576)</w:t>
            </w:r>
          </w:p>
        </w:tc>
      </w:tr>
      <w:tr>
        <w:trPr>
          <w:trHeight w:val="167"/>
        </w:trPr>
        <w:tc>
          <w:tcPr>
            <w:tcW w:w="448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(decrease) increase in loans.................</w:t>
            </w:r>
          </w:p>
        </w:tc>
        <w:tc>
          <w:tcPr>
            <w:tcW w:w="4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(63,994)</w:t>
            </w:r>
          </w:p>
        </w:tc>
        <w:tc>
          <w:tcPr>
            <w:tcW w:w="3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(72,904)</w:t>
            </w:r>
          </w:p>
        </w:tc>
        <w:tc>
          <w:tcPr>
            <w:tcW w:w="3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(35,987)</w:t>
            </w:r>
          </w:p>
        </w:tc>
        <w:tc>
          <w:tcPr>
            <w:tcW w:w="3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(136,283)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106,977</w:t>
            </w:r>
          </w:p>
        </w:tc>
      </w:tr>
      <w:tr>
        <w:trPr>
          <w:trHeight w:val="167"/>
        </w:trPr>
        <w:tc>
          <w:tcPr>
            <w:tcW w:w="448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Balance at end of period.........................</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93,414</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157,408</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230,312</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266,299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402,582</w:t>
            </w:r>
          </w:p>
        </w:tc>
      </w:tr>
      <w:tr>
        <w:trPr>
          <w:trHeight w:val="167"/>
        </w:trPr>
        <w:tc>
          <w:tcPr>
            <w:tcW w:w="448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right="4860" w:hanging="791"/>
        <w:spacing w:after="0" w:line="258" w:lineRule="auto"/>
        <w:tabs>
          <w:tab w:leader="none" w:pos="8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Originations in 2000 represent fundings of construction loans originated in prior years.</w:t>
      </w:r>
    </w:p>
    <w:p>
      <w:pPr>
        <w:spacing w:after="0" w:line="159" w:lineRule="exact"/>
        <w:rPr>
          <w:rFonts w:ascii="Courier New" w:cs="Courier New" w:eastAsia="Courier New" w:hAnsi="Courier New"/>
          <w:sz w:val="14"/>
          <w:szCs w:val="14"/>
          <w:color w:val="auto"/>
        </w:rPr>
      </w:pPr>
    </w:p>
    <w:p>
      <w:pPr>
        <w:ind w:left="800" w:right="4340" w:hanging="791"/>
        <w:spacing w:after="0" w:line="258" w:lineRule="auto"/>
        <w:tabs>
          <w:tab w:leader="none" w:pos="8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during 1999 represent loans, including undisbursed loans, acquired as a result of the acquisition of OAC.</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940"/>
          </w:cols>
          <w:pgMar w:left="220" w:top="453" w:right="739" w:bottom="1440" w:gutter="0" w:footer="0" w:header="0"/>
        </w:sectPr>
      </w:pPr>
    </w:p>
    <w:bookmarkStart w:id="64" w:name="page65"/>
    <w:bookmarkEnd w:id="64"/>
    <w:p>
      <w:pPr>
        <w:ind w:right="434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following table sets forth certain information relating to the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gridSpan w:val="5"/>
          </w:tcPr>
          <w:p>
            <w:pPr>
              <w:spacing w:after="0"/>
              <w:rPr>
                <w:sz w:val="20"/>
                <w:szCs w:val="20"/>
                <w:color w:val="auto"/>
              </w:rPr>
            </w:pPr>
            <w:r>
              <w:rPr>
                <w:rFonts w:ascii="Courier New" w:cs="Courier New" w:eastAsia="Courier New" w:hAnsi="Courier New"/>
                <w:sz w:val="14"/>
                <w:szCs w:val="14"/>
                <w:color w:val="auto"/>
              </w:rPr>
              <w:t>Company's non-performing loans in its loan portfolio at the dates indicated:</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68"/>
        </w:trPr>
        <w:tc>
          <w:tcPr>
            <w:tcW w:w="4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31,</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4560" w:type="dxa"/>
            <w:vAlign w:val="bottom"/>
          </w:tcPr>
          <w:p>
            <w:pPr>
              <w:spacing w:after="0"/>
              <w:rPr>
                <w:sz w:val="14"/>
                <w:szCs w:val="14"/>
                <w:color w:val="auto"/>
              </w:rPr>
            </w:pPr>
          </w:p>
        </w:tc>
        <w:tc>
          <w:tcPr>
            <w:tcW w:w="622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380" w:type="dxa"/>
            <w:vAlign w:val="bottom"/>
          </w:tcPr>
          <w:p>
            <w:pPr>
              <w:spacing w:after="0"/>
              <w:rPr>
                <w:sz w:val="14"/>
                <w:szCs w:val="14"/>
                <w:color w:val="auto"/>
              </w:rPr>
            </w:pP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14"/>
                <w:szCs w:val="14"/>
                <w:color w:val="auto"/>
              </w:rPr>
            </w:pPr>
          </w:p>
        </w:tc>
        <w:tc>
          <w:tcPr>
            <w:tcW w:w="9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40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56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Non-performing loans: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Single family residential loans.................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1,169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2,123</w:t>
            </w: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Multi-family residential loans (1)..............</w:t>
            </w:r>
          </w:p>
        </w:tc>
        <w:tc>
          <w:tcPr>
            <w:tcW w:w="4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13,373</w:t>
            </w:r>
          </w:p>
        </w:tc>
        <w:tc>
          <w:tcPr>
            <w:tcW w:w="3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11,037</w:t>
            </w:r>
          </w:p>
        </w:tc>
        <w:tc>
          <w:tcPr>
            <w:tcW w:w="44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7,392</w:t>
            </w:r>
          </w:p>
        </w:tc>
        <w:tc>
          <w:tcPr>
            <w:tcW w:w="3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7,583</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Commercial real estate and other (2)............</w:t>
            </w:r>
          </w:p>
        </w:tc>
        <w:tc>
          <w:tcPr>
            <w:tcW w:w="4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4,581</w:t>
            </w:r>
          </w:p>
        </w:tc>
        <w:tc>
          <w:tcPr>
            <w:tcW w:w="3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19,360</w:t>
            </w:r>
          </w:p>
        </w:tc>
        <w:tc>
          <w:tcPr>
            <w:tcW w:w="44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488</w:t>
            </w:r>
          </w:p>
        </w:tc>
        <w:tc>
          <w:tcPr>
            <w:tcW w:w="3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7"/>
        </w:trPr>
        <w:tc>
          <w:tcPr>
            <w:tcW w:w="456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18,270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31,379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9,049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9,158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2,284</w:t>
            </w:r>
          </w:p>
        </w:tc>
      </w:tr>
      <w:tr>
        <w:trPr>
          <w:trHeight w:val="167"/>
        </w:trPr>
        <w:tc>
          <w:tcPr>
            <w:tcW w:w="456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Non-performing loans as a percentage of:</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 loans (3).................................</w:t>
            </w:r>
          </w:p>
        </w:tc>
        <w:tc>
          <w:tcPr>
            <w:tcW w:w="4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19.07%</w:t>
            </w:r>
          </w:p>
        </w:tc>
        <w:tc>
          <w:tcPr>
            <w:tcW w:w="3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19.06%</w:t>
            </w:r>
          </w:p>
        </w:tc>
        <w:tc>
          <w:tcPr>
            <w:tcW w:w="44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3.85%</w:t>
            </w:r>
          </w:p>
        </w:tc>
        <w:tc>
          <w:tcPr>
            <w:tcW w:w="3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0.56%</w:t>
            </w: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0.81%</w:t>
            </w:r>
          </w:p>
        </w:tc>
        <w:tc>
          <w:tcPr>
            <w:tcW w:w="3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0.96%</w:t>
            </w:r>
          </w:p>
        </w:tc>
        <w:tc>
          <w:tcPr>
            <w:tcW w:w="44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0.27%</w:t>
            </w:r>
          </w:p>
        </w:tc>
        <w:tc>
          <w:tcPr>
            <w:tcW w:w="3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0.30%</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0.09%</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Allowance for loan losses as a percentage of:</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 loans (3)..............................</w:t>
            </w:r>
          </w:p>
        </w:tc>
        <w:tc>
          <w:tcPr>
            <w:tcW w:w="4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w:t>
            </w:r>
          </w:p>
        </w:tc>
        <w:tc>
          <w:tcPr>
            <w:tcW w:w="3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4.41%</w:t>
            </w:r>
          </w:p>
        </w:tc>
        <w:tc>
          <w:tcPr>
            <w:tcW w:w="44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2.09%</w:t>
            </w:r>
          </w:p>
        </w:tc>
        <w:tc>
          <w:tcPr>
            <w:tcW w:w="3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0.87%</w:t>
            </w: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Non-performing loans.........................</w:t>
            </w:r>
          </w:p>
        </w:tc>
        <w:tc>
          <w:tcPr>
            <w:tcW w:w="4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13.18%</w:t>
            </w:r>
          </w:p>
        </w:tc>
        <w:tc>
          <w:tcPr>
            <w:tcW w:w="3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23.13%</w:t>
            </w:r>
          </w:p>
        </w:tc>
        <w:tc>
          <w:tcPr>
            <w:tcW w:w="44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54.46%</w:t>
            </w:r>
          </w:p>
        </w:tc>
        <w:tc>
          <w:tcPr>
            <w:tcW w:w="3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40.35%</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154.25%</w:t>
            </w:r>
          </w:p>
        </w:tc>
      </w:tr>
    </w:tbl>
    <w:p>
      <w:pPr>
        <w:spacing w:after="0" w:line="338" w:lineRule="exact"/>
        <w:rPr>
          <w:sz w:val="20"/>
          <w:szCs w:val="20"/>
          <w:color w:val="auto"/>
        </w:rPr>
      </w:pPr>
    </w:p>
    <w:p>
      <w:pPr>
        <w:jc w:val="both"/>
        <w:ind w:left="440" w:right="4180" w:hanging="431"/>
        <w:spacing w:after="0" w:line="255"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Non-performing multi-family residential loans at December 31, 2000 were comprised of 9 loans with an aggregate balance of $15,034, all of which management believes are adequately collateralized and reserved.</w:t>
      </w:r>
    </w:p>
    <w:p>
      <w:pPr>
        <w:spacing w:after="0" w:line="162" w:lineRule="exact"/>
        <w:rPr>
          <w:rFonts w:ascii="Courier New" w:cs="Courier New" w:eastAsia="Courier New" w:hAnsi="Courier New"/>
          <w:sz w:val="14"/>
          <w:szCs w:val="14"/>
          <w:color w:val="auto"/>
        </w:rPr>
      </w:pPr>
    </w:p>
    <w:p>
      <w:pPr>
        <w:ind w:left="440" w:right="4260" w:hanging="431"/>
        <w:spacing w:after="0" w:line="255"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Non-performing commercial real estate loans at December 31, 2000 were comprised of 6 loans with an aggregate balance of $6,258, all of which management believes are adequately collateralized and reserved.</w:t>
      </w:r>
    </w:p>
    <w:p>
      <w:pPr>
        <w:spacing w:after="0" w:line="162" w:lineRule="exact"/>
        <w:rPr>
          <w:rFonts w:ascii="Courier New" w:cs="Courier New" w:eastAsia="Courier New" w:hAnsi="Courier New"/>
          <w:sz w:val="14"/>
          <w:szCs w:val="14"/>
          <w:color w:val="auto"/>
        </w:rPr>
      </w:pPr>
    </w:p>
    <w:p>
      <w:pPr>
        <w:ind w:left="440" w:right="4080" w:hanging="431"/>
        <w:spacing w:after="0" w:line="258"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loans is net of undisbursed loan proceeds and unamortized deferred fees.</w:t>
      </w:r>
    </w:p>
    <w:p>
      <w:pPr>
        <w:spacing w:after="0" w:line="200" w:lineRule="exact"/>
        <w:rPr>
          <w:sz w:val="20"/>
          <w:szCs w:val="20"/>
          <w:color w:val="auto"/>
        </w:rPr>
      </w:pPr>
    </w:p>
    <w:p>
      <w:pPr>
        <w:spacing w:after="0" w:line="294" w:lineRule="exact"/>
        <w:rPr>
          <w:sz w:val="20"/>
          <w:szCs w:val="20"/>
          <w:color w:val="auto"/>
        </w:rPr>
      </w:pPr>
    </w:p>
    <w:p>
      <w:pPr>
        <w:ind w:right="4700" w:firstLine="781"/>
        <w:spacing w:after="0" w:line="258" w:lineRule="auto"/>
        <w:rPr>
          <w:sz w:val="20"/>
          <w:szCs w:val="20"/>
          <w:color w:val="auto"/>
        </w:rPr>
      </w:pPr>
      <w:r>
        <w:rPr>
          <w:rFonts w:ascii="Courier New" w:cs="Courier New" w:eastAsia="Courier New" w:hAnsi="Courier New"/>
          <w:sz w:val="14"/>
          <w:szCs w:val="14"/>
          <w:color w:val="auto"/>
        </w:rPr>
        <w:t>See Note 7 to the Consolidated Financial Statements (which is incorporated herein for reference).</w:t>
      </w:r>
    </w:p>
    <w:p>
      <w:pPr>
        <w:spacing w:after="0" w:line="160" w:lineRule="exact"/>
        <w:rPr>
          <w:sz w:val="20"/>
          <w:szCs w:val="20"/>
          <w:color w:val="auto"/>
        </w:rPr>
      </w:pPr>
    </w:p>
    <w:p>
      <w:pPr>
        <w:ind w:right="3820" w:firstLine="781"/>
        <w:spacing w:after="0" w:line="253" w:lineRule="auto"/>
        <w:rPr>
          <w:sz w:val="20"/>
          <w:szCs w:val="20"/>
          <w:color w:val="auto"/>
        </w:rPr>
      </w:pPr>
      <w:r>
        <w:rPr>
          <w:rFonts w:ascii="Courier New" w:cs="Courier New" w:eastAsia="Courier New" w:hAnsi="Courier New"/>
          <w:sz w:val="14"/>
          <w:szCs w:val="14"/>
          <w:color w:val="auto"/>
        </w:rPr>
        <w:t>MATCH FUNDED LOANS AND SECURITIES. At December 31, 2000 and 1999, the Company held $80,549 and $105,101, respectively, of single family residential match funded loans acquired as a result of the OAC acquisition. These loans were previously securitized and transferred by OAC to a real estate mortgage investment conduit on November 13, 1998. The transfer did not qualify as a sale for accounting purposes. Accordingly, the proceeds received from the transfer are reported as a liability (bonds-match funded agreements). The $24,552 decline in the balance during 2000 was due to repayment of loan principal. Match funded loans at December 31, 2000 and 1999 include $2,831 and $1,127, respectively, of non-performing loans and are net of an allowance for loan losses of $285 and $495, respectively.</w:t>
      </w:r>
    </w:p>
    <w:p>
      <w:pPr>
        <w:spacing w:after="0" w:line="164" w:lineRule="exact"/>
        <w:rPr>
          <w:sz w:val="20"/>
          <w:szCs w:val="20"/>
          <w:color w:val="auto"/>
        </w:rPr>
      </w:pPr>
    </w:p>
    <w:p>
      <w:pPr>
        <w:ind w:right="3920" w:firstLine="781"/>
        <w:spacing w:after="0" w:line="253" w:lineRule="auto"/>
        <w:rPr>
          <w:sz w:val="20"/>
          <w:szCs w:val="20"/>
          <w:color w:val="auto"/>
        </w:rPr>
      </w:pPr>
      <w:r>
        <w:rPr>
          <w:rFonts w:ascii="Courier New" w:cs="Courier New" w:eastAsia="Courier New" w:hAnsi="Courier New"/>
          <w:sz w:val="14"/>
          <w:szCs w:val="14"/>
          <w:color w:val="auto"/>
        </w:rPr>
        <w:t>Additionally, at December 31, 2000 and 1999 the Company held $36,438 and $52,693, respectively, of match funded securities resulting from the Company's transfer of four unrated residual securities to a trust on December 16, 1999 in exchange for non-recourse notes. Upon the transfer, the Company received $40,094 of proceeds. The transfer did not qualify as a sale for accounting purposes. Accordingly, the amount of proceeds from the transfer are reported as a liability (bonds-match funded agreements). The decline of $16,255 in the balance during 2000 was due to principal repayments.</w:t>
      </w:r>
    </w:p>
    <w:p>
      <w:pPr>
        <w:spacing w:after="0" w:line="165" w:lineRule="exact"/>
        <w:rPr>
          <w:sz w:val="20"/>
          <w:szCs w:val="20"/>
          <w:color w:val="auto"/>
        </w:rPr>
      </w:pPr>
    </w:p>
    <w:p>
      <w:pPr>
        <w:ind w:right="4080" w:firstLine="781"/>
        <w:spacing w:after="0" w:line="255" w:lineRule="auto"/>
        <w:rPr>
          <w:sz w:val="20"/>
          <w:szCs w:val="20"/>
          <w:color w:val="auto"/>
        </w:rPr>
      </w:pPr>
      <w:r>
        <w:rPr>
          <w:rFonts w:ascii="Courier New" w:cs="Courier New" w:eastAsia="Courier New" w:hAnsi="Courier New"/>
          <w:sz w:val="14"/>
          <w:szCs w:val="14"/>
          <w:color w:val="auto"/>
        </w:rPr>
        <w:t>See "Bonds-Match Funded Agreements" and Note 9 to the Consolidated Financial Statements, (which is incorporated herein by reference). For a glossary of the terms included in the tables below, see "Trading Securities."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780"/>
          </w:cols>
          <w:pgMar w:left="220" w:top="453" w:right="899" w:bottom="1440" w:gutter="0" w:footer="0" w:header="0"/>
        </w:sectPr>
      </w:pPr>
    </w:p>
    <w:bookmarkStart w:id="65" w:name="page66"/>
    <w:bookmarkEnd w:id="65"/>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gridSpan w:val="5"/>
          </w:tcPr>
          <w:p>
            <w:pPr>
              <w:spacing w:after="0"/>
              <w:rPr>
                <w:sz w:val="20"/>
                <w:szCs w:val="20"/>
                <w:color w:val="auto"/>
              </w:rPr>
            </w:pPr>
            <w:r>
              <w:rPr>
                <w:rFonts w:ascii="Courier New" w:cs="Courier New" w:eastAsia="Courier New" w:hAnsi="Courier New"/>
                <w:sz w:val="14"/>
                <w:szCs w:val="14"/>
                <w:color w:val="auto"/>
              </w:rPr>
              <w:t>Management's Discussion and Analysis</w:t>
            </w:r>
          </w:p>
        </w:tc>
        <w:tc>
          <w:tcPr>
            <w:tcW w:w="23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Financial Condition and</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Results of</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3040" w:type="dxa"/>
            <w:vAlign w:val="bottom"/>
            <w:gridSpan w:val="4"/>
          </w:tcPr>
          <w:p>
            <w:pPr>
              <w:spacing w:after="0"/>
              <w:rPr>
                <w:sz w:val="20"/>
                <w:szCs w:val="20"/>
                <w:color w:val="auto"/>
              </w:rPr>
            </w:pPr>
            <w:r>
              <w:rPr>
                <w:rFonts w:ascii="Courier New" w:cs="Courier New" w:eastAsia="Courier New" w:hAnsi="Courier New"/>
                <w:sz w:val="14"/>
                <w:szCs w:val="14"/>
                <w:color w:val="auto"/>
              </w:rPr>
              <w:t>Operations. (Dollars in thousands,</w:t>
            </w:r>
          </w:p>
        </w:tc>
        <w:tc>
          <w:tcPr>
            <w:tcW w:w="16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except share data)</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7380" w:type="dxa"/>
            <w:vAlign w:val="bottom"/>
            <w:gridSpan w:val="10"/>
          </w:tcPr>
          <w:p>
            <w:pPr>
              <w:spacing w:after="0"/>
              <w:rPr>
                <w:sz w:val="20"/>
                <w:szCs w:val="20"/>
                <w:color w:val="auto"/>
              </w:rPr>
            </w:pPr>
            <w:r>
              <w:rPr>
                <w:rFonts w:ascii="Courier New" w:cs="Courier New" w:eastAsia="Courier New" w:hAnsi="Courier New"/>
                <w:sz w:val="14"/>
                <w:szCs w:val="14"/>
                <w:color w:val="auto"/>
              </w:rPr>
              <w:t>- --------------------------------------------------------------------------------</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196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The following</w:t>
            </w:r>
          </w:p>
        </w:tc>
        <w:tc>
          <w:tcPr>
            <w:tcW w:w="12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tables detail</w:t>
            </w:r>
          </w:p>
        </w:tc>
        <w:tc>
          <w:tcPr>
            <w:tcW w:w="23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Company's match funded</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securities</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2000, and</w:t>
            </w:r>
          </w:p>
        </w:tc>
        <w:tc>
          <w:tcPr>
            <w:tcW w:w="12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its estimates</w:t>
            </w:r>
          </w:p>
        </w:tc>
        <w:tc>
          <w:tcPr>
            <w:tcW w:w="23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expected yields on such</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3040" w:type="dxa"/>
            <w:vAlign w:val="bottom"/>
            <w:gridSpan w:val="4"/>
          </w:tcPr>
          <w:p>
            <w:pPr>
              <w:spacing w:after="0"/>
              <w:rPr>
                <w:sz w:val="20"/>
                <w:szCs w:val="20"/>
                <w:color w:val="auto"/>
              </w:rPr>
            </w:pPr>
            <w:r>
              <w:rPr>
                <w:rFonts w:ascii="Courier New" w:cs="Courier New" w:eastAsia="Courier New" w:hAnsi="Courier New"/>
                <w:sz w:val="14"/>
                <w:szCs w:val="14"/>
                <w:color w:val="auto"/>
              </w:rPr>
              <w:t>taking into consideration expected</w:t>
            </w:r>
          </w:p>
        </w:tc>
        <w:tc>
          <w:tcPr>
            <w:tcW w:w="34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prepayment and loss rates together with</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factors:</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68"/>
        </w:trPr>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ANTICIPATED</w:t>
            </w:r>
          </w:p>
        </w:tc>
        <w:tc>
          <w:tcPr>
            <w:tcW w:w="118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Courier New" w:cs="Courier New" w:eastAsia="Courier New" w:hAnsi="Courier New"/>
                <w:sz w:val="14"/>
                <w:szCs w:val="14"/>
                <w:color w:val="auto"/>
              </w:rPr>
              <w:t>OVER</w:t>
            </w:r>
          </w:p>
        </w:tc>
        <w:tc>
          <w:tcPr>
            <w:tcW w:w="60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YIELD TO</w:t>
            </w:r>
          </w:p>
        </w:tc>
        <w:tc>
          <w:tcPr>
            <w:tcW w:w="118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SECURITIZATION</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CLASS</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SIZE</w:t>
            </w:r>
          </w:p>
        </w:tc>
        <w:tc>
          <w:tcPr>
            <w:tcW w:w="204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COLLATERIZATION</w:t>
            </w:r>
          </w:p>
        </w:tc>
        <w:tc>
          <w:tcPr>
            <w:tcW w:w="15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MATURITY AT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PROSPECTIVE</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ISSUE</w:t>
            </w:r>
          </w:p>
        </w:tc>
        <w:tc>
          <w:tcPr>
            <w:tcW w:w="5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RATING</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INTEREST</w:t>
            </w:r>
          </w:p>
        </w:tc>
        <w:tc>
          <w:tcPr>
            <w:tcW w:w="1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LEVEL AT:</w:t>
            </w:r>
          </w:p>
        </w:tc>
        <w:tc>
          <w:tcPr>
            <w:tcW w:w="15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PROSPECTIVE</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(ISSUER)</w:t>
            </w:r>
          </w:p>
        </w:tc>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SECURITY</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DATE</w:t>
            </w:r>
          </w:p>
        </w:tc>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RATING</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AGENCIES</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ISSUANCE</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12/31/00</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12/31/00</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PURCHASE 12/31/00</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12/31/00</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c>
          <w:tcPr>
            <w:tcW w:w="1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27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 --------   --------</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SASCO 1998-2 1.....</w:t>
            </w:r>
          </w:p>
        </w:tc>
        <w:tc>
          <w:tcPr>
            <w:tcW w:w="30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Jan-98</w:t>
            </w:r>
          </w:p>
        </w:tc>
        <w:tc>
          <w:tcPr>
            <w:tcW w:w="14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UR</w:t>
            </w:r>
          </w:p>
        </w:tc>
        <w:tc>
          <w:tcPr>
            <w:tcW w:w="1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S&amp;P, Fitch $600,052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$167,533</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100.00%</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2.69%</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16.00%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7.16%</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SASCO 1998-31......</w:t>
            </w:r>
          </w:p>
        </w:tc>
        <w:tc>
          <w:tcPr>
            <w:tcW w:w="3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Mar-98</w:t>
            </w:r>
          </w:p>
        </w:tc>
        <w:tc>
          <w:tcPr>
            <w:tcW w:w="1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UR</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S&amp;P, Fitch</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769,671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197,851</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100.00</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6.63%</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17.04</w:t>
            </w:r>
          </w:p>
        </w:tc>
        <w:tc>
          <w:tcPr>
            <w:tcW w:w="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(0.83)</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7.55</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MLMI 1998-FFI 2....</w:t>
            </w:r>
          </w:p>
        </w:tc>
        <w:tc>
          <w:tcPr>
            <w:tcW w:w="3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Jun-98</w:t>
            </w:r>
          </w:p>
        </w:tc>
        <w:tc>
          <w:tcPr>
            <w:tcW w:w="1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UR</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S&amp;P, Fitch</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198,155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36,529</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100.00</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8.14%</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18.57</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LHELT 1998-2 3.....</w:t>
            </w:r>
          </w:p>
        </w:tc>
        <w:tc>
          <w:tcPr>
            <w:tcW w:w="3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Jun-98</w:t>
            </w:r>
          </w:p>
        </w:tc>
        <w:tc>
          <w:tcPr>
            <w:tcW w:w="1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UR</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Moody's,</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209,225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85,834</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100.00</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9.17%</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18.55</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11.06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56.38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Fitch</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1"/>
        </w:trPr>
        <w:tc>
          <w:tcPr>
            <w:tcW w:w="2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ACTUAL</w:t>
            </w: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ACTUAL</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10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WEIGHTED</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TOTAL</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LIFE TO</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LIFE TO</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DELINQUENCY</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DATE</w:t>
            </w: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DATE</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COLLATERAL BALANCE</w:t>
            </w:r>
          </w:p>
        </w:tc>
      </w:tr>
      <w:tr>
        <w:trPr>
          <w:trHeight w:val="167"/>
        </w:trPr>
        <w:tc>
          <w:tcPr>
            <w:tcW w:w="21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COUPON</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LTV AT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AT</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CPR AT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LOSSES AT</w:t>
            </w:r>
          </w:p>
        </w:tc>
        <w:tc>
          <w:tcPr>
            <w:tcW w:w="40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PRODUCT TYPE AT</w:t>
            </w:r>
          </w:p>
        </w:tc>
        <w:tc>
          <w:tcPr>
            <w:tcW w:w="2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SECURITIZATION</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AT 12/31/00</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12/31/00</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12/31/00</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12/31/00</w:t>
            </w: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12/31/00</w:t>
            </w:r>
          </w:p>
        </w:tc>
        <w:tc>
          <w:tcPr>
            <w:tcW w:w="40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12/31/00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ISSUANCE</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12/31/00</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SASCO 1998-2...........</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11.55%</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84.27%</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22.46%</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35.00%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11,868</w:t>
            </w:r>
          </w:p>
        </w:tc>
        <w:tc>
          <w:tcPr>
            <w:tcW w:w="400" w:type="dxa"/>
            <w:vAlign w:val="bottom"/>
          </w:tcPr>
          <w:p>
            <w:pPr>
              <w:ind w:left="80"/>
              <w:spacing w:after="0"/>
              <w:rPr>
                <w:sz w:val="20"/>
                <w:szCs w:val="20"/>
                <w:color w:val="auto"/>
              </w:rPr>
            </w:pPr>
            <w:r>
              <w:rPr>
                <w:rFonts w:ascii="Courier New" w:cs="Courier New" w:eastAsia="Courier New" w:hAnsi="Courier New"/>
                <w:sz w:val="14"/>
                <w:szCs w:val="14"/>
                <w:color w:val="auto"/>
              </w:rPr>
              <w:t>40%</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Fixed, 60%</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ARM</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$ 600,052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$ 167,533</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SASCO 1998-3...........</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11.63</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85.19</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23.79</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38.79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10,252</w:t>
            </w:r>
          </w:p>
        </w:tc>
        <w:tc>
          <w:tcPr>
            <w:tcW w:w="400" w:type="dxa"/>
            <w:vAlign w:val="bottom"/>
          </w:tcPr>
          <w:p>
            <w:pPr>
              <w:ind w:left="80"/>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Fixed, 82%</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ARM</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769,671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197,851</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MLMI 1998-FFI..........</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12.09</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75.48</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26.10</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47.63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1,476</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100% ARM</w:t>
            </w:r>
          </w:p>
        </w:tc>
        <w:tc>
          <w:tcPr>
            <w:tcW w:w="7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198,155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36,529</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LHELT 1998-2 ..........</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10.98</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18.43</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28.63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2,457</w:t>
            </w:r>
          </w:p>
        </w:tc>
        <w:tc>
          <w:tcPr>
            <w:tcW w:w="400" w:type="dxa"/>
            <w:vAlign w:val="bottom"/>
          </w:tcPr>
          <w:p>
            <w:pPr>
              <w:ind w:left="80"/>
              <w:spacing w:after="0"/>
              <w:rPr>
                <w:sz w:val="20"/>
                <w:szCs w:val="20"/>
                <w:color w:val="auto"/>
              </w:rPr>
            </w:pPr>
            <w:r>
              <w:rPr>
                <w:rFonts w:ascii="Courier New" w:cs="Courier New" w:eastAsia="Courier New" w:hAnsi="Courier New"/>
                <w:sz w:val="14"/>
                <w:szCs w:val="14"/>
                <w:color w:val="auto"/>
              </w:rPr>
              <w:t>49%</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Fixed, 51%</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ARM</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209,225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85,834</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Structured Asset Securities Corp.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Merrill Lynch Mortgage Investors,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Lehman Home Equity Loan Trust</w:t>
      </w:r>
    </w:p>
    <w:p>
      <w:pPr>
        <w:spacing w:after="0" w:line="200" w:lineRule="exact"/>
        <w:rPr>
          <w:sz w:val="20"/>
          <w:szCs w:val="20"/>
          <w:color w:val="auto"/>
        </w:rPr>
      </w:pPr>
    </w:p>
    <w:p>
      <w:pPr>
        <w:spacing w:after="0" w:line="309" w:lineRule="exact"/>
        <w:rPr>
          <w:sz w:val="20"/>
          <w:szCs w:val="20"/>
          <w:color w:val="auto"/>
        </w:rPr>
      </w:pPr>
    </w:p>
    <w:p>
      <w:pPr>
        <w:ind w:right="4420" w:firstLine="608"/>
        <w:spacing w:after="0" w:line="255" w:lineRule="auto"/>
        <w:rPr>
          <w:sz w:val="20"/>
          <w:szCs w:val="20"/>
          <w:color w:val="auto"/>
        </w:rPr>
      </w:pPr>
      <w:r>
        <w:rPr>
          <w:rFonts w:ascii="Courier New" w:cs="Courier New" w:eastAsia="Courier New" w:hAnsi="Courier New"/>
          <w:sz w:val="14"/>
          <w:szCs w:val="14"/>
          <w:color w:val="auto"/>
        </w:rPr>
        <w:t>The following table sets forth the principal amount of mortgage loans by the geographic location of the property securing the mortgages that underlie the Company's match-funded securities at December 31, 2000:</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CALIFORNIA</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FLORIDA</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WASHINGTON</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ILLINOIS</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OREGON</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(1)</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Single family residential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81,471</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$ 53,652</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$ 22,879</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$ 22,475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$ 20,487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$286,616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$487,580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Commercial ............................</w:t>
            </w:r>
          </w:p>
        </w:tc>
        <w:tc>
          <w:tcPr>
            <w:tcW w:w="3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167</w:t>
            </w:r>
          </w:p>
        </w:tc>
      </w:tr>
      <w:tr>
        <w:trPr>
          <w:trHeight w:val="167"/>
        </w:trPr>
        <w:tc>
          <w:tcPr>
            <w:tcW w:w="356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81,471</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$ 53,652</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$ 23,046</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$ 22,475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$ 20,487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$286,616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$487,747</w:t>
            </w:r>
          </w:p>
        </w:tc>
      </w:tr>
      <w:tr>
        <w:trPr>
          <w:trHeight w:val="167"/>
        </w:trPr>
        <w:tc>
          <w:tcPr>
            <w:tcW w:w="356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right="5040" w:hanging="791"/>
        <w:spacing w:after="0" w:line="258" w:lineRule="auto"/>
        <w:tabs>
          <w:tab w:leader="none" w:pos="8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properties located in 43 other states, none of which aggregated over $19,634 in any one state.</w:t>
      </w:r>
    </w:p>
    <w:p>
      <w:pPr>
        <w:spacing w:after="0" w:line="200" w:lineRule="exact"/>
        <w:rPr>
          <w:sz w:val="20"/>
          <w:szCs w:val="20"/>
          <w:color w:val="auto"/>
        </w:rPr>
      </w:pPr>
    </w:p>
    <w:p>
      <w:pPr>
        <w:spacing w:after="0" w:line="294" w:lineRule="exact"/>
        <w:rPr>
          <w:sz w:val="20"/>
          <w:szCs w:val="20"/>
          <w:color w:val="auto"/>
        </w:rPr>
      </w:pPr>
    </w:p>
    <w:p>
      <w:pPr>
        <w:ind w:right="5120" w:firstLine="781"/>
        <w:spacing w:after="0" w:line="258" w:lineRule="auto"/>
        <w:rPr>
          <w:sz w:val="20"/>
          <w:szCs w:val="20"/>
          <w:color w:val="auto"/>
        </w:rPr>
      </w:pPr>
      <w:r>
        <w:rPr>
          <w:rFonts w:ascii="Courier New" w:cs="Courier New" w:eastAsia="Courier New" w:hAnsi="Courier New"/>
          <w:sz w:val="14"/>
          <w:szCs w:val="14"/>
          <w:color w:val="auto"/>
        </w:rPr>
        <w:t>The following table presents information regarding match funded securities summarized by classification and rating:</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ANTICIPATED</w:t>
            </w:r>
          </w:p>
        </w:tc>
      </w:tr>
      <w:tr>
        <w:trPr>
          <w:trHeight w:val="167"/>
        </w:trPr>
        <w:tc>
          <w:tcPr>
            <w:tcW w:w="4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ORIGINAL</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ANTICIPATED</w:t>
            </w:r>
          </w:p>
        </w:tc>
        <w:tc>
          <w:tcPr>
            <w:tcW w:w="8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4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ANTICIPATED</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YIELD TO</w:t>
            </w:r>
          </w:p>
        </w:tc>
        <w:tc>
          <w:tcPr>
            <w:tcW w:w="820" w:type="dxa"/>
            <w:vAlign w:val="bottom"/>
          </w:tcPr>
          <w:p>
            <w:pPr>
              <w:spacing w:after="0"/>
              <w:rPr>
                <w:sz w:val="14"/>
                <w:szCs w:val="14"/>
                <w:color w:val="auto"/>
              </w:rPr>
            </w:pP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4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YIELD TO</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MATURITY AT</w:t>
            </w:r>
          </w:p>
        </w:tc>
        <w:tc>
          <w:tcPr>
            <w:tcW w:w="820" w:type="dxa"/>
            <w:vAlign w:val="bottom"/>
          </w:tcPr>
          <w:p>
            <w:pPr>
              <w:spacing w:after="0"/>
              <w:rPr>
                <w:sz w:val="14"/>
                <w:szCs w:val="14"/>
                <w:color w:val="auto"/>
              </w:rPr>
            </w:pP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REMAINING</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SINGLE-FAMILY RESIDENTIAL:</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FAIR VALUE</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PERCENT OWNED</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MATURITY</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12/31/00 (1)</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COUPON</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LIFE(2)</w:t>
            </w:r>
          </w:p>
        </w:tc>
      </w:tr>
      <w:tr>
        <w:trPr>
          <w:trHeight w:val="167"/>
        </w:trPr>
        <w:tc>
          <w:tcPr>
            <w:tcW w:w="40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Unrated residuals............................</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$ 36,438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 years</w:t>
            </w:r>
          </w:p>
        </w:tc>
      </w:tr>
      <w:tr>
        <w:trPr>
          <w:trHeight w:val="167"/>
        </w:trPr>
        <w:tc>
          <w:tcPr>
            <w:tcW w:w="40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338" w:lineRule="exact"/>
        <w:rPr>
          <w:sz w:val="20"/>
          <w:szCs w:val="20"/>
          <w:color w:val="auto"/>
        </w:rPr>
      </w:pPr>
    </w:p>
    <w:p>
      <w:pPr>
        <w:ind w:left="800" w:right="4780" w:hanging="791"/>
        <w:spacing w:after="0" w:line="255"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December 31, 2000 anticipated yield to maturity from that originally anticipated are primarily the result of changes in prepayment assumptions and, to a lesser extent, loss assumptions.</w:t>
      </w:r>
    </w:p>
    <w:p>
      <w:pPr>
        <w:spacing w:after="0" w:line="162" w:lineRule="exact"/>
        <w:rPr>
          <w:rFonts w:ascii="Courier New" w:cs="Courier New" w:eastAsia="Courier New" w:hAnsi="Courier New"/>
          <w:sz w:val="14"/>
          <w:szCs w:val="14"/>
          <w:color w:val="auto"/>
        </w:rPr>
      </w:pPr>
    </w:p>
    <w:p>
      <w:pPr>
        <w:ind w:left="800" w:right="4780" w:hanging="791"/>
        <w:spacing w:after="0" w:line="258" w:lineRule="auto"/>
        <w:tabs>
          <w:tab w:leader="none" w:pos="8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Equals the weighted average duration based on the December 31, 2000 book value.</w:t>
      </w:r>
    </w:p>
    <w:p>
      <w:pPr>
        <w:spacing w:after="0" w:line="200" w:lineRule="exact"/>
        <w:rPr>
          <w:sz w:val="20"/>
          <w:szCs w:val="20"/>
          <w:color w:val="auto"/>
        </w:rPr>
      </w:pPr>
    </w:p>
    <w:p>
      <w:pPr>
        <w:spacing w:after="0" w:line="294" w:lineRule="exact"/>
        <w:rPr>
          <w:sz w:val="20"/>
          <w:szCs w:val="20"/>
          <w:color w:val="auto"/>
        </w:rPr>
      </w:pPr>
    </w:p>
    <w:p>
      <w:pPr>
        <w:ind w:right="4680" w:firstLine="781"/>
        <w:spacing w:after="0" w:line="255" w:lineRule="auto"/>
        <w:rPr>
          <w:sz w:val="20"/>
          <w:szCs w:val="20"/>
          <w:color w:val="auto"/>
        </w:rPr>
      </w:pPr>
      <w:r>
        <w:rPr>
          <w:rFonts w:ascii="Courier New" w:cs="Courier New" w:eastAsia="Courier New" w:hAnsi="Courier New"/>
          <w:sz w:val="14"/>
          <w:szCs w:val="14"/>
          <w:color w:val="auto"/>
        </w:rPr>
        <w:t>DISCOUNT LOAN PORTFOLIO, NET. The discount loan portfolio decreased $377,201 or 41% during 2000. Resolutions and repayments, loans transferred to real estate owned and sales more than offset acquisitions during the year.</w:t>
      </w:r>
    </w:p>
    <w:p>
      <w:pPr>
        <w:sectPr>
          <w:pgSz w:w="11900" w:h="16849" w:orient="portrait"/>
          <w:cols w:equalWidth="0" w:num="1">
            <w:col w:w="11380"/>
          </w:cols>
          <w:pgMar w:left="220" w:top="453" w:right="299" w:bottom="0" w:gutter="0" w:footer="0" w:header="0"/>
        </w:sectPr>
      </w:pPr>
    </w:p>
    <w:bookmarkStart w:id="66" w:name="page67"/>
    <w:bookmarkEnd w:id="66"/>
    <w:p>
      <w:pPr>
        <w:ind w:right="3459"/>
        <w:spacing w:after="0" w:line="258" w:lineRule="auto"/>
        <w:rPr>
          <w:sz w:val="20"/>
          <w:szCs w:val="20"/>
          <w:color w:val="auto"/>
        </w:rPr>
      </w:pPr>
      <w:r>
        <w:rPr>
          <w:rFonts w:ascii="Courier New" w:cs="Courier New" w:eastAsia="Courier New" w:hAnsi="Courier New"/>
          <w:sz w:val="14"/>
          <w:szCs w:val="14"/>
          <w:color w:val="auto"/>
        </w:rPr>
        <w:t>Substantially all of the Company's discount loan portfolio is secured by first mortgage liens on real estate.</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142" w:right="1440" w:bottom="1440" w:gutter="0" w:footer="0" w:header="0"/>
        </w:sectPr>
      </w:pPr>
    </w:p>
    <w:bookmarkStart w:id="67" w:name="page68"/>
    <w:bookmarkEnd w:id="67"/>
    <w:p>
      <w:pPr>
        <w:ind w:right="450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160" w:firstLine="781"/>
        <w:spacing w:after="0" w:line="255" w:lineRule="auto"/>
        <w:rPr>
          <w:sz w:val="20"/>
          <w:szCs w:val="20"/>
          <w:color w:val="auto"/>
        </w:rPr>
      </w:pPr>
      <w:r>
        <w:rPr>
          <w:rFonts w:ascii="Courier New" w:cs="Courier New" w:eastAsia="Courier New" w:hAnsi="Courier New"/>
          <w:sz w:val="14"/>
          <w:szCs w:val="14"/>
          <w:color w:val="auto"/>
        </w:rPr>
        <w:t>Composition of the Discount Loan Portfolio. The following table sets forth the composition of the Company's discount loan portfolio by type of loan at the dates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31,</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480" w:type="dxa"/>
            <w:vAlign w:val="bottom"/>
          </w:tcPr>
          <w:p>
            <w:pPr>
              <w:spacing w:after="0"/>
              <w:rPr>
                <w:sz w:val="14"/>
                <w:szCs w:val="14"/>
                <w:color w:val="auto"/>
              </w:rPr>
            </w:pPr>
          </w:p>
        </w:tc>
        <w:tc>
          <w:tcPr>
            <w:tcW w:w="74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4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4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4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40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Principal balance:</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3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Single family residential loans....</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289,883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597,719</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597,100</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900,817</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504,049</w:t>
            </w:r>
          </w:p>
        </w:tc>
      </w:tr>
      <w:tr>
        <w:trPr>
          <w:trHeight w:val="167"/>
        </w:trPr>
        <w:tc>
          <w:tcPr>
            <w:tcW w:w="3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Multi-family residential loans.....</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105,591</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191,971</w:t>
            </w:r>
          </w:p>
        </w:tc>
        <w:tc>
          <w:tcPr>
            <w:tcW w:w="4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244,172</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191,302</w:t>
            </w:r>
          </w:p>
        </w:tc>
        <w:tc>
          <w:tcPr>
            <w:tcW w:w="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341,796</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Commercial real estate loans: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Office buildings.................</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77,608</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97,784</w:t>
            </w:r>
          </w:p>
        </w:tc>
        <w:tc>
          <w:tcPr>
            <w:tcW w:w="4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154,063</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363,681</w:t>
            </w:r>
          </w:p>
        </w:tc>
        <w:tc>
          <w:tcPr>
            <w:tcW w:w="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202,084</w:t>
            </w:r>
          </w:p>
        </w:tc>
      </w:tr>
      <w:tr>
        <w:trPr>
          <w:trHeight w:val="167"/>
        </w:trPr>
        <w:tc>
          <w:tcPr>
            <w:tcW w:w="3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Hotels...........................</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63,967</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75,095</w:t>
            </w:r>
          </w:p>
        </w:tc>
        <w:tc>
          <w:tcPr>
            <w:tcW w:w="4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100,407</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98,907</w:t>
            </w:r>
          </w:p>
        </w:tc>
        <w:tc>
          <w:tcPr>
            <w:tcW w:w="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46,054</w:t>
            </w:r>
          </w:p>
        </w:tc>
      </w:tr>
      <w:tr>
        <w:trPr>
          <w:trHeight w:val="167"/>
        </w:trPr>
        <w:tc>
          <w:tcPr>
            <w:tcW w:w="3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Retail properties................</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85,924</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105,247</w:t>
            </w:r>
          </w:p>
        </w:tc>
        <w:tc>
          <w:tcPr>
            <w:tcW w:w="4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21,230</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106,755</w:t>
            </w:r>
          </w:p>
        </w:tc>
        <w:tc>
          <w:tcPr>
            <w:tcW w:w="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138,590</w:t>
            </w:r>
          </w:p>
        </w:tc>
      </w:tr>
      <w:tr>
        <w:trPr>
          <w:trHeight w:val="167"/>
        </w:trPr>
        <w:tc>
          <w:tcPr>
            <w:tcW w:w="3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properties.................</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36,511</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87,148</w:t>
            </w:r>
          </w:p>
        </w:tc>
        <w:tc>
          <w:tcPr>
            <w:tcW w:w="4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173,310</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131,692</w:t>
            </w:r>
          </w:p>
        </w:tc>
        <w:tc>
          <w:tcPr>
            <w:tcW w:w="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79,073</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264,010</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365,274</w:t>
            </w:r>
          </w:p>
        </w:tc>
        <w:tc>
          <w:tcPr>
            <w:tcW w:w="4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449,010</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701,035</w:t>
            </w:r>
          </w:p>
        </w:tc>
        <w:tc>
          <w:tcPr>
            <w:tcW w:w="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465,801</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loans (1)....................</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17,188</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21,615</w:t>
            </w:r>
          </w:p>
        </w:tc>
        <w:tc>
          <w:tcPr>
            <w:tcW w:w="4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10,144</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1,865</w:t>
            </w:r>
          </w:p>
        </w:tc>
        <w:tc>
          <w:tcPr>
            <w:tcW w:w="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2,753</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676,672</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1,176,579</w:t>
            </w:r>
          </w:p>
        </w:tc>
        <w:tc>
          <w:tcPr>
            <w:tcW w:w="4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1,300,426</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1,795,019</w:t>
            </w:r>
          </w:p>
        </w:tc>
        <w:tc>
          <w:tcPr>
            <w:tcW w:w="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1,314,399</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Unaccreted discount: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Single family residential loans....</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(74,184)</w:t>
            </w:r>
          </w:p>
        </w:tc>
        <w:tc>
          <w:tcPr>
            <w:tcW w:w="4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(147,630)</w:t>
            </w:r>
          </w:p>
        </w:tc>
        <w:tc>
          <w:tcPr>
            <w:tcW w:w="4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(161,650)</w:t>
            </w:r>
          </w:p>
        </w:tc>
        <w:tc>
          <w:tcPr>
            <w:tcW w:w="4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(170,743)</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(92,167)</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Multi-family residential loans....</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(5,176)</w:t>
            </w:r>
          </w:p>
        </w:tc>
        <w:tc>
          <w:tcPr>
            <w:tcW w:w="4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(37,981)</w:t>
            </w:r>
          </w:p>
        </w:tc>
        <w:tc>
          <w:tcPr>
            <w:tcW w:w="4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(20,795)</w:t>
            </w:r>
          </w:p>
        </w:tc>
        <w:tc>
          <w:tcPr>
            <w:tcW w:w="4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(45,944)</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(71,817)</w:t>
            </w:r>
          </w:p>
        </w:tc>
      </w:tr>
      <w:tr>
        <w:trPr>
          <w:trHeight w:val="167"/>
        </w:trPr>
        <w:tc>
          <w:tcPr>
            <w:tcW w:w="3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Commercial real estate loans.......</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(40,413)</w:t>
            </w:r>
          </w:p>
        </w:tc>
        <w:tc>
          <w:tcPr>
            <w:tcW w:w="4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(57,604)</w:t>
            </w:r>
          </w:p>
        </w:tc>
        <w:tc>
          <w:tcPr>
            <w:tcW w:w="4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(69,747)</w:t>
            </w:r>
          </w:p>
        </w:tc>
        <w:tc>
          <w:tcPr>
            <w:tcW w:w="4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(120,457)</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(77,550)</w:t>
            </w:r>
          </w:p>
        </w:tc>
      </w:tr>
      <w:tr>
        <w:trPr>
          <w:trHeight w:val="167"/>
        </w:trPr>
        <w:tc>
          <w:tcPr>
            <w:tcW w:w="3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loans........................</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(954)</w:t>
            </w:r>
          </w:p>
        </w:tc>
        <w:tc>
          <w:tcPr>
            <w:tcW w:w="4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w:t>
            </w:r>
          </w:p>
        </w:tc>
        <w:tc>
          <w:tcPr>
            <w:tcW w:w="4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(374)</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(119,773)</w:t>
            </w:r>
          </w:p>
        </w:tc>
        <w:tc>
          <w:tcPr>
            <w:tcW w:w="4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(244,169)</w:t>
            </w:r>
          </w:p>
        </w:tc>
        <w:tc>
          <w:tcPr>
            <w:tcW w:w="4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(252,513)</w:t>
            </w:r>
          </w:p>
        </w:tc>
        <w:tc>
          <w:tcPr>
            <w:tcW w:w="4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(337,350)</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(241,908)</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556,899</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932,410</w:t>
            </w:r>
          </w:p>
        </w:tc>
        <w:tc>
          <w:tcPr>
            <w:tcW w:w="4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1,047,913</w:t>
            </w:r>
          </w:p>
        </w:tc>
        <w:tc>
          <w:tcPr>
            <w:tcW w:w="4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1,457,669</w:t>
            </w:r>
          </w:p>
        </w:tc>
        <w:tc>
          <w:tcPr>
            <w:tcW w:w="4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1,072,491</w:t>
            </w:r>
          </w:p>
        </w:tc>
      </w:tr>
      <w:tr>
        <w:trPr>
          <w:trHeight w:val="167"/>
        </w:trPr>
        <w:tc>
          <w:tcPr>
            <w:tcW w:w="3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Allowance for loan losses.............</w:t>
            </w:r>
          </w:p>
        </w:tc>
        <w:tc>
          <w:tcPr>
            <w:tcW w:w="6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(20,871)</w:t>
            </w:r>
          </w:p>
        </w:tc>
        <w:tc>
          <w:tcPr>
            <w:tcW w:w="4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(19,181)</w:t>
            </w:r>
          </w:p>
        </w:tc>
        <w:tc>
          <w:tcPr>
            <w:tcW w:w="4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(21,402)</w:t>
            </w:r>
          </w:p>
        </w:tc>
        <w:tc>
          <w:tcPr>
            <w:tcW w:w="4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(23,493)</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(11,538)</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536,028</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913,229</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1,026,511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1,434,176</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1,060,953</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right="4080" w:hanging="791"/>
        <w:spacing w:after="0" w:line="254" w:lineRule="auto"/>
        <w:tabs>
          <w:tab w:leader="none" w:pos="8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$17,188, $16,397 and $8,248 at December 31, 2000, 1999 and 1998, respectively, of charged-off unsecured credit card receivables which were acquired at a discount. Collections are accounted for under the cost recovery method.</w:t>
      </w:r>
    </w:p>
    <w:p>
      <w:pPr>
        <w:spacing w:after="0" w:line="200" w:lineRule="exact"/>
        <w:rPr>
          <w:sz w:val="20"/>
          <w:szCs w:val="20"/>
          <w:color w:val="auto"/>
        </w:rPr>
      </w:pPr>
    </w:p>
    <w:p>
      <w:pPr>
        <w:spacing w:after="0" w:line="297" w:lineRule="exact"/>
        <w:rPr>
          <w:sz w:val="20"/>
          <w:szCs w:val="20"/>
          <w:color w:val="auto"/>
        </w:rPr>
      </w:pPr>
    </w:p>
    <w:p>
      <w:pPr>
        <w:ind w:right="4160" w:firstLine="608"/>
        <w:spacing w:after="0" w:line="255" w:lineRule="auto"/>
        <w:rPr>
          <w:sz w:val="20"/>
          <w:szCs w:val="20"/>
          <w:color w:val="auto"/>
        </w:rPr>
      </w:pPr>
      <w:r>
        <w:rPr>
          <w:rFonts w:ascii="Courier New" w:cs="Courier New" w:eastAsia="Courier New" w:hAnsi="Courier New"/>
          <w:sz w:val="14"/>
          <w:szCs w:val="14"/>
          <w:color w:val="auto"/>
        </w:rPr>
        <w:t>Activity in the Discount Loan Portfolio. The following table sets forth the activity in the Company's net discount loan portfolio during the periods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20" w:type="dxa"/>
            <w:vAlign w:val="bottom"/>
            <w:gridSpan w:val="3"/>
          </w:tcPr>
          <w:p>
            <w:pPr>
              <w:jc w:val="right"/>
              <w:ind w:right="1068"/>
              <w:spacing w:after="0"/>
              <w:rPr>
                <w:sz w:val="20"/>
                <w:szCs w:val="20"/>
                <w:color w:val="auto"/>
              </w:rPr>
            </w:pPr>
            <w:r>
              <w:rPr>
                <w:rFonts w:ascii="Courier New" w:cs="Courier New" w:eastAsia="Courier New" w:hAnsi="Courier New"/>
                <w:sz w:val="14"/>
                <w:szCs w:val="14"/>
                <w:color w:val="auto"/>
              </w:rPr>
              <w:t>Year Ended December 31,</w:t>
            </w:r>
          </w:p>
        </w:tc>
        <w:tc>
          <w:tcPr>
            <w:tcW w:w="122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38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AMOUNT</w:t>
            </w: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3400" w:type="dxa"/>
            <w:vAlign w:val="bottom"/>
            <w:gridSpan w:val="3"/>
          </w:tcPr>
          <w:p>
            <w:pPr>
              <w:spacing w:after="0"/>
              <w:rPr>
                <w:sz w:val="20"/>
                <w:szCs w:val="20"/>
                <w:color w:val="auto"/>
              </w:rPr>
            </w:pPr>
            <w:r>
              <w:rPr>
                <w:rFonts w:ascii="Courier New" w:cs="Courier New" w:eastAsia="Courier New" w:hAnsi="Courier New"/>
                <w:sz w:val="14"/>
                <w:szCs w:val="14"/>
                <w:color w:val="auto"/>
                <w:w w:val="89"/>
              </w:rPr>
              <w:t>Balance at beginning of period...............</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913,229</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$ 1,026,511</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$ 1,434,176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$ 1,060,953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669,771</w:t>
            </w:r>
          </w:p>
        </w:tc>
      </w:tr>
      <w:tr>
        <w:trPr>
          <w:trHeight w:val="167"/>
        </w:trPr>
        <w:tc>
          <w:tcPr>
            <w:tcW w:w="3400" w:type="dxa"/>
            <w:vAlign w:val="bottom"/>
            <w:gridSpan w:val="3"/>
          </w:tcPr>
          <w:p>
            <w:pPr>
              <w:spacing w:after="0"/>
              <w:rPr>
                <w:sz w:val="20"/>
                <w:szCs w:val="20"/>
                <w:color w:val="auto"/>
              </w:rPr>
            </w:pPr>
            <w:r>
              <w:rPr>
                <w:rFonts w:ascii="Courier New" w:cs="Courier New" w:eastAsia="Courier New" w:hAnsi="Courier New"/>
                <w:sz w:val="14"/>
                <w:szCs w:val="14"/>
                <w:color w:val="auto"/>
              </w:rPr>
              <w:t>Acquisitions (1)(2)(3):</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70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Single</w:t>
            </w:r>
          </w:p>
        </w:tc>
        <w:tc>
          <w:tcPr>
            <w:tcW w:w="3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family residential loans...........</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164,920</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516,744</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613,201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1,061,967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365,516</w:t>
            </w:r>
          </w:p>
        </w:tc>
      </w:tr>
      <w:tr>
        <w:trPr>
          <w:trHeight w:val="167"/>
        </w:trPr>
        <w:tc>
          <w:tcPr>
            <w:tcW w:w="43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Multi-family residential loans.............</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21,378</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78,244</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231,130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57,707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310,423</w:t>
            </w:r>
          </w:p>
        </w:tc>
      </w:tr>
      <w:tr>
        <w:trPr>
          <w:trHeight w:val="167"/>
        </w:trPr>
        <w:tc>
          <w:tcPr>
            <w:tcW w:w="43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Commercial real estate loans...............</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25,612</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157,258</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264,697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656,904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433,492</w:t>
            </w:r>
          </w:p>
        </w:tc>
      </w:tr>
      <w:tr>
        <w:trPr>
          <w:trHeight w:val="167"/>
        </w:trPr>
        <w:tc>
          <w:tcPr>
            <w:tcW w:w="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w:t>
            </w:r>
          </w:p>
        </w:tc>
        <w:tc>
          <w:tcPr>
            <w:tcW w:w="3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(4)..................................</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10,030</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17,414</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14,699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1,456</w:t>
            </w:r>
          </w:p>
        </w:tc>
      </w:tr>
      <w:tr>
        <w:trPr>
          <w:trHeight w:val="167"/>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221,940</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769,660</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1,123,727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1,776,773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1,110,887</w:t>
            </w:r>
          </w:p>
        </w:tc>
      </w:tr>
      <w:tr>
        <w:trPr>
          <w:trHeight w:val="167"/>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gridSpan w:val="4"/>
          </w:tcPr>
          <w:p>
            <w:pPr>
              <w:spacing w:after="0"/>
              <w:rPr>
                <w:sz w:val="20"/>
                <w:szCs w:val="20"/>
                <w:color w:val="auto"/>
              </w:rPr>
            </w:pPr>
            <w:r>
              <w:rPr>
                <w:rFonts w:ascii="Courier New" w:cs="Courier New" w:eastAsia="Courier New" w:hAnsi="Courier New"/>
                <w:sz w:val="14"/>
                <w:szCs w:val="14"/>
                <w:color w:val="auto"/>
              </w:rPr>
              <w:t>Resolutions and repayments (5)...............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(216,480)</w:t>
            </w:r>
          </w:p>
        </w:tc>
        <w:tc>
          <w:tcPr>
            <w:tcW w:w="2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(372,442)</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(539,353)</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(484,869)</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(371,228)</w:t>
            </w:r>
          </w:p>
        </w:tc>
      </w:tr>
      <w:tr>
        <w:trPr>
          <w:trHeight w:val="167"/>
        </w:trPr>
        <w:tc>
          <w:tcPr>
            <w:tcW w:w="4340" w:type="dxa"/>
            <w:vAlign w:val="bottom"/>
            <w:gridSpan w:val="4"/>
          </w:tcPr>
          <w:p>
            <w:pPr>
              <w:spacing w:after="0"/>
              <w:rPr>
                <w:sz w:val="20"/>
                <w:szCs w:val="20"/>
                <w:color w:val="auto"/>
              </w:rPr>
            </w:pPr>
            <w:r>
              <w:rPr>
                <w:rFonts w:ascii="Courier New" w:cs="Courier New" w:eastAsia="Courier New" w:hAnsi="Courier New"/>
                <w:sz w:val="14"/>
                <w:szCs w:val="14"/>
                <w:color w:val="auto"/>
              </w:rPr>
              <w:t>Loans transferred to real estate owned.......</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(193,469)</w:t>
            </w:r>
          </w:p>
        </w:tc>
        <w:tc>
          <w:tcPr>
            <w:tcW w:w="2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(203,043)</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(382,904)</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(292,412)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(138,543)</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382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(311,897)</w:t>
            </w:r>
          </w:p>
        </w:tc>
        <w:tc>
          <w:tcPr>
            <w:tcW w:w="2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(318,022)</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(696,063)</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(518,872)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(230,246)</w:t>
            </w:r>
          </w:p>
        </w:tc>
      </w:tr>
      <w:tr>
        <w:trPr>
          <w:trHeight w:val="167"/>
        </w:trPr>
        <w:tc>
          <w:tcPr>
            <w:tcW w:w="4340" w:type="dxa"/>
            <w:vAlign w:val="bottom"/>
            <w:gridSpan w:val="4"/>
          </w:tcPr>
          <w:p>
            <w:pPr>
              <w:spacing w:after="0"/>
              <w:rPr>
                <w:sz w:val="20"/>
                <w:szCs w:val="20"/>
                <w:color w:val="auto"/>
              </w:rPr>
            </w:pPr>
            <w:r>
              <w:rPr>
                <w:rFonts w:ascii="Courier New" w:cs="Courier New" w:eastAsia="Courier New" w:hAnsi="Courier New"/>
                <w:sz w:val="14"/>
                <w:szCs w:val="14"/>
                <w:color w:val="auto"/>
              </w:rPr>
              <w:t>Decrease (increase) in discount..............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124,395</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8,344</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84,837</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(95,442)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31,850</w:t>
            </w:r>
          </w:p>
        </w:tc>
      </w:tr>
      <w:tr>
        <w:trPr>
          <w:trHeight w:val="167"/>
        </w:trPr>
        <w:tc>
          <w:tcPr>
            <w:tcW w:w="4340" w:type="dxa"/>
            <w:vAlign w:val="bottom"/>
            <w:gridSpan w:val="4"/>
          </w:tcPr>
          <w:p>
            <w:pPr>
              <w:spacing w:after="0"/>
              <w:rPr>
                <w:sz w:val="20"/>
                <w:szCs w:val="20"/>
                <w:color w:val="auto"/>
              </w:rPr>
            </w:pPr>
            <w:r>
              <w:rPr>
                <w:rFonts w:ascii="Courier New" w:cs="Courier New" w:eastAsia="Courier New" w:hAnsi="Courier New"/>
                <w:sz w:val="14"/>
                <w:szCs w:val="14"/>
                <w:color w:val="auto"/>
              </w:rPr>
              <w:t>(Increase) decrease  in allowance............</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(1,690)</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2,221</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(11,955)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(11,538)</w:t>
            </w:r>
          </w:p>
        </w:tc>
      </w:tr>
      <w:tr>
        <w:trPr>
          <w:trHeight w:val="167"/>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gridSpan w:val="3"/>
          </w:tcPr>
          <w:p>
            <w:pPr>
              <w:spacing w:after="0"/>
              <w:rPr>
                <w:sz w:val="20"/>
                <w:szCs w:val="20"/>
                <w:color w:val="auto"/>
              </w:rPr>
            </w:pPr>
            <w:r>
              <w:rPr>
                <w:rFonts w:ascii="Courier New" w:cs="Courier New" w:eastAsia="Courier New" w:hAnsi="Courier New"/>
                <w:sz w:val="14"/>
                <w:szCs w:val="14"/>
                <w:color w:val="auto"/>
                <w:w w:val="89"/>
              </w:rPr>
              <w:t>Balance at end of period.....................</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536,028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913,229</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$ 1,026,511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$ 1,434,176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$ 1,060,953</w:t>
            </w:r>
          </w:p>
        </w:tc>
      </w:tr>
      <w:tr>
        <w:trPr>
          <w:trHeight w:val="167"/>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4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83"/>
              </w:rPr>
              <w:t>41</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940"/>
          </w:cols>
          <w:pgMar w:left="220" w:top="453" w:right="739" w:bottom="1440" w:gutter="0" w:footer="0" w:header="0"/>
        </w:sectPr>
      </w:pPr>
    </w:p>
    <w:bookmarkStart w:id="68" w:name="page69"/>
    <w:bookmarkEnd w:id="68"/>
    <w:p>
      <w:pPr>
        <w:ind w:right="434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70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1998</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NUMBER OF LOANS</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Balance at beginning of period...............</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8,064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8,100</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12,980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5,460</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4,543</w:t>
            </w:r>
          </w:p>
        </w:tc>
      </w:tr>
      <w:tr>
        <w:trPr>
          <w:trHeight w:val="167"/>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Acquisitions (2)(3):</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Single</w:t>
            </w:r>
          </w:p>
        </w:tc>
        <w:tc>
          <w:tcPr>
            <w:tcW w:w="3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family residential loans.............</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6,606</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7,779</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17,154</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4,086</w:t>
            </w:r>
          </w:p>
        </w:tc>
      </w:tr>
      <w:tr>
        <w:trPr>
          <w:trHeight w:val="167"/>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Multi-family residential loans...............</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w:t>
            </w:r>
          </w:p>
        </w:tc>
      </w:tr>
      <w:tr>
        <w:trPr>
          <w:trHeight w:val="167"/>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Commercial real estate loans.................</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205</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354</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496</w:t>
            </w:r>
          </w:p>
        </w:tc>
      </w:tr>
      <w:tr>
        <w:trPr>
          <w:trHeight w:val="167"/>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167"/>
        </w:trPr>
        <w:tc>
          <w:tcPr>
            <w:tcW w:w="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6,848</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8,084</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17,703</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4,812</w:t>
            </w:r>
          </w:p>
        </w:tc>
      </w:tr>
      <w:tr>
        <w:trPr>
          <w:trHeight w:val="167"/>
        </w:trPr>
        <w:tc>
          <w:tcPr>
            <w:tcW w:w="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Resolutions and repayments (5)...............</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(1,467)</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(1,241)</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(1,918)</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(2,355)</w:t>
            </w:r>
          </w:p>
        </w:tc>
      </w:tr>
      <w:tr>
        <w:trPr>
          <w:trHeight w:val="167"/>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Loans transferred to real estate owned.......</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(2,367)</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(3,193)</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(860)</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3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(2,407)</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(3,276)</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(7,853)</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(6,609)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(680)</w:t>
            </w:r>
          </w:p>
        </w:tc>
      </w:tr>
      <w:tr>
        <w:trPr>
          <w:trHeight w:val="167"/>
        </w:trPr>
        <w:tc>
          <w:tcPr>
            <w:tcW w:w="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Balance at end of period.....................</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8,064</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12,980</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5,460</w:t>
            </w:r>
          </w:p>
        </w:tc>
      </w:tr>
      <w:tr>
        <w:trPr>
          <w:trHeight w:val="167"/>
        </w:trPr>
        <w:tc>
          <w:tcPr>
            <w:tcW w:w="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right="4080" w:hanging="791"/>
        <w:spacing w:after="0" w:line="255" w:lineRule="auto"/>
        <w:tabs>
          <w:tab w:leader="none" w:pos="8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exclude certain commercial and multi-family loans which are accounted for as investments in real estate. See "Changes in Financial Condition - Investments in Real Estate."</w:t>
      </w:r>
    </w:p>
    <w:p>
      <w:pPr>
        <w:spacing w:after="0" w:line="162" w:lineRule="exact"/>
        <w:rPr>
          <w:rFonts w:ascii="Courier New" w:cs="Courier New" w:eastAsia="Courier New" w:hAnsi="Courier New"/>
          <w:sz w:val="14"/>
          <w:szCs w:val="14"/>
          <w:color w:val="auto"/>
        </w:rPr>
      </w:pPr>
    </w:p>
    <w:p>
      <w:pPr>
        <w:ind w:left="800" w:right="3920" w:hanging="791"/>
        <w:spacing w:after="0" w:line="254" w:lineRule="auto"/>
        <w:tabs>
          <w:tab w:leader="none" w:pos="8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acquisitions during 2000, 1999 and 1998 is due not only to a decline in the volume of non-performing loans brought to the market as a result of the strength of the domestic economy but also to the Company's strategic decision to move from reliance on capital-intensive businesses toward more fee-based businesses.</w:t>
      </w:r>
    </w:p>
    <w:p>
      <w:pPr>
        <w:spacing w:after="0" w:line="162" w:lineRule="exact"/>
        <w:rPr>
          <w:rFonts w:ascii="Courier New" w:cs="Courier New" w:eastAsia="Courier New" w:hAnsi="Courier New"/>
          <w:sz w:val="14"/>
          <w:szCs w:val="14"/>
          <w:color w:val="auto"/>
        </w:rPr>
      </w:pPr>
    </w:p>
    <w:p>
      <w:pPr>
        <w:ind w:left="800" w:right="4440" w:hanging="791"/>
        <w:spacing w:after="0" w:line="258" w:lineRule="auto"/>
        <w:tabs>
          <w:tab w:leader="none" w:pos="8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1996 data do not include the Company's pro rata share of the $741,176 of discount loans acquired by the LLC.</w:t>
      </w:r>
    </w:p>
    <w:p>
      <w:pPr>
        <w:spacing w:after="0" w:line="159" w:lineRule="exact"/>
        <w:rPr>
          <w:rFonts w:ascii="Courier New" w:cs="Courier New" w:eastAsia="Courier New" w:hAnsi="Courier New"/>
          <w:sz w:val="14"/>
          <w:szCs w:val="14"/>
          <w:color w:val="auto"/>
        </w:rPr>
      </w:pPr>
    </w:p>
    <w:p>
      <w:pPr>
        <w:ind w:left="800" w:right="4080" w:hanging="791"/>
        <w:spacing w:after="0" w:line="255" w:lineRule="auto"/>
        <w:tabs>
          <w:tab w:leader="none" w:pos="8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of other discount loans during 2000, 1999 and 1998 consisted primarily of charged-off unsecured credit card receivables acquired at a discount.</w:t>
      </w:r>
    </w:p>
    <w:p>
      <w:pPr>
        <w:spacing w:after="0" w:line="162" w:lineRule="exact"/>
        <w:rPr>
          <w:rFonts w:ascii="Courier New" w:cs="Courier New" w:eastAsia="Courier New" w:hAnsi="Courier New"/>
          <w:sz w:val="14"/>
          <w:szCs w:val="14"/>
          <w:color w:val="auto"/>
        </w:rPr>
      </w:pPr>
    </w:p>
    <w:p>
      <w:pPr>
        <w:ind w:left="800" w:right="3820" w:hanging="791"/>
        <w:spacing w:after="0" w:line="253" w:lineRule="auto"/>
        <w:tabs>
          <w:tab w:leader="none" w:pos="8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Resolutions and repayments consists of loans which were resolved in a manner which resulted in partial or full repayment of the loan to the Company, as well as principal payments on loans which have been brought current in accordance with their original or modified terms (whether pursuant to forbearance agreements or otherwise) or on other loans which have not been resolved.</w:t>
      </w:r>
    </w:p>
    <w:p>
      <w:pPr>
        <w:spacing w:after="0" w:line="165" w:lineRule="exact"/>
        <w:rPr>
          <w:rFonts w:ascii="Courier New" w:cs="Courier New" w:eastAsia="Courier New" w:hAnsi="Courier New"/>
          <w:sz w:val="14"/>
          <w:szCs w:val="14"/>
          <w:color w:val="auto"/>
        </w:rPr>
      </w:pPr>
    </w:p>
    <w:p>
      <w:pPr>
        <w:ind w:left="800" w:right="3920" w:hanging="791"/>
        <w:spacing w:after="0" w:line="255" w:lineRule="auto"/>
        <w:tabs>
          <w:tab w:leader="none" w:pos="8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securitizations of performing single family discount loans in 1999, 1998, 1997 and 1996. See "Results of Operations - Non-interest Income."</w:t>
      </w:r>
    </w:p>
    <w:p>
      <w:pPr>
        <w:spacing w:after="0" w:line="200" w:lineRule="exact"/>
        <w:rPr>
          <w:sz w:val="20"/>
          <w:szCs w:val="20"/>
          <w:color w:val="auto"/>
        </w:rPr>
      </w:pPr>
    </w:p>
    <w:p>
      <w:pPr>
        <w:spacing w:after="0" w:line="296" w:lineRule="exact"/>
        <w:rPr>
          <w:sz w:val="20"/>
          <w:szCs w:val="20"/>
          <w:color w:val="auto"/>
        </w:rPr>
      </w:pPr>
    </w:p>
    <w:p>
      <w:pPr>
        <w:ind w:right="3820" w:firstLine="608"/>
        <w:spacing w:after="0" w:line="255" w:lineRule="auto"/>
        <w:rPr>
          <w:sz w:val="20"/>
          <w:szCs w:val="20"/>
          <w:color w:val="auto"/>
        </w:rPr>
      </w:pPr>
      <w:r>
        <w:rPr>
          <w:rFonts w:ascii="Courier New" w:cs="Courier New" w:eastAsia="Courier New" w:hAnsi="Courier New"/>
          <w:sz w:val="14"/>
          <w:szCs w:val="14"/>
          <w:color w:val="auto"/>
        </w:rPr>
        <w:t>Payment Status of Discount Loans. The following table sets forth certain information relating to the contractual payment status of loans in the Company's discount loan portfolio at the dates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920" w:type="dxa"/>
            <w:vAlign w:val="bottom"/>
          </w:tcPr>
          <w:p>
            <w:pPr>
              <w:spacing w:after="0"/>
              <w:rPr>
                <w:sz w:val="14"/>
                <w:szCs w:val="14"/>
                <w:color w:val="auto"/>
              </w:rPr>
            </w:pPr>
          </w:p>
        </w:tc>
        <w:tc>
          <w:tcPr>
            <w:tcW w:w="668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2000</w:t>
            </w:r>
          </w:p>
        </w:tc>
        <w:tc>
          <w:tcPr>
            <w:tcW w:w="340" w:type="dxa"/>
            <w:vAlign w:val="bottom"/>
          </w:tcPr>
          <w:p>
            <w:pPr>
              <w:spacing w:after="0"/>
              <w:rPr>
                <w:sz w:val="14"/>
                <w:szCs w:val="14"/>
                <w:color w:val="auto"/>
              </w:rPr>
            </w:pPr>
          </w:p>
        </w:tc>
        <w:tc>
          <w:tcPr>
            <w:tcW w:w="10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30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39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PRINCIPAL BALANCE</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Loans without Forbearance Agreements:</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Current...................................</w:t>
            </w:r>
          </w:p>
        </w:tc>
        <w:tc>
          <w:tcPr>
            <w:tcW w:w="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295,616</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509,845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578,269</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670,115</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572,043</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Past due 31 days to 89 days...............</w:t>
            </w:r>
          </w:p>
        </w:tc>
        <w:tc>
          <w:tcPr>
            <w:tcW w:w="5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6,295</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23,438</w:t>
            </w:r>
          </w:p>
        </w:tc>
        <w:tc>
          <w:tcPr>
            <w:tcW w:w="2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35,555</w:t>
            </w:r>
          </w:p>
        </w:tc>
        <w:tc>
          <w:tcPr>
            <w:tcW w:w="3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21,098</w:t>
            </w: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19,458</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Past due 90 days or more..................</w:t>
            </w:r>
          </w:p>
        </w:tc>
        <w:tc>
          <w:tcPr>
            <w:tcW w:w="5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295,226</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448,312</w:t>
            </w:r>
          </w:p>
        </w:tc>
        <w:tc>
          <w:tcPr>
            <w:tcW w:w="2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509,838</w:t>
            </w:r>
          </w:p>
        </w:tc>
        <w:tc>
          <w:tcPr>
            <w:tcW w:w="3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638,319</w:t>
            </w: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506,113</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Acquired and servicing not yet transferred</w:t>
            </w:r>
          </w:p>
        </w:tc>
        <w:tc>
          <w:tcPr>
            <w:tcW w:w="5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87,538</w:t>
            </w:r>
          </w:p>
        </w:tc>
        <w:tc>
          <w:tcPr>
            <w:tcW w:w="2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57,048</w:t>
            </w:r>
          </w:p>
        </w:tc>
        <w:tc>
          <w:tcPr>
            <w:tcW w:w="3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28,053</w:t>
            </w: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149,564</w:t>
            </w:r>
          </w:p>
        </w:tc>
      </w:tr>
      <w:tr>
        <w:trPr>
          <w:trHeight w:val="167"/>
        </w:trPr>
        <w:tc>
          <w:tcPr>
            <w:tcW w:w="39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597,137</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1,069,133</w:t>
            </w:r>
          </w:p>
        </w:tc>
        <w:tc>
          <w:tcPr>
            <w:tcW w:w="2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1,180,710</w:t>
            </w:r>
          </w:p>
        </w:tc>
        <w:tc>
          <w:tcPr>
            <w:tcW w:w="3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1,357,585</w:t>
            </w: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1,247,178</w:t>
            </w:r>
          </w:p>
        </w:tc>
      </w:tr>
      <w:tr>
        <w:trPr>
          <w:trHeight w:val="167"/>
        </w:trPr>
        <w:tc>
          <w:tcPr>
            <w:tcW w:w="39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Loans with Forbearance Agreements:</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Current...................................</w:t>
            </w:r>
          </w:p>
        </w:tc>
        <w:tc>
          <w:tcPr>
            <w:tcW w:w="5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3,888</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2,958</w:t>
            </w:r>
          </w:p>
        </w:tc>
        <w:tc>
          <w:tcPr>
            <w:tcW w:w="2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1,180</w:t>
            </w:r>
          </w:p>
        </w:tc>
        <w:tc>
          <w:tcPr>
            <w:tcW w:w="3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3,140</w:t>
            </w: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7,554</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Past due 31 days to 89 days...............</w:t>
            </w:r>
          </w:p>
        </w:tc>
        <w:tc>
          <w:tcPr>
            <w:tcW w:w="5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2,090</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8,904</w:t>
            </w:r>
          </w:p>
        </w:tc>
        <w:tc>
          <w:tcPr>
            <w:tcW w:w="2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4,046</w:t>
            </w:r>
          </w:p>
        </w:tc>
        <w:tc>
          <w:tcPr>
            <w:tcW w:w="3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1,688</w:t>
            </w: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2,703</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Past due 90 days or more (1)..............</w:t>
            </w:r>
          </w:p>
        </w:tc>
        <w:tc>
          <w:tcPr>
            <w:tcW w:w="5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73,557</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95,584</w:t>
            </w:r>
          </w:p>
        </w:tc>
        <w:tc>
          <w:tcPr>
            <w:tcW w:w="2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114,490</w:t>
            </w:r>
          </w:p>
        </w:tc>
        <w:tc>
          <w:tcPr>
            <w:tcW w:w="3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432,606</w:t>
            </w: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56,964</w:t>
            </w:r>
          </w:p>
        </w:tc>
      </w:tr>
      <w:tr>
        <w:trPr>
          <w:trHeight w:val="167"/>
        </w:trPr>
        <w:tc>
          <w:tcPr>
            <w:tcW w:w="39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79,535</w:t>
            </w: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107,446</w:t>
            </w:r>
          </w:p>
        </w:tc>
        <w:tc>
          <w:tcPr>
            <w:tcW w:w="2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119,716</w:t>
            </w:r>
          </w:p>
        </w:tc>
        <w:tc>
          <w:tcPr>
            <w:tcW w:w="3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437,434</w:t>
            </w: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67,221</w:t>
            </w:r>
          </w:p>
        </w:tc>
      </w:tr>
      <w:tr>
        <w:trPr>
          <w:trHeight w:val="167"/>
        </w:trPr>
        <w:tc>
          <w:tcPr>
            <w:tcW w:w="39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14"/>
                <w:szCs w:val="14"/>
                <w:color w:val="auto"/>
              </w:rPr>
            </w:pPr>
          </w:p>
        </w:tc>
        <w:tc>
          <w:tcPr>
            <w:tcW w:w="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676,672</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1,176,579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1,300,426</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1,795,019</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1,314,399</w:t>
            </w:r>
          </w:p>
        </w:tc>
      </w:tr>
      <w:tr>
        <w:trPr>
          <w:trHeight w:val="167"/>
        </w:trPr>
        <w:tc>
          <w:tcPr>
            <w:tcW w:w="39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right="4000" w:hanging="791"/>
        <w:spacing w:after="0" w:line="255" w:lineRule="auto"/>
        <w:tabs>
          <w:tab w:leader="none" w:pos="8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loans with forbearance agreements that are contractually past due 90 days or more, the following table indicates the payment status of the loans under the terms of their forbearance agreements: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780"/>
          </w:cols>
          <w:pgMar w:left="220" w:top="453" w:right="899" w:bottom="0" w:gutter="0" w:footer="0" w:header="0"/>
        </w:sectPr>
      </w:pPr>
    </w:p>
    <w:bookmarkStart w:id="69" w:name="page70"/>
    <w:bookmarkEnd w:id="69"/>
    <w:p>
      <w:pPr>
        <w:ind w:right="416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31,</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960" w:type="dxa"/>
            <w:vAlign w:val="bottom"/>
          </w:tcPr>
          <w:p>
            <w:pPr>
              <w:spacing w:after="0"/>
              <w:rPr>
                <w:sz w:val="14"/>
                <w:szCs w:val="14"/>
                <w:color w:val="auto"/>
              </w:rPr>
            </w:pPr>
          </w:p>
        </w:tc>
        <w:tc>
          <w:tcPr>
            <w:tcW w:w="66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396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50,719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67,897</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77,893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184,526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17,808</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Past due 31 to 89 days......................</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2,278</w:t>
            </w:r>
          </w:p>
        </w:tc>
        <w:tc>
          <w:tcPr>
            <w:tcW w:w="2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27,321</w:t>
            </w:r>
          </w:p>
        </w:tc>
        <w:tc>
          <w:tcPr>
            <w:tcW w:w="26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32,179</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131,821</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15,025</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Past due 90 days or more....................</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20,560</w:t>
            </w:r>
          </w:p>
        </w:tc>
        <w:tc>
          <w:tcPr>
            <w:tcW w:w="2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366</w:t>
            </w:r>
          </w:p>
        </w:tc>
        <w:tc>
          <w:tcPr>
            <w:tcW w:w="26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4,418</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116,259</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24,131</w:t>
            </w:r>
          </w:p>
        </w:tc>
      </w:tr>
      <w:tr>
        <w:trPr>
          <w:trHeight w:val="167"/>
        </w:trPr>
        <w:tc>
          <w:tcPr>
            <w:tcW w:w="396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73,557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95,584</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114,490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432,606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56,964</w:t>
            </w:r>
          </w:p>
        </w:tc>
      </w:tr>
      <w:tr>
        <w:trPr>
          <w:trHeight w:val="167"/>
        </w:trPr>
        <w:tc>
          <w:tcPr>
            <w:tcW w:w="396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835"/>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31,</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20" w:type="dxa"/>
            <w:vAlign w:val="bottom"/>
            <w:gridSpan w:val="9"/>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PERCENTAGE OF LOANS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Loans without Forbearance Agreements: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Current..................................</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43.69%</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43.33%</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44.47%</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37.33%</w:t>
            </w:r>
          </w:p>
        </w:tc>
        <w:tc>
          <w:tcPr>
            <w:tcW w:w="2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43.52%</w:t>
            </w:r>
          </w:p>
        </w:tc>
      </w:tr>
      <w:tr>
        <w:trPr>
          <w:trHeight w:val="167"/>
        </w:trPr>
        <w:tc>
          <w:tcPr>
            <w:tcW w:w="3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Past due 31 days to 89 days...............</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0.93</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2.73</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w:t>
            </w:r>
          </w:p>
        </w:tc>
      </w:tr>
      <w:tr>
        <w:trPr>
          <w:trHeight w:val="167"/>
        </w:trPr>
        <w:tc>
          <w:tcPr>
            <w:tcW w:w="3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Past due 90 days or more..................</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43.63</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38.10</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39.21</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35.56</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38.51</w:t>
            </w:r>
          </w:p>
        </w:tc>
      </w:tr>
      <w:tr>
        <w:trPr>
          <w:trHeight w:val="167"/>
        </w:trPr>
        <w:tc>
          <w:tcPr>
            <w:tcW w:w="3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Acquired and servicing not yet transferred</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7.44</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4.39</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11.38</w:t>
            </w:r>
          </w:p>
        </w:tc>
      </w:tr>
      <w:tr>
        <w:trPr>
          <w:trHeight w:val="167"/>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88.25</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90.86</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90.80</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75.63</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94.89</w:t>
            </w:r>
          </w:p>
        </w:tc>
      </w:tr>
      <w:tr>
        <w:trPr>
          <w:trHeight w:val="167"/>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Loans with Forbearance Agreements: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Current...................................</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0.57</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0.25</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0.09</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0.18</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Past due 31 days to 89 days...............</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0.31</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0.76</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0.31</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0.09</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0.21</w:t>
            </w:r>
          </w:p>
        </w:tc>
      </w:tr>
      <w:tr>
        <w:trPr>
          <w:trHeight w:val="167"/>
        </w:trPr>
        <w:tc>
          <w:tcPr>
            <w:tcW w:w="3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Past due 90 days or more..................</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10.87</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8.13</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8.80</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24.10</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4.33</w:t>
            </w:r>
          </w:p>
        </w:tc>
      </w:tr>
      <w:tr>
        <w:trPr>
          <w:trHeight w:val="167"/>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11.75</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9.14</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9.20</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24.37</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5.11</w:t>
            </w:r>
          </w:p>
        </w:tc>
      </w:tr>
      <w:tr>
        <w:trPr>
          <w:trHeight w:val="167"/>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w:t>
            </w:r>
          </w:p>
        </w:tc>
        <w:tc>
          <w:tcPr>
            <w:tcW w:w="2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table sets forth certain information relating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allowance for loan losses on discount loans at the dates indicated: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31,</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40" w:type="dxa"/>
            <w:vAlign w:val="bottom"/>
          </w:tcPr>
          <w:p>
            <w:pPr>
              <w:spacing w:after="0"/>
              <w:rPr>
                <w:sz w:val="14"/>
                <w:szCs w:val="14"/>
                <w:color w:val="auto"/>
              </w:rPr>
            </w:pPr>
          </w:p>
        </w:tc>
        <w:tc>
          <w:tcPr>
            <w:tcW w:w="638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1999</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04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Allowance for loan losses as a percentage of:</w:t>
            </w: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Total loans (1)...........................</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3.75%</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2.06%</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2.04%</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1.61%</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1.08%</w:t>
            </w: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0.93%</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0.58%</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0.65%</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0.77%</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0.46%</w:t>
            </w:r>
          </w:p>
        </w:tc>
      </w:tr>
    </w:tbl>
    <w:p>
      <w:pPr>
        <w:spacing w:after="0" w:line="338" w:lineRule="exact"/>
        <w:rPr>
          <w:sz w:val="20"/>
          <w:szCs w:val="20"/>
          <w:color w:val="auto"/>
        </w:rPr>
      </w:pPr>
    </w:p>
    <w:p>
      <w:pPr>
        <w:ind w:left="800" w:hanging="791"/>
        <w:spacing w:after="0"/>
        <w:tabs>
          <w:tab w:leader="none" w:pos="8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loans are net of unaccreted discount.</w:t>
      </w:r>
    </w:p>
    <w:p>
      <w:pPr>
        <w:spacing w:after="0" w:line="200" w:lineRule="exact"/>
        <w:rPr>
          <w:sz w:val="20"/>
          <w:szCs w:val="20"/>
          <w:color w:val="auto"/>
        </w:rPr>
      </w:pPr>
    </w:p>
    <w:p>
      <w:pPr>
        <w:spacing w:after="0" w:line="309" w:lineRule="exact"/>
        <w:rPr>
          <w:sz w:val="20"/>
          <w:szCs w:val="20"/>
          <w:color w:val="auto"/>
        </w:rPr>
      </w:pPr>
    </w:p>
    <w:p>
      <w:pPr>
        <w:ind w:right="4520" w:firstLine="781"/>
        <w:spacing w:after="0" w:line="258" w:lineRule="auto"/>
        <w:rPr>
          <w:sz w:val="20"/>
          <w:szCs w:val="20"/>
          <w:color w:val="auto"/>
        </w:rPr>
      </w:pPr>
      <w:r>
        <w:rPr>
          <w:rFonts w:ascii="Courier New" w:cs="Courier New" w:eastAsia="Courier New" w:hAnsi="Courier New"/>
          <w:sz w:val="14"/>
          <w:szCs w:val="14"/>
          <w:color w:val="auto"/>
        </w:rPr>
        <w:t>See Note 8 to the Consolidated Financial Statements (which is incorporated herein by reference).</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600"/>
          </w:cols>
          <w:pgMar w:left="220" w:top="453" w:right="107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2"/>
        </w:trPr>
        <w:tc>
          <w:tcPr>
            <w:tcW w:w="5180" w:type="dxa"/>
            <w:vAlign w:val="bottom"/>
            <w:gridSpan w:val="3"/>
          </w:tcPr>
          <w:p>
            <w:pPr>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and Results of</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180" w:type="dxa"/>
            <w:vAlign w:val="bottom"/>
            <w:gridSpan w:val="3"/>
          </w:tcPr>
          <w:p>
            <w:pPr>
              <w:spacing w:after="0"/>
              <w:rPr>
                <w:sz w:val="20"/>
                <w:szCs w:val="20"/>
                <w:color w:val="auto"/>
              </w:rPr>
            </w:pPr>
            <w:r>
              <w:rPr>
                <w:rFonts w:ascii="Courier New" w:cs="Courier New" w:eastAsia="Courier New" w:hAnsi="Courier New"/>
                <w:sz w:val="14"/>
                <w:szCs w:val="14"/>
                <w:color w:val="auto"/>
              </w:rPr>
              <w:t>Operations. (Dollars in thousands, except share data)</w:t>
            </w: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16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69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ALLOWANCES FOR LOAN LOSSES. The Company maintains an allowance for loan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180" w:type="dxa"/>
            <w:vAlign w:val="bottom"/>
            <w:gridSpan w:val="3"/>
          </w:tcPr>
          <w:p>
            <w:pPr>
              <w:spacing w:after="0"/>
              <w:rPr>
                <w:sz w:val="20"/>
                <w:szCs w:val="20"/>
                <w:color w:val="auto"/>
              </w:rPr>
            </w:pPr>
            <w:r>
              <w:rPr>
                <w:rFonts w:ascii="Courier New" w:cs="Courier New" w:eastAsia="Courier New" w:hAnsi="Courier New"/>
                <w:sz w:val="14"/>
                <w:szCs w:val="14"/>
                <w:color w:val="auto"/>
              </w:rPr>
              <w:t>losses for each of its loan, discount loan and match funded</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loan portfolios at a</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gridSpan w:val="5"/>
          </w:tcPr>
          <w:p>
            <w:pPr>
              <w:spacing w:after="0"/>
              <w:rPr>
                <w:sz w:val="20"/>
                <w:szCs w:val="20"/>
                <w:color w:val="auto"/>
              </w:rPr>
            </w:pPr>
            <w:r>
              <w:rPr>
                <w:rFonts w:ascii="Courier New" w:cs="Courier New" w:eastAsia="Courier New" w:hAnsi="Courier New"/>
                <w:sz w:val="14"/>
                <w:szCs w:val="14"/>
                <w:color w:val="auto"/>
              </w:rPr>
              <w:t>level which management considers adequate to provide for probable losses in each</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gridSpan w:val="5"/>
          </w:tcPr>
          <w:p>
            <w:pPr>
              <w:spacing w:after="0"/>
              <w:rPr>
                <w:sz w:val="20"/>
                <w:szCs w:val="20"/>
                <w:color w:val="auto"/>
              </w:rPr>
            </w:pPr>
            <w:r>
              <w:rPr>
                <w:rFonts w:ascii="Courier New" w:cs="Courier New" w:eastAsia="Courier New" w:hAnsi="Courier New"/>
                <w:sz w:val="14"/>
                <w:szCs w:val="14"/>
                <w:color w:val="auto"/>
              </w:rPr>
              <w:t>portfolio based upon an evaluation of known and inherent risks in such</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gridSpan w:val="5"/>
          </w:tcPr>
          <w:p>
            <w:pPr>
              <w:spacing w:after="0"/>
              <w:rPr>
                <w:sz w:val="20"/>
                <w:szCs w:val="20"/>
                <w:color w:val="auto"/>
              </w:rPr>
            </w:pPr>
            <w:r>
              <w:rPr>
                <w:rFonts w:ascii="Courier New" w:cs="Courier New" w:eastAsia="Courier New" w:hAnsi="Courier New"/>
                <w:sz w:val="14"/>
                <w:szCs w:val="14"/>
                <w:color w:val="auto"/>
              </w:rPr>
              <w:t>portfolios. The following tables set forth (a) the breakdown of the allowance</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gridSpan w:val="5"/>
          </w:tcPr>
          <w:p>
            <w:pPr>
              <w:spacing w:after="0"/>
              <w:rPr>
                <w:sz w:val="20"/>
                <w:szCs w:val="20"/>
                <w:color w:val="auto"/>
              </w:rPr>
            </w:pPr>
            <w:r>
              <w:rPr>
                <w:rFonts w:ascii="Courier New" w:cs="Courier New" w:eastAsia="Courier New" w:hAnsi="Courier New"/>
                <w:sz w:val="14"/>
                <w:szCs w:val="14"/>
                <w:color w:val="auto"/>
              </w:rPr>
              <w:t>for loan losses on the Company's loan portfolio, discount loan portfolio and</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gridSpan w:val="5"/>
          </w:tcPr>
          <w:p>
            <w:pPr>
              <w:spacing w:after="0"/>
              <w:rPr>
                <w:sz w:val="20"/>
                <w:szCs w:val="20"/>
                <w:color w:val="auto"/>
              </w:rPr>
            </w:pPr>
            <w:r>
              <w:rPr>
                <w:rFonts w:ascii="Courier New" w:cs="Courier New" w:eastAsia="Courier New" w:hAnsi="Courier New"/>
                <w:sz w:val="14"/>
                <w:szCs w:val="14"/>
                <w:color w:val="auto"/>
              </w:rPr>
              <w:t>match funded loan portfolios by loan category and (b) the percentage of loans in</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gridSpan w:val="5"/>
          </w:tcPr>
          <w:p>
            <w:pPr>
              <w:spacing w:after="0"/>
              <w:rPr>
                <w:sz w:val="20"/>
                <w:szCs w:val="20"/>
                <w:color w:val="auto"/>
              </w:rPr>
            </w:pPr>
            <w:r>
              <w:rPr>
                <w:rFonts w:ascii="Courier New" w:cs="Courier New" w:eastAsia="Courier New" w:hAnsi="Courier New"/>
                <w:sz w:val="14"/>
                <w:szCs w:val="14"/>
                <w:color w:val="auto"/>
              </w:rPr>
              <w:t>each category to total loans in the respective portfolios at the dates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indicated:</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4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December 31,</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000" w:type="dxa"/>
            <w:vAlign w:val="bottom"/>
          </w:tcPr>
          <w:p>
            <w:pPr>
              <w:spacing w:after="0"/>
              <w:rPr>
                <w:sz w:val="14"/>
                <w:szCs w:val="14"/>
                <w:color w:val="auto"/>
              </w:rPr>
            </w:pPr>
          </w:p>
        </w:tc>
        <w:tc>
          <w:tcPr>
            <w:tcW w:w="66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2000</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1999</w:t>
            </w:r>
          </w:p>
        </w:tc>
        <w:tc>
          <w:tcPr>
            <w:tcW w:w="20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0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Loan portfolio:</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Single family residential loans...........</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w:t>
            </w: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512</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520</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Multi-family residential loans............</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993</w:t>
            </w:r>
          </w:p>
        </w:tc>
        <w:tc>
          <w:tcPr>
            <w:tcW w:w="56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1,722</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2,714</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2,163</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673</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Commercial real estate loans..............</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1,405</w:t>
            </w:r>
          </w:p>
        </w:tc>
        <w:tc>
          <w:tcPr>
            <w:tcW w:w="56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5,450</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1,009</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2,299</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40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2,408</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7,259</w:t>
            </w: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4,928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3,695</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3,523</w:t>
            </w:r>
          </w:p>
        </w:tc>
      </w:tr>
      <w:tr>
        <w:trPr>
          <w:trHeight w:val="167"/>
        </w:trPr>
        <w:tc>
          <w:tcPr>
            <w:tcW w:w="40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rPr>
              <w:t>Discount loan portfolio:</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Single family residential loans...........</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3,483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11,081</w:t>
            </w: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10,307</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15,017</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3,528</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Multi-family residential loans............</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1,805</w:t>
            </w:r>
          </w:p>
        </w:tc>
        <w:tc>
          <w:tcPr>
            <w:tcW w:w="56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1,681</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2,457</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2,616</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3,124</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Commercial real estate loans..............</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6,813</w:t>
            </w:r>
          </w:p>
        </w:tc>
        <w:tc>
          <w:tcPr>
            <w:tcW w:w="56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5,152</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8,607</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5,860</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4,886</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Other loans (1)...........................</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8,770</w:t>
            </w:r>
          </w:p>
        </w:tc>
        <w:tc>
          <w:tcPr>
            <w:tcW w:w="56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1,267</w:t>
            </w:r>
          </w:p>
        </w:tc>
        <w:tc>
          <w:tcPr>
            <w:tcW w:w="2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20,871</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19,181</w:t>
            </w: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21,402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23,493</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11,538</w:t>
            </w:r>
          </w:p>
        </w:tc>
      </w:tr>
      <w:tr>
        <w:trPr>
          <w:trHeight w:val="167"/>
        </w:trPr>
        <w:tc>
          <w:tcPr>
            <w:tcW w:w="40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rPr>
              <w:t>Match funded loans:</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Single family residential loans...........</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495</w:t>
            </w:r>
          </w:p>
        </w:tc>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right="3900" w:hanging="791"/>
        <w:spacing w:after="0" w:line="255" w:lineRule="auto"/>
        <w:tabs>
          <w:tab w:leader="none" w:pos="8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Allowance for loan losses on other discount loans pertains to the Company's charged-off unsecured credit card receivables acquired at a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December 31,</w:t>
            </w: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000" w:type="dxa"/>
            <w:vAlign w:val="bottom"/>
          </w:tcPr>
          <w:p>
            <w:pPr>
              <w:spacing w:after="0"/>
              <w:rPr>
                <w:sz w:val="14"/>
                <w:szCs w:val="14"/>
                <w:color w:val="auto"/>
              </w:rPr>
            </w:pPr>
          </w:p>
        </w:tc>
        <w:tc>
          <w:tcPr>
            <w:tcW w:w="668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00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rPr>
              <w:t>PERCENTAGE OF LOANS TO TOTAL LOANS</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Loan portfolio:</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Single family residential loans...........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Multi-family residential loans............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42.5</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Commercial real estate loans..............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56.7</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71.3</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w:t>
            </w:r>
          </w:p>
        </w:tc>
      </w:tr>
      <w:tr>
        <w:trPr>
          <w:trHeight w:val="167"/>
        </w:trPr>
        <w:tc>
          <w:tcPr>
            <w:tcW w:w="400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400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rPr>
              <w:t>Discount loan portfolio:</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Single family residential loans...........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42.8%</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48.3%</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50.1%</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Multi-family residential loans............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Commercial real estate loans..............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39.0</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39.8</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Other loans...............................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w:t>
            </w:r>
          </w:p>
        </w:tc>
      </w:tr>
      <w:tr>
        <w:trPr>
          <w:trHeight w:val="167"/>
        </w:trPr>
        <w:tc>
          <w:tcPr>
            <w:tcW w:w="400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400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rPr>
              <w:t>Match funded loans:</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Single family residential loans...........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980" w:firstLine="781"/>
        <w:spacing w:after="0" w:line="255" w:lineRule="auto"/>
        <w:rPr>
          <w:sz w:val="20"/>
          <w:szCs w:val="20"/>
          <w:color w:val="auto"/>
        </w:rPr>
      </w:pPr>
      <w:r>
        <w:rPr>
          <w:rFonts w:ascii="Courier New" w:cs="Courier New" w:eastAsia="Courier New" w:hAnsi="Courier New"/>
          <w:sz w:val="14"/>
          <w:szCs w:val="14"/>
          <w:color w:val="auto"/>
        </w:rPr>
        <w:t>The allocation of the allowance to each category is not necessarily indicative of future losses and does not restrict the use of the allowance to absorb losses in any other category.</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680"/>
          </w:cols>
          <w:pgMar w:left="220" w:top="453" w:right="999" w:bottom="1440" w:gutter="0" w:footer="0" w:header="0"/>
        </w:sectPr>
      </w:pPr>
    </w:p>
    <w:bookmarkStart w:id="71" w:name="page72"/>
    <w:bookmarkEnd w:id="71"/>
    <w:p>
      <w:pPr>
        <w:ind w:right="460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080" w:firstLine="781"/>
        <w:spacing w:after="0" w:line="255" w:lineRule="auto"/>
        <w:rPr>
          <w:sz w:val="20"/>
          <w:szCs w:val="20"/>
          <w:color w:val="auto"/>
        </w:rPr>
      </w:pPr>
      <w:r>
        <w:rPr>
          <w:rFonts w:ascii="Courier New" w:cs="Courier New" w:eastAsia="Courier New" w:hAnsi="Courier New"/>
          <w:sz w:val="14"/>
          <w:szCs w:val="14"/>
          <w:color w:val="auto"/>
        </w:rPr>
        <w:t>The following table sets forth an analysis of activity in the allowance for loan losses relating to the Company's loan portfolio during the periods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622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2000</w:t>
            </w:r>
          </w:p>
        </w:tc>
        <w:tc>
          <w:tcPr>
            <w:tcW w:w="360" w:type="dxa"/>
            <w:vAlign w:val="bottom"/>
          </w:tcPr>
          <w:p>
            <w:pPr>
              <w:spacing w:after="0"/>
              <w:rPr>
                <w:sz w:val="14"/>
                <w:szCs w:val="1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4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36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3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Balance at beginning of period...................</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7,259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4,928</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3,695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3,523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1,947</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3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1,636</w:t>
            </w:r>
          </w:p>
        </w:tc>
        <w:tc>
          <w:tcPr>
            <w:tcW w:w="4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891</w:t>
            </w:r>
          </w:p>
        </w:tc>
        <w:tc>
          <w:tcPr>
            <w:tcW w:w="3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w:t>
            </w:r>
          </w:p>
        </w:tc>
        <w:tc>
          <w:tcPr>
            <w:tcW w:w="3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1,872</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Single family residential loans...............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Multi-family residential loans................</w:t>
            </w:r>
          </w:p>
        </w:tc>
        <w:tc>
          <w:tcPr>
            <w:tcW w:w="4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(1,662)</w:t>
            </w:r>
          </w:p>
        </w:tc>
        <w:tc>
          <w:tcPr>
            <w:tcW w:w="3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Commercial real estate loans..................</w:t>
            </w:r>
          </w:p>
        </w:tc>
        <w:tc>
          <w:tcPr>
            <w:tcW w:w="4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(3,193)</w:t>
            </w:r>
          </w:p>
        </w:tc>
        <w:tc>
          <w:tcPr>
            <w:tcW w:w="3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Consumer loans................................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4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 charge-offs...........................</w:t>
            </w:r>
          </w:p>
        </w:tc>
        <w:tc>
          <w:tcPr>
            <w:tcW w:w="4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(4,855)</w:t>
            </w:r>
          </w:p>
        </w:tc>
        <w:tc>
          <w:tcPr>
            <w:tcW w:w="3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Commercial real estate loans..................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561</w:t>
            </w:r>
          </w:p>
        </w:tc>
        <w:tc>
          <w:tcPr>
            <w:tcW w:w="3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(charge-offs) recoveries................</w:t>
            </w:r>
          </w:p>
        </w:tc>
        <w:tc>
          <w:tcPr>
            <w:tcW w:w="4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(4,855)</w:t>
            </w:r>
          </w:p>
        </w:tc>
        <w:tc>
          <w:tcPr>
            <w:tcW w:w="3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4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342</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r>
        <w:trPr>
          <w:trHeight w:val="167"/>
        </w:trPr>
        <w:tc>
          <w:tcPr>
            <w:tcW w:w="4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Acquired allowance (OAC acquisition).............</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703</w:t>
            </w:r>
          </w:p>
        </w:tc>
        <w:tc>
          <w:tcPr>
            <w:tcW w:w="4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 at end of period.........................</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7,259</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4,928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3,695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3,523</w:t>
            </w:r>
          </w:p>
        </w:tc>
      </w:tr>
      <w:tr>
        <w:trPr>
          <w:trHeight w:val="167"/>
        </w:trPr>
        <w:tc>
          <w:tcPr>
            <w:tcW w:w="4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Net (charge-offs) recoveries as a percentage of</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 loan portfolio .......................</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(3.37%)</w:t>
            </w:r>
          </w:p>
        </w:tc>
        <w:tc>
          <w:tcPr>
            <w:tcW w:w="3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0.13%</w:t>
            </w:r>
          </w:p>
        </w:tc>
        <w:tc>
          <w:tcPr>
            <w:tcW w:w="3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(0.04%)</w:t>
            </w:r>
          </w:p>
        </w:tc>
        <w:tc>
          <w:tcPr>
            <w:tcW w:w="3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(0.09%)</w:t>
            </w:r>
          </w:p>
        </w:tc>
      </w:tr>
    </w:tbl>
    <w:p>
      <w:pPr>
        <w:spacing w:after="0" w:line="338" w:lineRule="exact"/>
        <w:rPr>
          <w:sz w:val="20"/>
          <w:szCs w:val="20"/>
          <w:color w:val="auto"/>
        </w:rPr>
      </w:pPr>
    </w:p>
    <w:p>
      <w:pPr>
        <w:ind w:right="4080" w:firstLine="781"/>
        <w:spacing w:after="0" w:line="255" w:lineRule="auto"/>
        <w:rPr>
          <w:sz w:val="20"/>
          <w:szCs w:val="20"/>
          <w:color w:val="auto"/>
        </w:rPr>
      </w:pPr>
      <w:r>
        <w:rPr>
          <w:rFonts w:ascii="Courier New" w:cs="Courier New" w:eastAsia="Courier New" w:hAnsi="Courier New"/>
          <w:sz w:val="14"/>
          <w:szCs w:val="14"/>
          <w:color w:val="auto"/>
        </w:rPr>
        <w:t>The following table sets forth an analysis of activity in the allowance for loan losses relating to the Company's discount loan portfolio during the periods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Year Ended December 31,</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660" w:type="dxa"/>
            <w:vAlign w:val="bottom"/>
          </w:tcPr>
          <w:p>
            <w:pPr>
              <w:spacing w:after="0"/>
              <w:rPr>
                <w:sz w:val="14"/>
                <w:szCs w:val="14"/>
                <w:color w:val="auto"/>
              </w:rPr>
            </w:pPr>
          </w:p>
        </w:tc>
        <w:tc>
          <w:tcPr>
            <w:tcW w:w="638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36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66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Balance at beginning of period....................</w:t>
            </w:r>
          </w:p>
        </w:tc>
        <w:tc>
          <w:tcPr>
            <w:tcW w:w="46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19,181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21,402</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23,493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11,538</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4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15,266</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5,434</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17,618</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31,894</w:t>
            </w:r>
          </w:p>
        </w:tc>
        <w:tc>
          <w:tcPr>
            <w:tcW w:w="3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20,578</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Single family residential loans................</w:t>
            </w:r>
          </w:p>
        </w:tc>
        <w:tc>
          <w:tcPr>
            <w:tcW w:w="4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(7,132)</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(4,409)</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(14,574)</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(13,281)</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(7,009)</w:t>
            </w:r>
          </w:p>
        </w:tc>
      </w:tr>
      <w:tr>
        <w:trPr>
          <w:trHeight w:val="167"/>
        </w:trPr>
        <w:tc>
          <w:tcPr>
            <w:tcW w:w="4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Multi-family residential loans.................</w:t>
            </w:r>
          </w:p>
        </w:tc>
        <w:tc>
          <w:tcPr>
            <w:tcW w:w="4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(888)</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(912)</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(2,648)</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(2,056)</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(704)</w:t>
            </w:r>
          </w:p>
        </w:tc>
      </w:tr>
      <w:tr>
        <w:trPr>
          <w:trHeight w:val="167"/>
        </w:trPr>
        <w:tc>
          <w:tcPr>
            <w:tcW w:w="4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Commercial real estate loans...................</w:t>
            </w:r>
          </w:p>
        </w:tc>
        <w:tc>
          <w:tcPr>
            <w:tcW w:w="4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(6,193)</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(2,687)</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(2,888)</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(5,012)</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(1,503)</w:t>
            </w:r>
          </w:p>
        </w:tc>
      </w:tr>
      <w:tr>
        <w:trPr>
          <w:trHeight w:val="167"/>
        </w:trPr>
        <w:tc>
          <w:tcPr>
            <w:tcW w:w="4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Other loans....................................</w:t>
            </w:r>
          </w:p>
        </w:tc>
        <w:tc>
          <w:tcPr>
            <w:tcW w:w="4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Total charge-offs...........................</w:t>
            </w:r>
          </w:p>
        </w:tc>
        <w:tc>
          <w:tcPr>
            <w:tcW w:w="4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(14,213)</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(8,052)</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(20,130)</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(20,349)</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(9,216)</w:t>
            </w:r>
          </w:p>
        </w:tc>
      </w:tr>
      <w:tr>
        <w:trPr>
          <w:trHeight w:val="167"/>
        </w:trPr>
        <w:tc>
          <w:tcPr>
            <w:tcW w:w="466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Single family residential loans................</w:t>
            </w:r>
          </w:p>
        </w:tc>
        <w:tc>
          <w:tcPr>
            <w:tcW w:w="4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616</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w:t>
            </w:r>
          </w:p>
        </w:tc>
        <w:tc>
          <w:tcPr>
            <w:tcW w:w="3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w:t>
            </w:r>
          </w:p>
        </w:tc>
      </w:tr>
      <w:tr>
        <w:trPr>
          <w:trHeight w:val="167"/>
        </w:trPr>
        <w:tc>
          <w:tcPr>
            <w:tcW w:w="4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Commercial real estate loans...................</w:t>
            </w:r>
          </w:p>
        </w:tc>
        <w:tc>
          <w:tcPr>
            <w:tcW w:w="4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Total recoveries............................</w:t>
            </w:r>
          </w:p>
        </w:tc>
        <w:tc>
          <w:tcPr>
            <w:tcW w:w="4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637</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w:t>
            </w:r>
          </w:p>
        </w:tc>
        <w:tc>
          <w:tcPr>
            <w:tcW w:w="3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w:t>
            </w:r>
          </w:p>
        </w:tc>
      </w:tr>
      <w:tr>
        <w:trPr>
          <w:trHeight w:val="167"/>
        </w:trPr>
        <w:tc>
          <w:tcPr>
            <w:tcW w:w="466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Net charge-offs.............................</w:t>
            </w:r>
          </w:p>
        </w:tc>
        <w:tc>
          <w:tcPr>
            <w:tcW w:w="4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(13,576)</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(7,655)</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(19,709)</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(19,939)</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(9,040)</w:t>
            </w:r>
          </w:p>
        </w:tc>
      </w:tr>
      <w:tr>
        <w:trPr>
          <w:trHeight w:val="167"/>
        </w:trPr>
        <w:tc>
          <w:tcPr>
            <w:tcW w:w="466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Balance at end of period..........................</w:t>
            </w:r>
          </w:p>
        </w:tc>
        <w:tc>
          <w:tcPr>
            <w:tcW w:w="46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20,871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19,181</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21,402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23,493</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11,538</w:t>
            </w:r>
          </w:p>
        </w:tc>
      </w:tr>
      <w:tr>
        <w:trPr>
          <w:trHeight w:val="167"/>
        </w:trPr>
        <w:tc>
          <w:tcPr>
            <w:tcW w:w="466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charge-offs as a percentage of average discount</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loan portfolio.................................</w:t>
            </w:r>
          </w:p>
        </w:tc>
        <w:tc>
          <w:tcPr>
            <w:tcW w:w="4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(0.80%)</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bl>
    <w:p>
      <w:pPr>
        <w:spacing w:after="0" w:line="338" w:lineRule="exact"/>
        <w:rPr>
          <w:sz w:val="20"/>
          <w:szCs w:val="20"/>
          <w:color w:val="auto"/>
        </w:rPr>
      </w:pPr>
    </w:p>
    <w:p>
      <w:pPr>
        <w:ind w:right="4080" w:firstLine="781"/>
        <w:spacing w:after="0" w:line="253" w:lineRule="auto"/>
        <w:rPr>
          <w:sz w:val="20"/>
          <w:szCs w:val="20"/>
          <w:color w:val="auto"/>
        </w:rPr>
      </w:pPr>
      <w:r>
        <w:rPr>
          <w:rFonts w:ascii="Courier New" w:cs="Courier New" w:eastAsia="Courier New" w:hAnsi="Courier New"/>
          <w:sz w:val="14"/>
          <w:szCs w:val="14"/>
          <w:color w:val="auto"/>
        </w:rPr>
        <w:t>INVESTMENTS IN LOW-INCOME HOUSING TAX CREDIT INTERESTS. The Company has invested in multi-family residential projects which have been allocated low-income housing tax credits under Section 42 of the Internal Revenue Code of 1986, as amended, by a state tax credit allocating agency. At December 31, 2000, the Company had $55,729 of such investments, as compared to $150,989 at December 31, 1999. The $95,230 decrease during 2000 is due to the Company's sale of its investment in ten projects with an aggregate carrying value of $27,402 and the transfer of twenty-five projects with a carrying value of $81,097 to held for sale, offset by additional investments in existing projects. See "Low-Income Housing Tax Credit Interests Held for Sale" below and Note 16 to the Consolidated Financial Statements (which is incorporated herein by reference).</w:t>
      </w:r>
    </w:p>
    <w:p>
      <w:pPr>
        <w:spacing w:after="0" w:line="164" w:lineRule="exact"/>
        <w:rPr>
          <w:sz w:val="20"/>
          <w:szCs w:val="20"/>
          <w:color w:val="auto"/>
        </w:rPr>
      </w:pPr>
    </w:p>
    <w:p>
      <w:pPr>
        <w:ind w:right="4180" w:firstLine="781"/>
        <w:spacing w:after="0" w:line="254" w:lineRule="auto"/>
        <w:rPr>
          <w:sz w:val="20"/>
          <w:szCs w:val="20"/>
          <w:color w:val="auto"/>
        </w:rPr>
      </w:pPr>
      <w:r>
        <w:rPr>
          <w:rFonts w:ascii="Courier New" w:cs="Courier New" w:eastAsia="Courier New" w:hAnsi="Courier New"/>
          <w:sz w:val="14"/>
          <w:szCs w:val="14"/>
          <w:color w:val="auto"/>
        </w:rPr>
        <w:t>LOW-INCOME HOUSING TAX CREDIT INTERESTS HELD FOR SALE. At December 31, 2000, the Company's investments in low-income housing tax credit interests held for sale amounted to $87,083 as compared to $0 at December 31, 1999. During 2000, the Company</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1040"/>
          </w:cols>
          <w:pgMar w:left="220" w:top="453" w:right="639" w:bottom="807" w:gutter="0" w:footer="0" w:header="0"/>
        </w:sectPr>
      </w:pPr>
    </w:p>
    <w:bookmarkStart w:id="72" w:name="page73"/>
    <w:bookmarkEnd w:id="72"/>
    <w:p>
      <w:pPr>
        <w:ind w:right="434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820"/>
        <w:spacing w:after="0" w:line="253" w:lineRule="auto"/>
        <w:rPr>
          <w:sz w:val="20"/>
          <w:szCs w:val="20"/>
          <w:color w:val="auto"/>
        </w:rPr>
      </w:pPr>
      <w:r>
        <w:rPr>
          <w:rFonts w:ascii="Courier New" w:cs="Courier New" w:eastAsia="Courier New" w:hAnsi="Courier New"/>
          <w:sz w:val="14"/>
          <w:szCs w:val="14"/>
          <w:color w:val="auto"/>
        </w:rPr>
        <w:t>entered into agreements to sell twenty-five of its low-income housing tax credit properties, together with the related tax credits. Although these agreements resulted in the transfer of tax credits and operating results for these properties to the purchaser, they did not qualify as sales for accounting purposes primarily due to insufficient cash received at signing, as well as to certain contingencies with respect to potential repurchase requirements. As a result, the Company has reclassified these properties as held for sale and has valued them at the lower of cost or fair value less disposal costs. The Company recorded a charge to earnings during 2000 of $6,448 reflecting the expected net loss to be incurred upon completion of these transactions. See Note 15 to the Consolidated Financial Statements (which is incorporated herein by reference).</w:t>
      </w:r>
    </w:p>
    <w:p>
      <w:pPr>
        <w:spacing w:after="0" w:line="164" w:lineRule="exact"/>
        <w:rPr>
          <w:sz w:val="20"/>
          <w:szCs w:val="20"/>
          <w:color w:val="auto"/>
        </w:rPr>
      </w:pPr>
    </w:p>
    <w:p>
      <w:pPr>
        <w:ind w:right="4000" w:firstLine="781"/>
        <w:spacing w:after="0" w:line="253" w:lineRule="auto"/>
        <w:rPr>
          <w:sz w:val="20"/>
          <w:szCs w:val="20"/>
          <w:color w:val="auto"/>
        </w:rPr>
      </w:pPr>
      <w:r>
        <w:rPr>
          <w:rFonts w:ascii="Courier New" w:cs="Courier New" w:eastAsia="Courier New" w:hAnsi="Courier New"/>
          <w:sz w:val="14"/>
          <w:szCs w:val="14"/>
          <w:color w:val="auto"/>
        </w:rPr>
        <w:t>INVESTMENTS IN UNCONSOLIDATED ENTITIES. Investments in unconsolidated entities amounted to $430 and $37,118 at December 31, 2000 and 1999, respectively. The decrease of $36,688 during 2000 was primarily the result of the Company's sale of its investment in Kensington. Prior to the sale in November, the Company recorded equity in the losses of its investment in Kensington of $5,280.</w:t>
      </w:r>
    </w:p>
    <w:p>
      <w:pPr>
        <w:spacing w:after="0" w:line="165" w:lineRule="exact"/>
        <w:rPr>
          <w:sz w:val="20"/>
          <w:szCs w:val="20"/>
          <w:color w:val="auto"/>
        </w:rPr>
      </w:pPr>
    </w:p>
    <w:p>
      <w:pPr>
        <w:ind w:right="3920" w:firstLine="781"/>
        <w:spacing w:after="0" w:line="258" w:lineRule="auto"/>
        <w:rPr>
          <w:sz w:val="20"/>
          <w:szCs w:val="20"/>
          <w:color w:val="auto"/>
        </w:rPr>
      </w:pPr>
      <w:r>
        <w:rPr>
          <w:rFonts w:ascii="Courier New" w:cs="Courier New" w:eastAsia="Courier New" w:hAnsi="Courier New"/>
          <w:sz w:val="14"/>
          <w:szCs w:val="14"/>
          <w:color w:val="auto"/>
        </w:rPr>
        <w:t>See Note 2 and Note 10 to the Consolidated Financial Statements (which are incorporated herein by reference).</w:t>
      </w:r>
    </w:p>
    <w:p>
      <w:pPr>
        <w:spacing w:after="0" w:line="160" w:lineRule="exact"/>
        <w:rPr>
          <w:sz w:val="20"/>
          <w:szCs w:val="20"/>
          <w:color w:val="auto"/>
        </w:rPr>
      </w:pPr>
    </w:p>
    <w:p>
      <w:pPr>
        <w:ind w:right="3820" w:firstLine="781"/>
        <w:spacing w:after="0" w:line="254" w:lineRule="auto"/>
        <w:rPr>
          <w:sz w:val="20"/>
          <w:szCs w:val="20"/>
          <w:color w:val="auto"/>
        </w:rPr>
      </w:pPr>
      <w:r>
        <w:rPr>
          <w:rFonts w:ascii="Courier New" w:cs="Courier New" w:eastAsia="Courier New" w:hAnsi="Courier New"/>
          <w:sz w:val="14"/>
          <w:szCs w:val="14"/>
          <w:color w:val="auto"/>
        </w:rPr>
        <w:t>REAL ESTATE OWNED, NET. Real estate owned, net, decreased by $21,087 or 13% during 2000. Sales of real estate owned more than offset loan foreclosures during the year. Real estate owned consists almost entirely of properties acquired by foreclosure or deed-in-lieu thereof on loans in the Company's discount loan portfolio.</w:t>
      </w:r>
    </w:p>
    <w:p>
      <w:pPr>
        <w:spacing w:after="0" w:line="162" w:lineRule="exact"/>
        <w:rPr>
          <w:sz w:val="20"/>
          <w:szCs w:val="20"/>
          <w:color w:val="auto"/>
        </w:rPr>
      </w:pPr>
    </w:p>
    <w:p>
      <w:pPr>
        <w:ind w:right="3920" w:firstLine="781"/>
        <w:spacing w:after="0" w:line="258" w:lineRule="auto"/>
        <w:rPr>
          <w:sz w:val="20"/>
          <w:szCs w:val="20"/>
          <w:color w:val="auto"/>
        </w:rPr>
      </w:pPr>
      <w:r>
        <w:rPr>
          <w:rFonts w:ascii="Courier New" w:cs="Courier New" w:eastAsia="Courier New" w:hAnsi="Courier New"/>
          <w:sz w:val="14"/>
          <w:szCs w:val="14"/>
          <w:color w:val="auto"/>
        </w:rPr>
        <w:t>The following table sets forth the composition of real estate owned by loan portfolio at the dates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31,</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642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2000</w:t>
            </w:r>
          </w:p>
        </w:tc>
        <w:tc>
          <w:tcPr>
            <w:tcW w:w="4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4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26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6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Discount loan portfolio:</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4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Single family residential..................</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55,751</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72,193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94,641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76,409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49,728</w:t>
            </w:r>
          </w:p>
        </w:tc>
      </w:tr>
      <w:tr>
        <w:trPr>
          <w:trHeight w:val="167"/>
        </w:trPr>
        <w:tc>
          <w:tcPr>
            <w:tcW w:w="4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Multi-family residential...................</w:t>
            </w:r>
          </w:p>
        </w:tc>
        <w:tc>
          <w:tcPr>
            <w:tcW w:w="5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149</w:t>
            </w:r>
          </w:p>
        </w:tc>
        <w:tc>
          <w:tcPr>
            <w:tcW w:w="4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2,601</w:t>
            </w:r>
          </w:p>
        </w:tc>
        <w:tc>
          <w:tcPr>
            <w:tcW w:w="4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20,130</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16,741</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14,046</w:t>
            </w:r>
          </w:p>
        </w:tc>
      </w:tr>
      <w:tr>
        <w:trPr>
          <w:trHeight w:val="167"/>
        </w:trPr>
        <w:tc>
          <w:tcPr>
            <w:tcW w:w="4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Commercial real estate.....................</w:t>
            </w:r>
          </w:p>
        </w:tc>
        <w:tc>
          <w:tcPr>
            <w:tcW w:w="5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88,214</w:t>
            </w:r>
          </w:p>
        </w:tc>
        <w:tc>
          <w:tcPr>
            <w:tcW w:w="4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85,233</w:t>
            </w:r>
          </w:p>
        </w:tc>
        <w:tc>
          <w:tcPr>
            <w:tcW w:w="4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82,591</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71,339</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36,264</w:t>
            </w:r>
          </w:p>
        </w:tc>
      </w:tr>
      <w:tr>
        <w:trPr>
          <w:trHeight w:val="167"/>
        </w:trPr>
        <w:tc>
          <w:tcPr>
            <w:tcW w:w="426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c>
          <w:tcPr>
            <w:tcW w:w="5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144,114</w:t>
            </w:r>
          </w:p>
        </w:tc>
        <w:tc>
          <w:tcPr>
            <w:tcW w:w="4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160,027</w:t>
            </w:r>
          </w:p>
        </w:tc>
        <w:tc>
          <w:tcPr>
            <w:tcW w:w="4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197,362</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164,489</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100,038</w:t>
            </w:r>
          </w:p>
        </w:tc>
      </w:tr>
      <w:tr>
        <w:trPr>
          <w:trHeight w:val="167"/>
        </w:trPr>
        <w:tc>
          <w:tcPr>
            <w:tcW w:w="4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Loan portfolio................................</w:t>
            </w:r>
          </w:p>
        </w:tc>
        <w:tc>
          <w:tcPr>
            <w:tcW w:w="5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1,384</w:t>
            </w:r>
          </w:p>
        </w:tc>
        <w:tc>
          <w:tcPr>
            <w:tcW w:w="4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2,183</w:t>
            </w:r>
          </w:p>
        </w:tc>
        <w:tc>
          <w:tcPr>
            <w:tcW w:w="4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227</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357</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r>
      <w:tr>
        <w:trPr>
          <w:trHeight w:val="167"/>
        </w:trPr>
        <w:tc>
          <w:tcPr>
            <w:tcW w:w="4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Loans available for sale......................</w:t>
            </w:r>
          </w:p>
        </w:tc>
        <w:tc>
          <w:tcPr>
            <w:tcW w:w="5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921</w:t>
            </w:r>
          </w:p>
        </w:tc>
        <w:tc>
          <w:tcPr>
            <w:tcW w:w="4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5,296</w:t>
            </w:r>
          </w:p>
        </w:tc>
        <w:tc>
          <w:tcPr>
            <w:tcW w:w="4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3,962</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2,419</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3,074</w:t>
            </w:r>
          </w:p>
        </w:tc>
      </w:tr>
      <w:tr>
        <w:trPr>
          <w:trHeight w:val="167"/>
        </w:trPr>
        <w:tc>
          <w:tcPr>
            <w:tcW w:w="426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146,419</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167,506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201,551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167,265</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103,704</w:t>
            </w:r>
          </w:p>
        </w:tc>
      </w:tr>
      <w:tr>
        <w:trPr>
          <w:trHeight w:val="167"/>
        </w:trPr>
        <w:tc>
          <w:tcPr>
            <w:tcW w:w="426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080" w:firstLine="781"/>
        <w:spacing w:after="0" w:line="258" w:lineRule="auto"/>
        <w:rPr>
          <w:sz w:val="20"/>
          <w:szCs w:val="20"/>
          <w:color w:val="auto"/>
        </w:rPr>
      </w:pPr>
      <w:r>
        <w:rPr>
          <w:rFonts w:ascii="Courier New" w:cs="Courier New" w:eastAsia="Courier New" w:hAnsi="Courier New"/>
          <w:sz w:val="14"/>
          <w:szCs w:val="14"/>
          <w:color w:val="auto"/>
        </w:rPr>
        <w:t>The following tables set forth the activity in the real estate owned during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00" w:type="dxa"/>
            <w:vAlign w:val="bottom"/>
            <w:gridSpan w:val="5"/>
          </w:tcPr>
          <w:p>
            <w:pPr>
              <w:jc w:val="right"/>
              <w:ind w:right="748"/>
              <w:spacing w:after="0"/>
              <w:rPr>
                <w:sz w:val="20"/>
                <w:szCs w:val="20"/>
                <w:color w:val="auto"/>
              </w:rPr>
            </w:pPr>
            <w:r>
              <w:rPr>
                <w:rFonts w:ascii="Courier New" w:cs="Courier New" w:eastAsia="Courier New" w:hAnsi="Courier New"/>
                <w:sz w:val="14"/>
                <w:szCs w:val="14"/>
                <w:color w:val="auto"/>
              </w:rPr>
              <w:t>Year Ended December 31,</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582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20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96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Balance at beginning of period.........................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167,506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201,551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167,265</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103,704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166,556</w:t>
            </w: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Properties acquired through foreclosure or deed-in-lieu</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960" w:type="dxa"/>
            <w:vAlign w:val="bottom"/>
          </w:tcPr>
          <w:p>
            <w:pPr>
              <w:jc w:val="right"/>
              <w:ind w:right="4088"/>
              <w:spacing w:after="0"/>
              <w:rPr>
                <w:sz w:val="20"/>
                <w:szCs w:val="20"/>
                <w:color w:val="auto"/>
              </w:rPr>
            </w:pPr>
            <w:r>
              <w:rPr>
                <w:rFonts w:ascii="Courier New" w:cs="Courier New" w:eastAsia="Courier New" w:hAnsi="Courier New"/>
                <w:sz w:val="14"/>
                <w:szCs w:val="14"/>
                <w:color w:val="auto"/>
              </w:rPr>
              <w:t>thereof:</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Discount loans.......................................</w:t>
            </w:r>
          </w:p>
        </w:tc>
        <w:tc>
          <w:tcPr>
            <w:tcW w:w="3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193,469</w:t>
            </w:r>
          </w:p>
        </w:tc>
        <w:tc>
          <w:tcPr>
            <w:tcW w:w="20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203,043</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382,904</w:t>
            </w:r>
          </w:p>
        </w:tc>
        <w:tc>
          <w:tcPr>
            <w:tcW w:w="2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292,412</w:t>
            </w:r>
          </w:p>
        </w:tc>
        <w:tc>
          <w:tcPr>
            <w:tcW w:w="2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138,543</w:t>
            </w: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Loans available for sale.............................</w:t>
            </w:r>
          </w:p>
        </w:tc>
        <w:tc>
          <w:tcPr>
            <w:tcW w:w="3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4,669</w:t>
            </w:r>
          </w:p>
        </w:tc>
        <w:tc>
          <w:tcPr>
            <w:tcW w:w="20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13,281</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7,787</w:t>
            </w:r>
          </w:p>
        </w:tc>
        <w:tc>
          <w:tcPr>
            <w:tcW w:w="2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5,569</w:t>
            </w:r>
          </w:p>
        </w:tc>
        <w:tc>
          <w:tcPr>
            <w:tcW w:w="2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3,671</w:t>
            </w: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Loan portfolio.......................................</w:t>
            </w:r>
          </w:p>
        </w:tc>
        <w:tc>
          <w:tcPr>
            <w:tcW w:w="3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2,872</w:t>
            </w:r>
          </w:p>
        </w:tc>
        <w:tc>
          <w:tcPr>
            <w:tcW w:w="20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4,451</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547</w:t>
            </w:r>
          </w:p>
        </w:tc>
        <w:tc>
          <w:tcPr>
            <w:tcW w:w="2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661</w:t>
            </w:r>
          </w:p>
        </w:tc>
        <w:tc>
          <w:tcPr>
            <w:tcW w:w="2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1,207</w:t>
            </w: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Less discount transferred............................</w:t>
            </w:r>
          </w:p>
        </w:tc>
        <w:tc>
          <w:tcPr>
            <w:tcW w:w="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(60,246)</w:t>
            </w:r>
          </w:p>
        </w:tc>
        <w:tc>
          <w:tcPr>
            <w:tcW w:w="2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(63,664)</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(110,716)</w:t>
            </w: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(93,021)</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(41,323)</w:t>
            </w:r>
          </w:p>
        </w:tc>
      </w:tr>
      <w:tr>
        <w:trPr>
          <w:trHeight w:val="167"/>
        </w:trPr>
        <w:tc>
          <w:tcPr>
            <w:tcW w:w="496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140,764</w:t>
            </w:r>
          </w:p>
        </w:tc>
        <w:tc>
          <w:tcPr>
            <w:tcW w:w="20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157,111</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280,522</w:t>
            </w:r>
          </w:p>
        </w:tc>
        <w:tc>
          <w:tcPr>
            <w:tcW w:w="2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205,621</w:t>
            </w:r>
          </w:p>
        </w:tc>
        <w:tc>
          <w:tcPr>
            <w:tcW w:w="2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102,098</w:t>
            </w:r>
          </w:p>
        </w:tc>
      </w:tr>
      <w:tr>
        <w:trPr>
          <w:trHeight w:val="167"/>
        </w:trPr>
        <w:tc>
          <w:tcPr>
            <w:tcW w:w="496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Acquired in connection with acquisitions of discount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loans.................................................</w:t>
            </w:r>
          </w:p>
        </w:tc>
        <w:tc>
          <w:tcPr>
            <w:tcW w:w="3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9,059</w:t>
            </w:r>
          </w:p>
        </w:tc>
        <w:tc>
          <w:tcPr>
            <w:tcW w:w="20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47,808</w:t>
            </w:r>
          </w:p>
        </w:tc>
        <w:tc>
          <w:tcPr>
            <w:tcW w:w="2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19,949</w:t>
            </w:r>
          </w:p>
        </w:tc>
        <w:tc>
          <w:tcPr>
            <w:tcW w:w="2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38,486</w:t>
            </w:r>
          </w:p>
        </w:tc>
        <w:tc>
          <w:tcPr>
            <w:tcW w:w="2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2,529</w:t>
            </w: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Sales..................................................</w:t>
            </w:r>
          </w:p>
        </w:tc>
        <w:tc>
          <w:tcPr>
            <w:tcW w:w="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(169,949)</w:t>
            </w:r>
          </w:p>
        </w:tc>
        <w:tc>
          <w:tcPr>
            <w:tcW w:w="2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(237,108)</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(263,206)</w:t>
            </w: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(179,693)</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(160,592)</w:t>
            </w: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 in valuation allowance........................</w:t>
            </w:r>
          </w:p>
        </w:tc>
        <w:tc>
          <w:tcPr>
            <w:tcW w:w="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(961)</w:t>
            </w:r>
          </w:p>
        </w:tc>
        <w:tc>
          <w:tcPr>
            <w:tcW w:w="2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(1,856)</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(2,979)</w:t>
            </w: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(853)</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(6,887)</w:t>
            </w:r>
          </w:p>
        </w:tc>
      </w:tr>
      <w:tr>
        <w:trPr>
          <w:trHeight w:val="167"/>
        </w:trPr>
        <w:tc>
          <w:tcPr>
            <w:tcW w:w="496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Balance at end of period...............................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146,419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167,506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201,551</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103,704</w:t>
            </w:r>
          </w:p>
        </w:tc>
      </w:tr>
      <w:tr>
        <w:trPr>
          <w:trHeight w:val="167"/>
        </w:trPr>
        <w:tc>
          <w:tcPr>
            <w:tcW w:w="496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4960" w:type="dxa"/>
            <w:vAlign w:val="bottom"/>
          </w:tcPr>
          <w:p>
            <w:pPr>
              <w:jc w:val="right"/>
              <w:ind w:right="1328"/>
              <w:spacing w:after="0"/>
              <w:rPr>
                <w:sz w:val="20"/>
                <w:szCs w:val="20"/>
                <w:color w:val="auto"/>
              </w:rPr>
            </w:pPr>
            <w:r>
              <w:rPr>
                <w:rFonts w:ascii="Courier New" w:cs="Courier New" w:eastAsia="Courier New" w:hAnsi="Courier New"/>
                <w:sz w:val="14"/>
                <w:szCs w:val="14"/>
                <w:color w:val="auto"/>
              </w:rPr>
              <w:t>46</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780"/>
          </w:cols>
          <w:pgMar w:left="220" w:top="453" w:right="899" w:bottom="1440" w:gutter="0" w:footer="0" w:header="0"/>
        </w:sectPr>
      </w:pPr>
    </w:p>
    <w:bookmarkStart w:id="73" w:name="page74"/>
    <w:bookmarkEnd w:id="73"/>
    <w:p>
      <w:pPr>
        <w:ind w:right="442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50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Year Ended December 31,</w:t>
            </w:r>
          </w:p>
        </w:tc>
        <w:tc>
          <w:tcPr>
            <w:tcW w:w="110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582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9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NUMBER OF PROPERTIES</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Balance at beginning of period.........................</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1,672</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825</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1,070</w:t>
            </w: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Properties acquired through foreclosure or deed-in-lieu</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960" w:type="dxa"/>
            <w:vAlign w:val="bottom"/>
          </w:tcPr>
          <w:p>
            <w:pPr>
              <w:jc w:val="right"/>
              <w:ind w:right="4088"/>
              <w:spacing w:after="0"/>
              <w:rPr>
                <w:sz w:val="20"/>
                <w:szCs w:val="20"/>
                <w:color w:val="auto"/>
              </w:rPr>
            </w:pPr>
            <w:r>
              <w:rPr>
                <w:rFonts w:ascii="Courier New" w:cs="Courier New" w:eastAsia="Courier New" w:hAnsi="Courier New"/>
                <w:sz w:val="14"/>
                <w:szCs w:val="14"/>
                <w:color w:val="auto"/>
              </w:rPr>
              <w:t>thereof:</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Discount loans.......................................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2,367</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1,596</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860</w:t>
            </w: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Loans available for sale.............................</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w:t>
            </w: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Loan portfolio.......................................</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7"/>
        </w:trPr>
        <w:tc>
          <w:tcPr>
            <w:tcW w:w="49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1,656</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918</w:t>
            </w:r>
          </w:p>
        </w:tc>
      </w:tr>
      <w:tr>
        <w:trPr>
          <w:trHeight w:val="167"/>
        </w:trPr>
        <w:tc>
          <w:tcPr>
            <w:tcW w:w="49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Acquired in connection with acquisitions of discount</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loans.................................................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931</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Sales..................................................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(3,792)</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(3,087)</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(1,175)</w:t>
            </w:r>
          </w:p>
        </w:tc>
      </w:tr>
      <w:tr>
        <w:trPr>
          <w:trHeight w:val="167"/>
        </w:trPr>
        <w:tc>
          <w:tcPr>
            <w:tcW w:w="49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Balance at end of period...............................</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1,505</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825</w:t>
            </w:r>
          </w:p>
        </w:tc>
      </w:tr>
      <w:tr>
        <w:trPr>
          <w:trHeight w:val="167"/>
        </w:trPr>
        <w:tc>
          <w:tcPr>
            <w:tcW w:w="49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000" w:firstLine="781"/>
        <w:spacing w:after="0" w:line="258" w:lineRule="auto"/>
        <w:rPr>
          <w:sz w:val="20"/>
          <w:szCs w:val="20"/>
          <w:color w:val="auto"/>
        </w:rPr>
      </w:pPr>
      <w:r>
        <w:rPr>
          <w:rFonts w:ascii="Courier New" w:cs="Courier New" w:eastAsia="Courier New" w:hAnsi="Courier New"/>
          <w:sz w:val="14"/>
          <w:szCs w:val="14"/>
          <w:color w:val="auto"/>
        </w:rPr>
        <w:t>The following table sets forth the amount of time that the Company had held its real estate owned at the dates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December 31,</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560" w:type="dxa"/>
            <w:vAlign w:val="bottom"/>
          </w:tcPr>
          <w:p>
            <w:pPr>
              <w:spacing w:after="0"/>
              <w:rPr>
                <w:sz w:val="14"/>
                <w:szCs w:val="14"/>
                <w:color w:val="auto"/>
              </w:rPr>
            </w:pPr>
          </w:p>
        </w:tc>
        <w:tc>
          <w:tcPr>
            <w:tcW w:w="73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2000</w:t>
            </w:r>
          </w:p>
        </w:tc>
        <w:tc>
          <w:tcPr>
            <w:tcW w:w="48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44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4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356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One to two months.....................</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17,832</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30,695</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38,444</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83,144</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17,695</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Three to four months..................</w:t>
            </w:r>
          </w:p>
        </w:tc>
        <w:tc>
          <w:tcPr>
            <w:tcW w:w="62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11,450</w:t>
            </w:r>
          </w:p>
        </w:tc>
        <w:tc>
          <w:tcPr>
            <w:tcW w:w="48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26,532</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79,264</w:t>
            </w:r>
          </w:p>
        </w:tc>
        <w:tc>
          <w:tcPr>
            <w:tcW w:w="4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28,912</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15,291</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Five to six months....................</w:t>
            </w:r>
          </w:p>
        </w:tc>
        <w:tc>
          <w:tcPr>
            <w:tcW w:w="62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9,494</w:t>
            </w:r>
          </w:p>
        </w:tc>
        <w:tc>
          <w:tcPr>
            <w:tcW w:w="48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11,263</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27,115</w:t>
            </w:r>
          </w:p>
        </w:tc>
        <w:tc>
          <w:tcPr>
            <w:tcW w:w="4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20,929</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14,348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Seven to 12 months....................</w:t>
            </w:r>
          </w:p>
        </w:tc>
        <w:tc>
          <w:tcPr>
            <w:tcW w:w="62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18,426</w:t>
            </w:r>
          </w:p>
        </w:tc>
        <w:tc>
          <w:tcPr>
            <w:tcW w:w="48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28,606</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26,122</w:t>
            </w:r>
          </w:p>
        </w:tc>
        <w:tc>
          <w:tcPr>
            <w:tcW w:w="4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23,621</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13,004</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Over 12 months........................</w:t>
            </w:r>
          </w:p>
        </w:tc>
        <w:tc>
          <w:tcPr>
            <w:tcW w:w="62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89,217</w:t>
            </w:r>
          </w:p>
        </w:tc>
        <w:tc>
          <w:tcPr>
            <w:tcW w:w="48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70,410</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30,606</w:t>
            </w:r>
          </w:p>
        </w:tc>
        <w:tc>
          <w:tcPr>
            <w:tcW w:w="4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10,659</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43,366</w:t>
            </w:r>
          </w:p>
        </w:tc>
      </w:tr>
      <w:tr>
        <w:trPr>
          <w:trHeight w:val="167"/>
        </w:trPr>
        <w:tc>
          <w:tcPr>
            <w:tcW w:w="356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146,419</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167,506</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201,551</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167,265</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103,704</w:t>
            </w:r>
          </w:p>
        </w:tc>
      </w:tr>
      <w:tr>
        <w:trPr>
          <w:trHeight w:val="167"/>
        </w:trPr>
        <w:tc>
          <w:tcPr>
            <w:tcW w:w="356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Company actively manages its real estate owned. Sales of real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estate owned resulted in (losses) gains, net of the provision for loss,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$(4,159), $8,257 and $25,213 during 2000, 1999 and 1998, respectively, which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determining the Company's gain (loss) on real estate owned. Real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estate owned that the Company has held in excess of one year as of December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includes a large retail property with a carrying value of $46,911.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anticipated, this property migrated into the over 12 month category in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because it was being repositioned for sale. Also included in the balance of real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estate owned held in excess of one year at December 31, 2000 is an office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building with a carrying value of $12,386 which was subsequently sold in January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The average period during which the Company held the real estate owned,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was sold during the years ended December 31, 2000, 1999 and 1998, was 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6 months and 6 months, respectively.</w:t>
      </w:r>
    </w:p>
    <w:p>
      <w:pPr>
        <w:spacing w:after="0" w:line="175" w:lineRule="exact"/>
        <w:rPr>
          <w:sz w:val="20"/>
          <w:szCs w:val="20"/>
          <w:color w:val="auto"/>
        </w:rPr>
      </w:pPr>
    </w:p>
    <w:p>
      <w:pPr>
        <w:ind w:right="4000" w:firstLine="781"/>
        <w:spacing w:after="0" w:line="253" w:lineRule="auto"/>
        <w:rPr>
          <w:sz w:val="20"/>
          <w:szCs w:val="20"/>
          <w:color w:val="auto"/>
        </w:rPr>
      </w:pPr>
      <w:r>
        <w:rPr>
          <w:rFonts w:ascii="Courier New" w:cs="Courier New" w:eastAsia="Courier New" w:hAnsi="Courier New"/>
          <w:sz w:val="14"/>
          <w:szCs w:val="14"/>
          <w:color w:val="auto"/>
        </w:rPr>
        <w:t>Properties acquired through foreclosure or by deed-in-lieu thereof are valued at the lower of amortized cost or fair value after foreclosure. Properties included in the Company's real estate owned portfolio are periodically re-evaluated to determine that they are being carried at the lower of cost or fair value less estimated costs to sell. Holding and maintenance costs related to properties are recorded as expenses in the period incurred. Decreases in value resulting from valuation adjustments to real estate owned subsequent to acquisition are recognized as a valuation allowance. Subsequent increases related to the valuation of real estate owned are reflected as a reduction in the valuation allowance, but not below zero. Increases and decreases in the valuation allowance are charged or credited to income, respectively.</w:t>
      </w:r>
    </w:p>
    <w:p>
      <w:pPr>
        <w:spacing w:after="0" w:line="331" w:lineRule="exact"/>
        <w:rPr>
          <w:sz w:val="20"/>
          <w:szCs w:val="20"/>
          <w:color w:val="auto"/>
        </w:rPr>
      </w:pPr>
    </w:p>
    <w:p>
      <w:pPr>
        <w:ind w:right="4420" w:firstLine="781"/>
        <w:spacing w:after="0" w:line="258" w:lineRule="auto"/>
        <w:rPr>
          <w:sz w:val="20"/>
          <w:szCs w:val="20"/>
          <w:color w:val="auto"/>
        </w:rPr>
      </w:pPr>
      <w:r>
        <w:rPr>
          <w:rFonts w:ascii="Courier New" w:cs="Courier New" w:eastAsia="Courier New" w:hAnsi="Courier New"/>
          <w:sz w:val="14"/>
          <w:szCs w:val="14"/>
          <w:color w:val="auto"/>
        </w:rPr>
        <w:t>The following table sets forth the activity, in aggregate, in the valuation allowance on real estate owned during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626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1998</w:t>
            </w:r>
          </w:p>
        </w:tc>
        <w:tc>
          <w:tcPr>
            <w:tcW w:w="16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Balance at beginning of year......................</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17,181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15,325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12,346</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11,493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4,606</w:t>
            </w:r>
          </w:p>
        </w:tc>
      </w:tr>
      <w:tr>
        <w:trPr>
          <w:trHeight w:val="167"/>
        </w:trPr>
        <w:tc>
          <w:tcPr>
            <w:tcW w:w="4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Provisions for losses.............................</w:t>
            </w:r>
          </w:p>
        </w:tc>
        <w:tc>
          <w:tcPr>
            <w:tcW w:w="5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26,674</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28,008</w:t>
            </w:r>
          </w:p>
        </w:tc>
        <w:tc>
          <w:tcPr>
            <w:tcW w:w="34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18,626</w:t>
            </w:r>
          </w:p>
        </w:tc>
        <w:tc>
          <w:tcPr>
            <w:tcW w:w="1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13,450</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18,360</w:t>
            </w:r>
          </w:p>
        </w:tc>
      </w:tr>
      <w:tr>
        <w:trPr>
          <w:trHeight w:val="167"/>
        </w:trPr>
        <w:tc>
          <w:tcPr>
            <w:tcW w:w="4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Charge-offs and sales.............................</w:t>
            </w:r>
          </w:p>
        </w:tc>
        <w:tc>
          <w:tcPr>
            <w:tcW w:w="5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(25,713)</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(26,152)</w:t>
            </w:r>
          </w:p>
        </w:tc>
        <w:tc>
          <w:tcPr>
            <w:tcW w:w="34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(15,647)</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(12,597)</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(11,473)</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Balance at end of year............................</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18,142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17,181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15,325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12,346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11,493</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Valuation allowance as a percentage of total gross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real estate owned (1)..........................</w:t>
            </w:r>
          </w:p>
        </w:tc>
        <w:tc>
          <w:tcPr>
            <w:tcW w:w="5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11.02%</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9.30%</w:t>
            </w:r>
          </w:p>
        </w:tc>
        <w:tc>
          <w:tcPr>
            <w:tcW w:w="34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7.07%</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6.87%</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9.98%</w:t>
            </w:r>
          </w:p>
        </w:tc>
      </w:tr>
    </w:tbl>
    <w:p>
      <w:pPr>
        <w:sectPr>
          <w:pgSz w:w="11900" w:h="16838" w:orient="portrait"/>
          <w:cols w:equalWidth="0" w:num="1">
            <w:col w:w="10860"/>
          </w:cols>
          <w:pgMar w:left="220" w:top="453" w:right="819" w:bottom="0" w:gutter="0" w:footer="0" w:header="0"/>
        </w:sectPr>
      </w:pPr>
    </w:p>
    <w:bookmarkStart w:id="74" w:name="page75"/>
    <w:bookmarkEnd w:id="74"/>
    <w:p>
      <w:pPr>
        <w:ind w:left="791" w:right="3279" w:hanging="791"/>
        <w:spacing w:after="0" w:line="255" w:lineRule="auto"/>
        <w:tabs>
          <w:tab w:leader="none" w:pos="79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higher percentages at December 31, 2000 and 1999 reflect increases in the amount of real estate owned which the Company has held in excess of one year, as discussed above.</w:t>
      </w:r>
    </w:p>
    <w:p>
      <w:pPr>
        <w:spacing w:after="0" w:line="200" w:lineRule="exact"/>
        <w:rPr>
          <w:sz w:val="20"/>
          <w:szCs w:val="20"/>
          <w:color w:val="auto"/>
        </w:rPr>
      </w:pPr>
    </w:p>
    <w:p>
      <w:pPr>
        <w:spacing w:after="0" w:line="296"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0"/>
          </w:cols>
          <w:pgMar w:left="229" w:top="141" w:right="1440" w:bottom="1440" w:gutter="0" w:footer="0" w:header="0"/>
        </w:sectPr>
      </w:pPr>
    </w:p>
    <w:bookmarkStart w:id="75" w:name="page76"/>
    <w:bookmarkEnd w:id="75"/>
    <w:p>
      <w:pPr>
        <w:ind w:right="450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right="4080" w:firstLine="781"/>
        <w:spacing w:after="0" w:line="254" w:lineRule="auto"/>
        <w:rPr>
          <w:sz w:val="20"/>
          <w:szCs w:val="20"/>
          <w:color w:val="auto"/>
        </w:rPr>
      </w:pPr>
      <w:r>
        <w:rPr>
          <w:rFonts w:ascii="Courier New" w:cs="Courier New" w:eastAsia="Courier New" w:hAnsi="Courier New"/>
          <w:sz w:val="14"/>
          <w:szCs w:val="14"/>
          <w:color w:val="auto"/>
        </w:rPr>
        <w:t>From time to time, the Company makes loans to finance the sale of real estate owned. At December 31, 2000, such loans amounted to $2,960 of commercial loans. All of the Company's loans to finance the sale of real estate owned were performing in accordance with their terms at December 31, 2000.</w:t>
      </w:r>
    </w:p>
    <w:p>
      <w:pPr>
        <w:spacing w:after="0" w:line="163" w:lineRule="exact"/>
        <w:rPr>
          <w:sz w:val="20"/>
          <w:szCs w:val="20"/>
          <w:color w:val="auto"/>
        </w:rPr>
      </w:pPr>
    </w:p>
    <w:p>
      <w:pPr>
        <w:ind w:right="4760" w:firstLine="781"/>
        <w:spacing w:after="0" w:line="258" w:lineRule="auto"/>
        <w:rPr>
          <w:sz w:val="20"/>
          <w:szCs w:val="20"/>
          <w:color w:val="auto"/>
        </w:rPr>
      </w:pPr>
      <w:r>
        <w:rPr>
          <w:rFonts w:ascii="Courier New" w:cs="Courier New" w:eastAsia="Courier New" w:hAnsi="Courier New"/>
          <w:sz w:val="14"/>
          <w:szCs w:val="14"/>
          <w:color w:val="auto"/>
        </w:rPr>
        <w:t>See Note 11 to the Consolidated Financial Statements (which is incorporated herein by reference).</w:t>
      </w:r>
    </w:p>
    <w:p>
      <w:pPr>
        <w:spacing w:after="0" w:line="160" w:lineRule="exact"/>
        <w:rPr>
          <w:sz w:val="20"/>
          <w:szCs w:val="20"/>
          <w:color w:val="auto"/>
        </w:rPr>
      </w:pPr>
    </w:p>
    <w:p>
      <w:pPr>
        <w:ind w:right="3980" w:firstLine="781"/>
        <w:spacing w:after="0" w:line="253" w:lineRule="auto"/>
        <w:rPr>
          <w:sz w:val="20"/>
          <w:szCs w:val="20"/>
          <w:color w:val="auto"/>
        </w:rPr>
      </w:pPr>
      <w:r>
        <w:rPr>
          <w:rFonts w:ascii="Courier New" w:cs="Courier New" w:eastAsia="Courier New" w:hAnsi="Courier New"/>
          <w:sz w:val="14"/>
          <w:szCs w:val="14"/>
          <w:color w:val="auto"/>
        </w:rPr>
        <w:t>INVESTMENT IN REAL ESTATE. The Company's investments in real estate amounted to $122,761 and $268,241 at December 31, 2000 and 1999, respectively. The $145,480 decline during 2000 was primarily due to the transfer of 6 properties with an aggregate carrying value of $174,480 to held for sale, offset in part by the purchase of certain acquisition, development and construction loans which are accounted for as investments in real estate. Under the terms of these loans, which had a carrying value of $45,786 at December 31, 2000, the Company participates in the expected residual profits of the underlying real estate and the borrower has not contributed substantial equity to the project. As such, the Company accounts for these loans under the equity method as though it had an investment in a real estate limited partnership.</w:t>
      </w:r>
    </w:p>
    <w:p>
      <w:pPr>
        <w:spacing w:after="0" w:line="164" w:lineRule="exact"/>
        <w:rPr>
          <w:sz w:val="20"/>
          <w:szCs w:val="20"/>
          <w:color w:val="auto"/>
        </w:rPr>
      </w:pPr>
    </w:p>
    <w:p>
      <w:pPr>
        <w:ind w:right="4500" w:firstLine="434"/>
        <w:spacing w:after="0" w:line="258" w:lineRule="auto"/>
        <w:rPr>
          <w:sz w:val="20"/>
          <w:szCs w:val="20"/>
          <w:color w:val="auto"/>
        </w:rPr>
      </w:pPr>
      <w:r>
        <w:rPr>
          <w:rFonts w:ascii="Courier New" w:cs="Courier New" w:eastAsia="Courier New" w:hAnsi="Courier New"/>
          <w:sz w:val="14"/>
          <w:szCs w:val="14"/>
          <w:color w:val="auto"/>
        </w:rPr>
        <w:t>The Company's properties held for investment at December 31, 2000 are comprised of the following:</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Date</w:t>
            </w:r>
          </w:p>
        </w:tc>
        <w:tc>
          <w:tcPr>
            <w:tcW w:w="2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Acquired</w:t>
            </w:r>
          </w:p>
        </w:tc>
        <w:tc>
          <w:tcPr>
            <w:tcW w:w="2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Property</w:t>
            </w:r>
          </w:p>
        </w:tc>
        <w:tc>
          <w:tcPr>
            <w:tcW w:w="21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Location</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Feet</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Property Type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Leased</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Carrying Value</w:t>
            </w:r>
          </w:p>
        </w:tc>
      </w:tr>
      <w:tr>
        <w:trPr>
          <w:trHeight w:val="167"/>
        </w:trPr>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07/22/98 (1)</w:t>
            </w:r>
          </w:p>
        </w:tc>
        <w:tc>
          <w:tcPr>
            <w:tcW w:w="2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841 Prudential Drive</w:t>
            </w:r>
          </w:p>
        </w:tc>
        <w:tc>
          <w:tcPr>
            <w:tcW w:w="2180" w:type="dxa"/>
            <w:vAlign w:val="bottom"/>
          </w:tcPr>
          <w:p>
            <w:pPr>
              <w:ind w:left="300"/>
              <w:spacing w:after="0"/>
              <w:rPr>
                <w:sz w:val="20"/>
                <w:szCs w:val="20"/>
                <w:color w:val="auto"/>
              </w:rPr>
            </w:pPr>
            <w:r>
              <w:rPr>
                <w:rFonts w:ascii="Courier New" w:cs="Courier New" w:eastAsia="Courier New" w:hAnsi="Courier New"/>
                <w:sz w:val="14"/>
                <w:szCs w:val="14"/>
                <w:color w:val="auto"/>
              </w:rPr>
              <w:t>Jacksonville, FL</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550,000</w:t>
            </w:r>
          </w:p>
        </w:tc>
        <w:tc>
          <w:tcPr>
            <w:tcW w:w="1560" w:type="dxa"/>
            <w:vAlign w:val="bottom"/>
          </w:tcPr>
          <w:p>
            <w:pPr>
              <w:ind w:left="160"/>
              <w:spacing w:after="0"/>
              <w:rPr>
                <w:sz w:val="20"/>
                <w:szCs w:val="20"/>
                <w:color w:val="auto"/>
              </w:rPr>
            </w:pPr>
            <w:r>
              <w:rPr>
                <w:rFonts w:ascii="Courier New" w:cs="Courier New" w:eastAsia="Courier New" w:hAnsi="Courier New"/>
                <w:sz w:val="14"/>
                <w:szCs w:val="14"/>
                <w:color w:val="auto"/>
              </w:rPr>
              <w:t>Office Bldg.</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99.78%</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34,121</w:t>
            </w:r>
          </w:p>
        </w:tc>
      </w:tr>
      <w:tr>
        <w:trPr>
          <w:trHeight w:val="167"/>
        </w:trPr>
        <w:tc>
          <w:tcPr>
            <w:tcW w:w="1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04/09/98 (1)</w:t>
            </w:r>
          </w:p>
        </w:tc>
        <w:tc>
          <w:tcPr>
            <w:tcW w:w="2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7075 Bayers Road</w:t>
            </w:r>
          </w:p>
        </w:tc>
        <w:tc>
          <w:tcPr>
            <w:tcW w:w="21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Halifax, Nova Scotia</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402,529</w:t>
            </w:r>
          </w:p>
        </w:tc>
        <w:tc>
          <w:tcPr>
            <w:tcW w:w="1560" w:type="dxa"/>
            <w:vAlign w:val="bottom"/>
          </w:tcPr>
          <w:p>
            <w:pPr>
              <w:ind w:left="160"/>
              <w:spacing w:after="0"/>
              <w:rPr>
                <w:sz w:val="20"/>
                <w:szCs w:val="20"/>
                <w:color w:val="auto"/>
              </w:rPr>
            </w:pPr>
            <w:r>
              <w:rPr>
                <w:rFonts w:ascii="Courier New" w:cs="Courier New" w:eastAsia="Courier New" w:hAnsi="Courier New"/>
                <w:sz w:val="14"/>
                <w:szCs w:val="14"/>
                <w:color w:val="auto"/>
              </w:rPr>
              <w:t>Shopping Ctr.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66.23</w:t>
            </w:r>
          </w:p>
        </w:tc>
        <w:tc>
          <w:tcPr>
            <w:tcW w:w="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20,648</w:t>
            </w:r>
          </w:p>
        </w:tc>
      </w:tr>
      <w:tr>
        <w:trPr>
          <w:trHeight w:val="334"/>
        </w:trPr>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2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Accumulated depreciation</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(2,359)</w:t>
            </w:r>
          </w:p>
        </w:tc>
      </w:tr>
      <w:tr>
        <w:trPr>
          <w:trHeight w:val="167"/>
        </w:trPr>
        <w:tc>
          <w:tcPr>
            <w:tcW w:w="1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52,410</w:t>
            </w:r>
          </w:p>
        </w:tc>
      </w:tr>
    </w:tbl>
    <w:p>
      <w:pPr>
        <w:spacing w:after="0" w:line="338" w:lineRule="exact"/>
        <w:rPr>
          <w:sz w:val="20"/>
          <w:szCs w:val="20"/>
          <w:color w:val="auto"/>
        </w:rPr>
      </w:pPr>
    </w:p>
    <w:p>
      <w:pPr>
        <w:ind w:left="800" w:hanging="791"/>
        <w:spacing w:after="0"/>
        <w:tabs>
          <w:tab w:leader="none" w:pos="8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Acquired by the Company through the acquisition of OAC in October 1999.</w:t>
      </w:r>
    </w:p>
    <w:p>
      <w:pPr>
        <w:spacing w:after="0" w:line="200" w:lineRule="exact"/>
        <w:rPr>
          <w:sz w:val="20"/>
          <w:szCs w:val="20"/>
          <w:color w:val="auto"/>
        </w:rPr>
      </w:pPr>
    </w:p>
    <w:p>
      <w:pPr>
        <w:spacing w:after="0" w:line="309" w:lineRule="exact"/>
        <w:rPr>
          <w:sz w:val="20"/>
          <w:szCs w:val="20"/>
          <w:color w:val="auto"/>
        </w:rPr>
      </w:pPr>
    </w:p>
    <w:p>
      <w:pPr>
        <w:ind w:right="3980" w:firstLine="781"/>
        <w:spacing w:after="0" w:line="253" w:lineRule="auto"/>
        <w:rPr>
          <w:sz w:val="20"/>
          <w:szCs w:val="20"/>
          <w:color w:val="auto"/>
        </w:rPr>
      </w:pPr>
      <w:r>
        <w:rPr>
          <w:rFonts w:ascii="Courier New" w:cs="Courier New" w:eastAsia="Courier New" w:hAnsi="Courier New"/>
          <w:sz w:val="14"/>
          <w:szCs w:val="14"/>
          <w:color w:val="auto"/>
        </w:rPr>
        <w:t>Prudential Building. In July 1998, OAC purchased the Prudential Building, a 515,000 square foot, 22-story office building located in the central business district of Jacksonville, Florida for an aggregate purchase price of $36.0 million, plus closing costs. The purchase price was funded with cash on hand and advances from a line of credit. Simultaneously with this closing, OAC also leased 98% of the building back to the Prudential Insurance Co. of America for a term expiring July 31, 2002 and sold two adjacent parking areas to a neighboring hospital for approximately $4.1 million. Aetna U.S. Healthcare has executed a 7-year lease, commencing on August 1, 2002, for approximately 297,000 square feet. This lease is contingent upon, among other factors, the construction and completion of an 1,100 space parking garage prior to the commencement date.</w:t>
      </w:r>
    </w:p>
    <w:p>
      <w:pPr>
        <w:spacing w:after="0" w:line="331" w:lineRule="exact"/>
        <w:rPr>
          <w:sz w:val="20"/>
          <w:szCs w:val="20"/>
          <w:color w:val="auto"/>
        </w:rPr>
      </w:pPr>
    </w:p>
    <w:p>
      <w:pPr>
        <w:ind w:right="3980" w:firstLine="781"/>
        <w:spacing w:after="0" w:line="253" w:lineRule="auto"/>
        <w:rPr>
          <w:sz w:val="20"/>
          <w:szCs w:val="20"/>
          <w:color w:val="auto"/>
        </w:rPr>
      </w:pPr>
      <w:r>
        <w:rPr>
          <w:rFonts w:ascii="Courier New" w:cs="Courier New" w:eastAsia="Courier New" w:hAnsi="Courier New"/>
          <w:sz w:val="14"/>
          <w:szCs w:val="14"/>
          <w:color w:val="auto"/>
        </w:rPr>
        <w:t>Bayer's Road Shopping Centre. In April 1998, OAC acquired the Bayers Road Shopping Centre, which is located at 7075 Bayers Road in Halifax, Nova Scotia. The property was acquired by foreclosure on the loans secured by the property, which were acquired by OAC at a discount in September 1997. The property contains 408,183 square feet of space, which consists primarily of retail space but also includes some office space and storage space. The original buildings were built in 1956 and were enclosed and expanded in several phases between 1971 and 1987. The property was approximately 66.23% leased at December 31, 2000. The Company currently is implementing a renovation plan to establish the second level as a community shopping center anchored by value-oriented retailers while filling the lower level with service providers, discount retailers and entertainment uses. The third level will remain office space.</w:t>
      </w:r>
    </w:p>
    <w:p>
      <w:pPr>
        <w:spacing w:after="0" w:line="164" w:lineRule="exact"/>
        <w:rPr>
          <w:sz w:val="20"/>
          <w:szCs w:val="20"/>
          <w:color w:val="auto"/>
        </w:rPr>
      </w:pPr>
    </w:p>
    <w:p>
      <w:pPr>
        <w:ind w:right="4080" w:firstLine="781"/>
        <w:spacing w:after="0" w:line="258" w:lineRule="auto"/>
        <w:rPr>
          <w:sz w:val="20"/>
          <w:szCs w:val="20"/>
          <w:color w:val="auto"/>
        </w:rPr>
      </w:pPr>
      <w:r>
        <w:rPr>
          <w:rFonts w:ascii="Courier New" w:cs="Courier New" w:eastAsia="Courier New" w:hAnsi="Courier New"/>
          <w:sz w:val="14"/>
          <w:szCs w:val="14"/>
          <w:color w:val="auto"/>
        </w:rPr>
        <w:t>The following table sets forth various information for each investment in real estate through December 31, 2000:</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Gross Book</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282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Initial Cost</w:t>
            </w:r>
          </w:p>
        </w:tc>
        <w:tc>
          <w:tcPr>
            <w:tcW w:w="13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Fair Value</w:t>
            </w:r>
          </w:p>
        </w:tc>
        <w:tc>
          <w:tcPr>
            <w:tcW w:w="1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Value at</w:t>
            </w:r>
          </w:p>
        </w:tc>
        <w:tc>
          <w:tcPr>
            <w:tcW w:w="13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Accumulated</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Rents due and</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Property</w:t>
            </w:r>
          </w:p>
        </w:tc>
        <w:tc>
          <w:tcPr>
            <w:tcW w:w="40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 OAC</w:t>
            </w:r>
          </w:p>
        </w:tc>
        <w:tc>
          <w:tcPr>
            <w:tcW w:w="13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Adjustments</w:t>
            </w:r>
          </w:p>
        </w:tc>
        <w:tc>
          <w:tcPr>
            <w:tcW w:w="16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12/31/00</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Depreciation</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accrued at end</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Rental</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Income</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Prudential....................</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32,827</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34,121</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2,561</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8,303</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Bayers Road...................</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15,219</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(1,866)</w:t>
            </w:r>
          </w:p>
        </w:tc>
        <w:tc>
          <w:tcPr>
            <w:tcW w:w="1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20,648</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1,036</w:t>
            </w:r>
          </w:p>
        </w:tc>
        <w:tc>
          <w:tcPr>
            <w:tcW w:w="3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w:t>
            </w:r>
          </w:p>
        </w:tc>
        <w:tc>
          <w:tcPr>
            <w:tcW w:w="6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3,010</w:t>
            </w:r>
          </w:p>
        </w:tc>
      </w:tr>
      <w:tr>
        <w:trPr>
          <w:trHeight w:val="167"/>
        </w:trPr>
        <w:tc>
          <w:tcPr>
            <w:tcW w:w="282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ind w:left="26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48,046</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54,769</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2,731</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11,313</w:t>
            </w:r>
          </w:p>
        </w:tc>
      </w:tr>
      <w:tr>
        <w:trPr>
          <w:trHeight w:val="167"/>
        </w:trPr>
        <w:tc>
          <w:tcPr>
            <w:tcW w:w="282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501"/>
        </w:trPr>
        <w:tc>
          <w:tcPr>
            <w:tcW w:w="2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48</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940"/>
          </w:cols>
          <w:pgMar w:left="220" w:top="453" w:right="739" w:bottom="97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Management's Discussion</w:t>
            </w:r>
          </w:p>
        </w:tc>
        <w:tc>
          <w:tcPr>
            <w:tcW w:w="5120" w:type="dxa"/>
            <w:vAlign w:val="bottom"/>
            <w:gridSpan w:val="5"/>
          </w:tcPr>
          <w:p>
            <w:pPr>
              <w:spacing w:after="0"/>
              <w:rPr>
                <w:sz w:val="20"/>
                <w:szCs w:val="20"/>
                <w:color w:val="auto"/>
              </w:rPr>
            </w:pPr>
            <w:r>
              <w:rPr>
                <w:rFonts w:ascii="Courier New" w:cs="Courier New" w:eastAsia="Courier New" w:hAnsi="Courier New"/>
                <w:sz w:val="14"/>
                <w:szCs w:val="14"/>
                <w:color w:val="auto"/>
              </w:rPr>
              <w:t>and Analysis of Financial Condition and Results of</w:t>
            </w: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Operations. (Dollars in</w:t>
            </w:r>
          </w:p>
        </w:tc>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thousands, except share data)</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722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34"/>
        </w:trPr>
        <w:tc>
          <w:tcPr>
            <w:tcW w:w="7220" w:type="dxa"/>
            <w:vAlign w:val="bottom"/>
            <w:gridSpan w:val="7"/>
          </w:tcPr>
          <w:p>
            <w:pPr>
              <w:jc w:val="right"/>
              <w:ind w:right="448"/>
              <w:spacing w:after="0"/>
              <w:rPr>
                <w:sz w:val="20"/>
                <w:szCs w:val="20"/>
                <w:color w:val="auto"/>
              </w:rPr>
            </w:pPr>
            <w:r>
              <w:rPr>
                <w:rFonts w:ascii="Courier New" w:cs="Courier New" w:eastAsia="Courier New" w:hAnsi="Courier New"/>
                <w:sz w:val="14"/>
                <w:szCs w:val="14"/>
                <w:color w:val="auto"/>
              </w:rPr>
              <w:t>The following table sets forth a summary schedule of the total lease</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7"/>
        </w:trPr>
        <w:tc>
          <w:tcPr>
            <w:tcW w:w="7220" w:type="dxa"/>
            <w:vAlign w:val="bottom"/>
            <w:gridSpan w:val="7"/>
          </w:tcPr>
          <w:p>
            <w:pPr>
              <w:spacing w:after="0"/>
              <w:rPr>
                <w:sz w:val="20"/>
                <w:szCs w:val="20"/>
                <w:color w:val="auto"/>
              </w:rPr>
            </w:pPr>
            <w:r>
              <w:rPr>
                <w:rFonts w:ascii="Courier New" w:cs="Courier New" w:eastAsia="Courier New" w:hAnsi="Courier New"/>
                <w:sz w:val="14"/>
                <w:szCs w:val="14"/>
                <w:color w:val="auto"/>
              </w:rPr>
              <w:t>expirations for the Company's investments in real estate for leases in place as</w:t>
            </w: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7220" w:type="dxa"/>
            <w:vAlign w:val="bottom"/>
            <w:gridSpan w:val="7"/>
          </w:tcPr>
          <w:p>
            <w:pPr>
              <w:spacing w:after="0"/>
              <w:rPr>
                <w:sz w:val="20"/>
                <w:szCs w:val="20"/>
                <w:color w:val="auto"/>
              </w:rPr>
            </w:pPr>
            <w:r>
              <w:rPr>
                <w:rFonts w:ascii="Courier New" w:cs="Courier New" w:eastAsia="Courier New" w:hAnsi="Courier New"/>
                <w:sz w:val="14"/>
                <w:szCs w:val="14"/>
                <w:color w:val="auto"/>
              </w:rPr>
              <w:t>of December 31, 2000, assuming that none of the tenants exercise renewal options</w:t>
            </w: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7220" w:type="dxa"/>
            <w:vAlign w:val="bottom"/>
            <w:gridSpan w:val="7"/>
          </w:tcPr>
          <w:p>
            <w:pPr>
              <w:spacing w:after="0"/>
              <w:rPr>
                <w:sz w:val="20"/>
                <w:szCs w:val="20"/>
                <w:color w:val="auto"/>
              </w:rPr>
            </w:pPr>
            <w:r>
              <w:rPr>
                <w:rFonts w:ascii="Courier New" w:cs="Courier New" w:eastAsia="Courier New" w:hAnsi="Courier New"/>
                <w:sz w:val="14"/>
                <w:szCs w:val="14"/>
                <w:color w:val="auto"/>
              </w:rPr>
              <w:t>or termination rights, if any, at or prior to the scheduled expirations.</w:t>
            </w: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68"/>
        </w:trPr>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Percentage of</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Average Base</w:t>
            </w:r>
          </w:p>
        </w:tc>
        <w:tc>
          <w:tcPr>
            <w:tcW w:w="14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Percentage of</w:t>
            </w:r>
          </w:p>
        </w:tc>
      </w:tr>
      <w:tr>
        <w:trPr>
          <w:trHeight w:val="167"/>
        </w:trPr>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Aggregate</w:t>
            </w:r>
          </w:p>
        </w:tc>
        <w:tc>
          <w:tcPr>
            <w:tcW w:w="15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Annualized</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Rent per</w:t>
            </w:r>
          </w:p>
        </w:tc>
        <w:tc>
          <w:tcPr>
            <w:tcW w:w="14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Aggregate</w:t>
            </w:r>
          </w:p>
        </w:tc>
      </w:tr>
      <w:tr>
        <w:trPr>
          <w:trHeight w:val="167"/>
        </w:trPr>
        <w:tc>
          <w:tcPr>
            <w:tcW w:w="140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Number</w:t>
            </w:r>
          </w:p>
        </w:tc>
        <w:tc>
          <w:tcPr>
            <w:tcW w:w="38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Square Footage</w:t>
            </w: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Portfolio</w:t>
            </w:r>
          </w:p>
        </w:tc>
        <w:tc>
          <w:tcPr>
            <w:tcW w:w="15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Base Rent of</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Square Foot of</w:t>
            </w:r>
          </w:p>
        </w:tc>
        <w:tc>
          <w:tcPr>
            <w:tcW w:w="14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Portfolio</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Year of Lease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Leases</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of Expiring</w:t>
            </w:r>
          </w:p>
        </w:tc>
        <w:tc>
          <w:tcPr>
            <w:tcW w:w="1700" w:type="dxa"/>
            <w:vAlign w:val="bottom"/>
          </w:tcPr>
          <w:p>
            <w:pPr>
              <w:jc w:val="center"/>
              <w:spacing w:after="0"/>
              <w:rPr>
                <w:sz w:val="20"/>
                <w:szCs w:val="20"/>
                <w:color w:val="auto"/>
              </w:rPr>
            </w:pPr>
            <w:r>
              <w:rPr>
                <w:rFonts w:ascii="Courier New" w:cs="Courier New" w:eastAsia="Courier New" w:hAnsi="Courier New"/>
                <w:sz w:val="14"/>
                <w:szCs w:val="14"/>
                <w:color w:val="auto"/>
              </w:rPr>
              <w:t>Leased Square</w:t>
            </w:r>
          </w:p>
        </w:tc>
        <w:tc>
          <w:tcPr>
            <w:tcW w:w="15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Expiring</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Expiring</w:t>
            </w:r>
          </w:p>
        </w:tc>
        <w:tc>
          <w:tcPr>
            <w:tcW w:w="14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Annualized Base</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Expiration(1)</w:t>
            </w: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Expiring</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Leases</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Feet</w:t>
            </w:r>
          </w:p>
        </w:tc>
        <w:tc>
          <w:tcPr>
            <w:tcW w:w="15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Leases (2)</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Leases (3)</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Rent</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14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380" w:type="dxa"/>
            <w:vAlign w:val="bottom"/>
          </w:tcPr>
          <w:p>
            <w:pPr>
              <w:spacing w:after="0"/>
              <w:rPr>
                <w:sz w:val="24"/>
                <w:szCs w:val="2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26,560</w:t>
            </w:r>
          </w:p>
        </w:tc>
        <w:tc>
          <w:tcPr>
            <w:tcW w:w="17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3.72%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3.39</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w:t>
            </w:r>
          </w:p>
        </w:tc>
      </w:tr>
      <w:tr>
        <w:trPr>
          <w:trHeight w:val="167"/>
        </w:trPr>
        <w:tc>
          <w:tcPr>
            <w:tcW w:w="14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495,204</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69.41</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4,487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9.06</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84.65</w:t>
            </w:r>
          </w:p>
        </w:tc>
      </w:tr>
      <w:tr>
        <w:trPr>
          <w:trHeight w:val="167"/>
        </w:trPr>
        <w:tc>
          <w:tcPr>
            <w:tcW w:w="14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10,700</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1.50</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3.99</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0.80</w:t>
            </w:r>
          </w:p>
        </w:tc>
      </w:tr>
      <w:tr>
        <w:trPr>
          <w:trHeight w:val="167"/>
        </w:trPr>
        <w:tc>
          <w:tcPr>
            <w:tcW w:w="14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9,782</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1.37</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3.36</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0.62</w:t>
            </w:r>
          </w:p>
        </w:tc>
      </w:tr>
      <w:tr>
        <w:trPr>
          <w:trHeight w:val="167"/>
        </w:trPr>
        <w:tc>
          <w:tcPr>
            <w:tcW w:w="14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39,772</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5.57</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3.36</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w:t>
            </w:r>
          </w:p>
        </w:tc>
      </w:tr>
      <w:tr>
        <w:trPr>
          <w:trHeight w:val="167"/>
        </w:trPr>
        <w:tc>
          <w:tcPr>
            <w:tcW w:w="14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96,601</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13.54</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3.46</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w:t>
            </w:r>
          </w:p>
        </w:tc>
      </w:tr>
      <w:tr>
        <w:trPr>
          <w:trHeight w:val="167"/>
        </w:trPr>
        <w:tc>
          <w:tcPr>
            <w:tcW w:w="14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14,123</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1.98</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3.72</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0.99</w:t>
            </w:r>
          </w:p>
        </w:tc>
      </w:tr>
      <w:tr>
        <w:trPr>
          <w:trHeight w:val="167"/>
        </w:trPr>
        <w:tc>
          <w:tcPr>
            <w:tcW w:w="14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4,409</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0.62</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9.57</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0.80</w:t>
            </w:r>
          </w:p>
        </w:tc>
      </w:tr>
      <w:tr>
        <w:trPr>
          <w:trHeight w:val="167"/>
        </w:trPr>
        <w:tc>
          <w:tcPr>
            <w:tcW w:w="14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2010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16,348</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2.29</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5.24</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w:t>
            </w:r>
          </w:p>
        </w:tc>
      </w:tr>
      <w:tr>
        <w:trPr>
          <w:trHeight w:val="167"/>
        </w:trPr>
        <w:tc>
          <w:tcPr>
            <w:tcW w:w="14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Thereafter</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713,499</w:t>
            </w:r>
          </w:p>
        </w:tc>
        <w:tc>
          <w:tcPr>
            <w:tcW w:w="17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100.00%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5,301</w:t>
            </w:r>
          </w:p>
        </w:tc>
        <w:tc>
          <w:tcPr>
            <w:tcW w:w="142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14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hanging="791"/>
        <w:spacing w:after="0"/>
        <w:tabs>
          <w:tab w:leader="none" w:pos="8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year runs from January 1 to December 31 for all years.</w:t>
      </w:r>
    </w:p>
    <w:p>
      <w:pPr>
        <w:spacing w:after="0" w:line="175" w:lineRule="exact"/>
        <w:rPr>
          <w:rFonts w:ascii="Courier New" w:cs="Courier New" w:eastAsia="Courier New" w:hAnsi="Courier New"/>
          <w:sz w:val="14"/>
          <w:szCs w:val="14"/>
          <w:color w:val="auto"/>
        </w:rPr>
      </w:pPr>
    </w:p>
    <w:p>
      <w:pPr>
        <w:ind w:left="800" w:right="3539" w:hanging="791"/>
        <w:spacing w:after="0" w:line="258" w:lineRule="auto"/>
        <w:tabs>
          <w:tab w:leader="none" w:pos="8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Annualized base rent is calculated based on the amount of rent scheduled from January 1 of the listed year to the lease expiration.</w:t>
      </w:r>
    </w:p>
    <w:p>
      <w:pPr>
        <w:spacing w:after="0" w:line="159" w:lineRule="exact"/>
        <w:rPr>
          <w:rFonts w:ascii="Courier New" w:cs="Courier New" w:eastAsia="Courier New" w:hAnsi="Courier New"/>
          <w:sz w:val="14"/>
          <w:szCs w:val="14"/>
          <w:color w:val="auto"/>
        </w:rPr>
      </w:pPr>
    </w:p>
    <w:p>
      <w:pPr>
        <w:ind w:left="800" w:right="3539" w:hanging="791"/>
        <w:spacing w:after="0" w:line="258" w:lineRule="auto"/>
        <w:tabs>
          <w:tab w:leader="none" w:pos="8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Average base rent per square foot is calculated using the annualized base rent divided by the square footage.</w:t>
      </w:r>
    </w:p>
    <w:p>
      <w:pPr>
        <w:spacing w:after="0" w:line="200" w:lineRule="exact"/>
        <w:rPr>
          <w:sz w:val="20"/>
          <w:szCs w:val="20"/>
          <w:color w:val="auto"/>
        </w:rPr>
      </w:pPr>
    </w:p>
    <w:p>
      <w:pPr>
        <w:spacing w:after="0" w:line="29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Company regularly engages in negotiations with existing tenants to extend leases due to expire as well as to enter into new leases with other interested parties. Square footage involved in such negotiations may vary from a small sub-tenancy to substantially all the available space at any given property.</w:t>
      </w:r>
    </w:p>
    <w:p>
      <w:pPr>
        <w:spacing w:after="0" w:line="330"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Non-cancellable operating leases with tenants expire on various dates through 2010. The future minimum rental income (base rent) to be received under leases existing as of December 31, 2000,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8,582</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5,354</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791</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547</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1,381</w:t>
            </w:r>
          </w:p>
        </w:tc>
      </w:tr>
      <w:tr>
        <w:trPr>
          <w:trHeight w:val="167"/>
        </w:trPr>
        <w:tc>
          <w:tcPr>
            <w:tcW w:w="54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4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17,524</w:t>
            </w:r>
          </w:p>
        </w:tc>
      </w:tr>
      <w:tr>
        <w:trPr>
          <w:trHeight w:val="167"/>
        </w:trPr>
        <w:tc>
          <w:tcPr>
            <w:tcW w:w="54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See "Real Estate Held for Sale" below and Note 13 to the Consolidated Financial Statements (which is incorporated herein by reference).</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453" w:right="1440" w:bottom="1440" w:gutter="0" w:footer="0" w:header="0"/>
        </w:sectPr>
      </w:pPr>
    </w:p>
    <w:bookmarkStart w:id="77" w:name="page78"/>
    <w:bookmarkEnd w:id="77"/>
    <w:p>
      <w:pPr>
        <w:ind w:right="442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900" w:firstLine="781"/>
        <w:spacing w:after="0" w:line="255" w:lineRule="auto"/>
        <w:rPr>
          <w:sz w:val="20"/>
          <w:szCs w:val="20"/>
          <w:color w:val="auto"/>
        </w:rPr>
      </w:pPr>
      <w:r>
        <w:rPr>
          <w:rFonts w:ascii="Courier New" w:cs="Courier New" w:eastAsia="Courier New" w:hAnsi="Courier New"/>
          <w:sz w:val="14"/>
          <w:szCs w:val="14"/>
          <w:color w:val="auto"/>
        </w:rPr>
        <w:t>REAL ESTATE HELD FOR SALE. The Company's real estate held for sale amounted to $22,670 at December 31, 2000 as compared to $0 at December 31, 1999, and was comprised of the following properties:</w:t>
      </w: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w:t>
      </w:r>
    </w:p>
    <w:p>
      <w:pPr>
        <w:sectPr>
          <w:pgSz w:w="11900" w:h="16838" w:orient="portrait"/>
          <w:cols w:equalWidth="0" w:num="1">
            <w:col w:w="10860"/>
          </w:cols>
          <w:pgMar w:left="220" w:top="453" w:right="819" w:bottom="1440" w:gutter="0" w:footer="0" w:header="0"/>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Acquired</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Property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Location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Square Feet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Property Type -------------</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Courier New" w:cs="Courier New" w:eastAsia="Courier New" w:hAnsi="Courier New"/>
          <w:sz w:val="14"/>
          <w:szCs w:val="14"/>
          <w:color w:val="auto"/>
        </w:rPr>
        <w:t>% Leased --------</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Courier New" w:cs="Courier New" w:eastAsia="Courier New" w:hAnsi="Courier New"/>
          <w:sz w:val="14"/>
          <w:szCs w:val="14"/>
          <w:color w:val="auto"/>
        </w:rPr>
        <w:t>Carrying Value --------------</w:t>
      </w:r>
    </w:p>
    <w:p>
      <w:pPr>
        <w:spacing w:after="0" w:line="160" w:lineRule="exact"/>
        <w:rPr>
          <w:sz w:val="20"/>
          <w:szCs w:val="20"/>
          <w:color w:val="auto"/>
        </w:rPr>
      </w:pPr>
    </w:p>
    <w:p>
      <w:pPr>
        <w:sectPr>
          <w:pgSz w:w="11900" w:h="16838" w:orient="portrait"/>
          <w:cols w:equalWidth="0" w:num="7">
            <w:col w:w="1460" w:space="720"/>
            <w:col w:w="1440" w:space="720"/>
            <w:col w:w="760" w:space="720"/>
            <w:col w:w="960" w:space="440"/>
            <w:col w:w="1120" w:space="260"/>
            <w:col w:w="700" w:space="340"/>
            <w:col w:w="1220"/>
          </w:cols>
          <w:pgMar w:left="220" w:top="453"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11/10/97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10/01/98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Cortez Plaza............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Holiday Village.........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Bradenton, FL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Havre, MT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290,673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195,285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Shopping Ctr.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Shopping Ctr.</w:t>
      </w:r>
    </w:p>
    <w:p>
      <w:pPr>
        <w:spacing w:after="0" w:line="20" w:lineRule="exact"/>
        <w:rPr>
          <w:sz w:val="20"/>
          <w:szCs w:val="20"/>
          <w:color w:val="auto"/>
        </w:rPr>
      </w:pPr>
      <w:r>
        <w:rPr>
          <w:sz w:val="20"/>
          <w:szCs w:val="20"/>
          <w:color w:val="auto"/>
        </w:rPr>
        <w:br w:type="column"/>
      </w:r>
    </w:p>
    <w:p>
      <w:pPr>
        <w:jc w:val="right"/>
        <w:ind w:right="260"/>
        <w:spacing w:after="0"/>
        <w:tabs>
          <w:tab w:leader="none" w:pos="760" w:val="left"/>
          <w:tab w:leader="none" w:pos="500" w:val="left"/>
        </w:tabs>
        <w:rPr>
          <w:sz w:val="20"/>
          <w:szCs w:val="20"/>
          <w:color w:val="auto"/>
        </w:rPr>
      </w:pPr>
      <w:r>
        <w:rPr>
          <w:rFonts w:ascii="Courier New" w:cs="Courier New" w:eastAsia="Courier New" w:hAnsi="Courier New"/>
          <w:sz w:val="14"/>
          <w:szCs w:val="14"/>
          <w:color w:val="auto"/>
        </w:rPr>
        <w:t>94.34</w:t>
      </w:r>
      <w:r>
        <w:rPr>
          <w:sz w:val="20"/>
          <w:szCs w:val="20"/>
          <w:color w:val="auto"/>
        </w:rPr>
        <w:tab/>
      </w:r>
      <w:r>
        <w:rPr>
          <w:rFonts w:ascii="Courier New" w:cs="Courier New" w:eastAsia="Courier New" w:hAnsi="Courier New"/>
          <w:sz w:val="14"/>
          <w:szCs w:val="14"/>
          <w:color w:val="auto"/>
        </w:rPr>
        <w:t>$</w:t>
        <w:tab/>
        <w:t>21,636</w:t>
      </w:r>
    </w:p>
    <w:p>
      <w:pPr>
        <w:spacing w:after="0" w:line="8" w:lineRule="exact"/>
        <w:rPr>
          <w:sz w:val="20"/>
          <w:szCs w:val="20"/>
          <w:color w:val="auto"/>
        </w:rPr>
      </w:pPr>
    </w:p>
    <w:p>
      <w:pPr>
        <w:jc w:val="right"/>
        <w:ind w:right="260"/>
        <w:spacing w:after="0"/>
        <w:tabs>
          <w:tab w:leader="none" w:pos="420" w:val="left"/>
        </w:tabs>
        <w:rPr>
          <w:sz w:val="20"/>
          <w:szCs w:val="20"/>
          <w:color w:val="auto"/>
        </w:rPr>
      </w:pPr>
      <w:r>
        <w:rPr>
          <w:rFonts w:ascii="Courier New" w:cs="Courier New" w:eastAsia="Courier New" w:hAnsi="Courier New"/>
          <w:sz w:val="14"/>
          <w:szCs w:val="14"/>
          <w:color w:val="auto"/>
        </w:rPr>
        <w:t>54.32</w:t>
      </w:r>
      <w:r>
        <w:rPr>
          <w:sz w:val="20"/>
          <w:szCs w:val="20"/>
          <w:color w:val="auto"/>
        </w:rPr>
        <w:tab/>
      </w:r>
      <w:r>
        <w:rPr>
          <w:rFonts w:ascii="Courier New" w:cs="Courier New" w:eastAsia="Courier New" w:hAnsi="Courier New"/>
          <w:sz w:val="14"/>
          <w:szCs w:val="14"/>
          <w:color w:val="auto"/>
        </w:rPr>
        <w:t>1,034</w:t>
      </w:r>
    </w:p>
    <w:p>
      <w:pPr>
        <w:spacing w:after="0" w:line="8"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left="960"/>
        <w:spacing w:after="0"/>
        <w:tabs>
          <w:tab w:leader="none" w:pos="1200" w:val="left"/>
        </w:tabs>
        <w:rPr>
          <w:sz w:val="20"/>
          <w:szCs w:val="20"/>
          <w:color w:val="auto"/>
        </w:rPr>
      </w:pPr>
      <w:r>
        <w:rPr>
          <w:rFonts w:ascii="Courier New" w:cs="Courier New" w:eastAsia="Courier New" w:hAnsi="Courier New"/>
          <w:sz w:val="14"/>
          <w:szCs w:val="14"/>
          <w:color w:val="auto"/>
        </w:rPr>
        <w:t>$</w:t>
        <w:tab/>
        <w:t>22,670</w:t>
      </w:r>
    </w:p>
    <w:p>
      <w:pPr>
        <w:spacing w:after="0" w:line="8"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6">
            <w:col w:w="1060" w:space="420"/>
            <w:col w:w="2080" w:space="260"/>
            <w:col w:w="1540" w:space="720"/>
            <w:col w:w="620" w:space="420"/>
            <w:col w:w="1140" w:space="600"/>
            <w:col w:w="2000"/>
          </w:cols>
          <w:pgMar w:left="220" w:top="453" w:right="819" w:bottom="1440" w:gutter="0" w:footer="0" w:header="0"/>
          <w:type w:val="continuous"/>
        </w:sectPr>
      </w:pPr>
    </w:p>
    <w:p>
      <w:pPr>
        <w:spacing w:after="0" w:line="142" w:lineRule="exact"/>
        <w:rPr>
          <w:sz w:val="20"/>
          <w:szCs w:val="20"/>
          <w:color w:val="auto"/>
        </w:rPr>
      </w:pPr>
    </w:p>
    <w:p>
      <w:pPr>
        <w:ind w:left="800" w:hanging="791"/>
        <w:spacing w:after="0"/>
        <w:tabs>
          <w:tab w:leader="none" w:pos="8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Acquired by the Company through the acquisition of OAC in October 1999.</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Set forth below is a brief description of each of the above properties:</w:t>
      </w:r>
    </w:p>
    <w:p>
      <w:pPr>
        <w:spacing w:after="0" w:line="175" w:lineRule="exact"/>
        <w:rPr>
          <w:sz w:val="20"/>
          <w:szCs w:val="20"/>
          <w:color w:val="auto"/>
        </w:rPr>
      </w:pPr>
    </w:p>
    <w:p>
      <w:pPr>
        <w:ind w:right="4000" w:firstLine="781"/>
        <w:spacing w:after="0" w:line="253" w:lineRule="auto"/>
        <w:rPr>
          <w:sz w:val="20"/>
          <w:szCs w:val="20"/>
          <w:color w:val="auto"/>
        </w:rPr>
      </w:pPr>
      <w:r>
        <w:rPr>
          <w:rFonts w:ascii="Courier New" w:cs="Courier New" w:eastAsia="Courier New" w:hAnsi="Courier New"/>
          <w:sz w:val="14"/>
          <w:szCs w:val="14"/>
          <w:color w:val="auto"/>
        </w:rPr>
        <w:t>Cortez Plaza. In November 1997, OAC purchased Cortez Plaza, a 289,686 square foot shopping center located in Bradenton, Florida, a suburb of Tampa. OAC purchased this property, which was built in 1956 and renovated in 1988, for $18.4 million. In a separate transaction, the fee simple title to a large portion of the shopping center that had been subject to a ground lease was purchased simultaneously for $0.9 million, which resulted in a total investment in this property of $19.3 million.</w:t>
      </w:r>
    </w:p>
    <w:p>
      <w:pPr>
        <w:spacing w:after="0" w:line="165" w:lineRule="exact"/>
        <w:rPr>
          <w:sz w:val="20"/>
          <w:szCs w:val="20"/>
          <w:color w:val="auto"/>
        </w:rPr>
      </w:pPr>
    </w:p>
    <w:p>
      <w:pPr>
        <w:ind w:right="3900" w:firstLine="781"/>
        <w:spacing w:after="0" w:line="253" w:lineRule="auto"/>
        <w:rPr>
          <w:sz w:val="20"/>
          <w:szCs w:val="20"/>
          <w:color w:val="auto"/>
        </w:rPr>
      </w:pPr>
      <w:r>
        <w:rPr>
          <w:rFonts w:ascii="Courier New" w:cs="Courier New" w:eastAsia="Courier New" w:hAnsi="Courier New"/>
          <w:sz w:val="14"/>
          <w:szCs w:val="14"/>
          <w:color w:val="auto"/>
        </w:rPr>
        <w:t>Holiday Village Shopping Centre. In October 1998, OAC acquired the Holiday Village Shopping Centre, which is located at 1753 Highway 2 West in Havre, Montana. The property was acquired by foreclosure on the loan secured by the property, which was acquired by OAC at a discount in November 1997. The property contains 223,355 square feet of retail space. The original building was built in 1978. An impairment charge of $704 was recorded in 2000, and the property was sold in January 2001.</w:t>
      </w:r>
    </w:p>
    <w:p>
      <w:pPr>
        <w:spacing w:after="0" w:line="165" w:lineRule="exact"/>
        <w:rPr>
          <w:sz w:val="20"/>
          <w:szCs w:val="20"/>
          <w:color w:val="auto"/>
        </w:rPr>
      </w:pPr>
    </w:p>
    <w:p>
      <w:pPr>
        <w:ind w:right="4160" w:firstLine="781"/>
        <w:spacing w:after="0" w:line="254" w:lineRule="auto"/>
        <w:rPr>
          <w:sz w:val="20"/>
          <w:szCs w:val="20"/>
          <w:color w:val="auto"/>
        </w:rPr>
      </w:pPr>
      <w:r>
        <w:rPr>
          <w:rFonts w:ascii="Courier New" w:cs="Courier New" w:eastAsia="Courier New" w:hAnsi="Courier New"/>
          <w:sz w:val="14"/>
          <w:szCs w:val="14"/>
          <w:color w:val="auto"/>
        </w:rPr>
        <w:t>During 2000, the Company transferred the two properties discussed above, as well as the four properties discussed below, with an aggregate carrying value of $174,480 from the held for investment category to held for sale. The Company engaged unaffiliated third parties to market and sell these properties.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During the second quarter of 2000, the Company sold its office building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located at 690 Market Street in San Francisco, which had a book value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$23,273, for $28,000, less commissions and closing costs for a gain of $3,897.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net proceeds consisted of cash of approximately $7,100 and a note receivable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$19,000. The Note has subsequently been paid off.</w:t>
      </w:r>
    </w:p>
    <w:p>
      <w:pPr>
        <w:spacing w:after="0" w:line="175" w:lineRule="exact"/>
        <w:rPr>
          <w:sz w:val="20"/>
          <w:szCs w:val="20"/>
          <w:color w:val="auto"/>
        </w:rPr>
      </w:pPr>
    </w:p>
    <w:p>
      <w:pPr>
        <w:ind w:right="4000" w:firstLine="781"/>
        <w:spacing w:after="0" w:line="254" w:lineRule="auto"/>
        <w:rPr>
          <w:sz w:val="20"/>
          <w:szCs w:val="20"/>
          <w:color w:val="auto"/>
        </w:rPr>
      </w:pPr>
      <w:r>
        <w:rPr>
          <w:rFonts w:ascii="Courier New" w:cs="Courier New" w:eastAsia="Courier New" w:hAnsi="Courier New"/>
          <w:sz w:val="14"/>
          <w:szCs w:val="14"/>
          <w:color w:val="auto"/>
        </w:rPr>
        <w:t>During the third quarter of 2000, the Company sold its office building located at 10 United Nations Plaza in San Francisco for $15,500, less commissions and closing costs, for a gain of $2,722. Also during the third quarter of 2000, the Company sold its office building located at 450 Sansome Street in San Francisco for $44,350, less commission and closing costs, for a gain of $14,054.</w:t>
      </w:r>
    </w:p>
    <w:p>
      <w:pPr>
        <w:spacing w:after="0" w:line="329" w:lineRule="exact"/>
        <w:rPr>
          <w:sz w:val="20"/>
          <w:szCs w:val="20"/>
          <w:color w:val="auto"/>
        </w:rPr>
      </w:pPr>
    </w:p>
    <w:p>
      <w:pPr>
        <w:ind w:right="3900" w:firstLine="781"/>
        <w:spacing w:after="0" w:line="255" w:lineRule="auto"/>
        <w:rPr>
          <w:sz w:val="20"/>
          <w:szCs w:val="20"/>
          <w:color w:val="auto"/>
        </w:rPr>
      </w:pPr>
      <w:r>
        <w:rPr>
          <w:rFonts w:ascii="Courier New" w:cs="Courier New" w:eastAsia="Courier New" w:hAnsi="Courier New"/>
          <w:sz w:val="14"/>
          <w:szCs w:val="14"/>
          <w:color w:val="auto"/>
        </w:rPr>
        <w:t>During the fourth quarter of 2000, the Company sold its office building located at 225 Bush Street in San Francisco for $143.5 million, realizing net proceeds of approximately $60,300 and a gain of $133.</w:t>
      </w:r>
    </w:p>
    <w:p>
      <w:pPr>
        <w:spacing w:after="0" w:line="162" w:lineRule="exact"/>
        <w:rPr>
          <w:sz w:val="20"/>
          <w:szCs w:val="20"/>
          <w:color w:val="auto"/>
        </w:rPr>
      </w:pPr>
    </w:p>
    <w:p>
      <w:pPr>
        <w:ind w:right="4680" w:firstLine="781"/>
        <w:spacing w:after="0" w:line="258" w:lineRule="auto"/>
        <w:rPr>
          <w:sz w:val="20"/>
          <w:szCs w:val="20"/>
          <w:color w:val="auto"/>
        </w:rPr>
      </w:pPr>
      <w:r>
        <w:rPr>
          <w:rFonts w:ascii="Courier New" w:cs="Courier New" w:eastAsia="Courier New" w:hAnsi="Courier New"/>
          <w:sz w:val="14"/>
          <w:szCs w:val="14"/>
          <w:color w:val="auto"/>
        </w:rPr>
        <w:t>See Note 12 to the Consolidated Financial Statements (which is incorporated herein by reference).</w:t>
      </w:r>
    </w:p>
    <w:p>
      <w:pPr>
        <w:spacing w:after="0" w:line="160" w:lineRule="exact"/>
        <w:rPr>
          <w:sz w:val="20"/>
          <w:szCs w:val="20"/>
          <w:color w:val="auto"/>
        </w:rPr>
      </w:pPr>
    </w:p>
    <w:p>
      <w:pPr>
        <w:ind w:right="3900" w:firstLine="781"/>
        <w:spacing w:after="0" w:line="253" w:lineRule="auto"/>
        <w:rPr>
          <w:sz w:val="20"/>
          <w:szCs w:val="20"/>
          <w:color w:val="auto"/>
        </w:rPr>
      </w:pPr>
      <w:r>
        <w:rPr>
          <w:rFonts w:ascii="Courier New" w:cs="Courier New" w:eastAsia="Courier New" w:hAnsi="Courier New"/>
          <w:sz w:val="14"/>
          <w:szCs w:val="14"/>
          <w:color w:val="auto"/>
        </w:rPr>
        <w:t>DEFERRED TAX ASSET. At December 31, 2000, the deferred tax asset, net of deferred tax liabilities and valuation allowance, amounted to $95,991, as compared to $136,920 at December 31, 1999. The $40,929 decrease during 2000 was due in large part to an increase in the valuation allowance of $17,500 resulting from the Company's evaluation of the future realizability of the deferred tax asset. Depending on the results of operations in future periods, additional allowances may be required or the valuation allowance may be reversed to income to the extent the deferred tax assets are realized as a reduction of taxes otherwise payable. See Note 25 to the Consolidated Financial Statements (which is incorporated herein by reference) for a disclosure of the components of gross deferred tax assets and liabilities, as well as valuation allowances.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860"/>
          </w:cols>
          <w:pgMar w:left="220" w:top="453" w:right="819" w:bottom="1440" w:gutter="0" w:footer="0" w:header="0"/>
          <w:type w:val="continuous"/>
        </w:sectPr>
      </w:pPr>
    </w:p>
    <w:bookmarkStart w:id="78" w:name="page79"/>
    <w:bookmarkEnd w:id="78"/>
    <w:p>
      <w:pPr>
        <w:ind w:right="476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right="4860" w:firstLine="781"/>
        <w:spacing w:after="0" w:line="255" w:lineRule="auto"/>
        <w:rPr>
          <w:sz w:val="20"/>
          <w:szCs w:val="20"/>
          <w:color w:val="auto"/>
        </w:rPr>
      </w:pPr>
      <w:r>
        <w:rPr>
          <w:rFonts w:ascii="Courier New" w:cs="Courier New" w:eastAsia="Courier New" w:hAnsi="Courier New"/>
          <w:sz w:val="14"/>
          <w:szCs w:val="14"/>
          <w:color w:val="auto"/>
        </w:rPr>
        <w:t>ADVANCES ON LOANS AND LOANS SERVICED FOR OTHERS. Escrow advances related to loan portfolios and loans serviced for others consisted of the following at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31,</w:t>
            </w:r>
          </w:p>
        </w:tc>
        <w:tc>
          <w:tcPr>
            <w:tcW w:w="12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2000</w:t>
            </w:r>
          </w:p>
        </w:tc>
        <w:tc>
          <w:tcPr>
            <w:tcW w:w="3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14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Loan Portfolios: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Taxes and insurance.....................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11,168</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19,967</w:t>
            </w:r>
          </w:p>
        </w:tc>
      </w:tr>
      <w:tr>
        <w:trPr>
          <w:trHeight w:val="167"/>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11,840</w:t>
            </w: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11,594</w:t>
            </w:r>
          </w:p>
        </w:tc>
      </w:tr>
      <w:tr>
        <w:trPr>
          <w:trHeight w:val="167"/>
        </w:trPr>
        <w:tc>
          <w:tcPr>
            <w:tcW w:w="414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23,008</w:t>
            </w: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31,561</w:t>
            </w:r>
          </w:p>
        </w:tc>
      </w:tr>
      <w:tr>
        <w:trPr>
          <w:trHeight w:val="167"/>
        </w:trPr>
        <w:tc>
          <w:tcPr>
            <w:tcW w:w="414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Loans Serviced for Others: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Principal and interest..................</w:t>
            </w: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95,191</w:t>
            </w: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58,497</w:t>
            </w:r>
          </w:p>
        </w:tc>
      </w:tr>
      <w:tr>
        <w:trPr>
          <w:trHeight w:val="167"/>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Taxes and insurance.....................</w:t>
            </w: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64,159</w:t>
            </w: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41,569</w:t>
            </w:r>
          </w:p>
        </w:tc>
      </w:tr>
      <w:tr>
        <w:trPr>
          <w:trHeight w:val="167"/>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44,697</w:t>
            </w: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30,921</w:t>
            </w:r>
          </w:p>
        </w:tc>
      </w:tr>
      <w:tr>
        <w:trPr>
          <w:trHeight w:val="167"/>
        </w:trPr>
        <w:tc>
          <w:tcPr>
            <w:tcW w:w="414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204,047</w:t>
            </w: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130,987</w:t>
            </w:r>
          </w:p>
        </w:tc>
      </w:tr>
      <w:tr>
        <w:trPr>
          <w:trHeight w:val="167"/>
        </w:trPr>
        <w:tc>
          <w:tcPr>
            <w:tcW w:w="414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227,055</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162,548</w:t>
            </w:r>
          </w:p>
        </w:tc>
      </w:tr>
      <w:tr>
        <w:trPr>
          <w:trHeight w:val="167"/>
        </w:trPr>
        <w:tc>
          <w:tcPr>
            <w:tcW w:w="414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5020" w:firstLine="781"/>
        <w:spacing w:after="0" w:line="258" w:lineRule="auto"/>
        <w:rPr>
          <w:sz w:val="20"/>
          <w:szCs w:val="20"/>
          <w:color w:val="auto"/>
        </w:rPr>
      </w:pPr>
      <w:r>
        <w:rPr>
          <w:rFonts w:ascii="Courier New" w:cs="Courier New" w:eastAsia="Courier New" w:hAnsi="Courier New"/>
          <w:sz w:val="14"/>
          <w:szCs w:val="14"/>
          <w:color w:val="auto"/>
        </w:rPr>
        <w:t>See Note 14 to the Consolidated Financial Statements (which is incorporated herein by reference).</w:t>
      </w:r>
    </w:p>
    <w:p>
      <w:pPr>
        <w:spacing w:after="0" w:line="160" w:lineRule="exact"/>
        <w:rPr>
          <w:sz w:val="20"/>
          <w:szCs w:val="20"/>
          <w:color w:val="auto"/>
        </w:rPr>
      </w:pPr>
    </w:p>
    <w:p>
      <w:pPr>
        <w:ind w:right="4340" w:firstLine="781"/>
        <w:spacing w:after="0" w:line="254" w:lineRule="auto"/>
        <w:rPr>
          <w:sz w:val="20"/>
          <w:szCs w:val="20"/>
          <w:color w:val="auto"/>
        </w:rPr>
      </w:pPr>
      <w:r>
        <w:rPr>
          <w:rFonts w:ascii="Courier New" w:cs="Courier New" w:eastAsia="Courier New" w:hAnsi="Courier New"/>
          <w:sz w:val="14"/>
          <w:szCs w:val="14"/>
          <w:color w:val="auto"/>
        </w:rPr>
        <w:t>MORTGAGE SERVICING RIGHTS. The unamortized balance of mortgage servicing rights amounted to $51,426 and $11,683 at December 31, 2000 and 1999, respectively. The $39,743 increase during 2000 is due to $49,779 of purchases, offset by $10,036 of amortization. See Note 14 to the Consolidated Financial Statements (which is incorporated herein by reference).</w:t>
      </w:r>
    </w:p>
    <w:p>
      <w:pPr>
        <w:spacing w:after="0" w:line="162" w:lineRule="exact"/>
        <w:rPr>
          <w:sz w:val="20"/>
          <w:szCs w:val="20"/>
          <w:color w:val="auto"/>
        </w:rPr>
      </w:pPr>
    </w:p>
    <w:p>
      <w:pPr>
        <w:ind w:right="4240" w:firstLine="781"/>
        <w:spacing w:after="0" w:line="253" w:lineRule="auto"/>
        <w:rPr>
          <w:sz w:val="20"/>
          <w:szCs w:val="20"/>
          <w:color w:val="auto"/>
        </w:rPr>
      </w:pPr>
      <w:r>
        <w:rPr>
          <w:rFonts w:ascii="Courier New" w:cs="Courier New" w:eastAsia="Courier New" w:hAnsi="Courier New"/>
          <w:sz w:val="14"/>
          <w:szCs w:val="14"/>
          <w:color w:val="auto"/>
        </w:rPr>
        <w:t>DEPOSITS. Deposits decreased $556,287 or 31% during 2000 primarily as a result of a $357,732 decrease in certificates of deposit, primarily brokered, and a $182,794 decrease in non-interest bearing checking. The decrease in non-interest bearing checking deposits is primarily due to the transfer of custodial deposit balances, primarily representing collections of principal and interest from borrowers which have yet to be remitted to investors, to a correspondent bank. See Note 18 to the Consolidated Financial Statements (which is incorporated herein by reference).</w:t>
      </w:r>
    </w:p>
    <w:p>
      <w:pPr>
        <w:spacing w:after="0" w:line="165" w:lineRule="exact"/>
        <w:rPr>
          <w:sz w:val="20"/>
          <w:szCs w:val="20"/>
          <w:color w:val="auto"/>
        </w:rPr>
      </w:pPr>
    </w:p>
    <w:p>
      <w:pPr>
        <w:ind w:right="4600" w:firstLine="781"/>
        <w:spacing w:after="0" w:line="258" w:lineRule="auto"/>
        <w:rPr>
          <w:sz w:val="20"/>
          <w:szCs w:val="20"/>
          <w:color w:val="auto"/>
        </w:rPr>
      </w:pPr>
      <w:r>
        <w:rPr>
          <w:rFonts w:ascii="Courier New" w:cs="Courier New" w:eastAsia="Courier New" w:hAnsi="Courier New"/>
          <w:sz w:val="14"/>
          <w:szCs w:val="14"/>
          <w:color w:val="auto"/>
        </w:rPr>
        <w:t>The following table sets forth information related to the Company's deposits at the dates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81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2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5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Weighted</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8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Average % of Total</w:t>
            </w:r>
          </w:p>
        </w:tc>
        <w:tc>
          <w:tcPr>
            <w:tcW w:w="104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Average</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of Total</w:t>
            </w:r>
          </w:p>
        </w:tc>
        <w:tc>
          <w:tcPr>
            <w:tcW w:w="9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 of Total</w:t>
            </w:r>
          </w:p>
        </w:tc>
      </w:tr>
      <w:tr>
        <w:trPr>
          <w:trHeight w:val="167"/>
        </w:trPr>
        <w:tc>
          <w:tcPr>
            <w:tcW w:w="30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Rate</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Deposits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Rate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Deposits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Rate</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Deposits</w:t>
            </w:r>
          </w:p>
        </w:tc>
      </w:tr>
      <w:tr>
        <w:trPr>
          <w:trHeight w:val="167"/>
        </w:trPr>
        <w:tc>
          <w:tcPr>
            <w:tcW w:w="30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7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 ---------- ----------</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4"/>
        </w:trPr>
        <w:tc>
          <w:tcPr>
            <w:tcW w:w="3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Non-interest bearing checking</w:t>
            </w: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69,840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252,634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  225,404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r>
      <w:tr>
        <w:trPr>
          <w:trHeight w:val="334"/>
        </w:trPr>
        <w:tc>
          <w:tcPr>
            <w:tcW w:w="3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NOW and money market checking</w:t>
            </w: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14,669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5.33%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35,070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Savings accounts .................</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1,361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w:t>
            </w:r>
          </w:p>
        </w:tc>
      </w:tr>
      <w:tr>
        <w:trPr>
          <w:trHeight w:val="167"/>
        </w:trPr>
        <w:tc>
          <w:tcPr>
            <w:tcW w:w="30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85,783</w:t>
            </w:r>
          </w:p>
        </w:tc>
        <w:tc>
          <w:tcPr>
            <w:tcW w:w="7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284,338</w:t>
            </w:r>
          </w:p>
        </w:tc>
        <w:tc>
          <w:tcPr>
            <w:tcW w:w="7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261,800</w:t>
            </w:r>
          </w:p>
        </w:tc>
        <w:tc>
          <w:tcPr>
            <w:tcW w:w="7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w:t>
            </w:r>
          </w:p>
        </w:tc>
      </w:tr>
      <w:tr>
        <w:trPr>
          <w:trHeight w:val="167"/>
        </w:trPr>
        <w:tc>
          <w:tcPr>
            <w:tcW w:w="30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Certificates of deposit (1)(2) ...</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1,176,566</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1,536,997</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1,916,548</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Unamortized deferred fees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(3,989)</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(6,688)</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(9,557)</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certificates of deposit ....</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1,172,577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93.2</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1,530,309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1,906,991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87.9</w:t>
            </w:r>
          </w:p>
        </w:tc>
      </w:tr>
      <w:tr>
        <w:trPr>
          <w:trHeight w:val="167"/>
        </w:trPr>
        <w:tc>
          <w:tcPr>
            <w:tcW w:w="30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1,258,360</w:t>
            </w:r>
          </w:p>
        </w:tc>
        <w:tc>
          <w:tcPr>
            <w:tcW w:w="7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$1,814,647</w:t>
            </w:r>
          </w:p>
        </w:tc>
        <w:tc>
          <w:tcPr>
            <w:tcW w:w="7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$2,168,791</w:t>
            </w:r>
          </w:p>
        </w:tc>
        <w:tc>
          <w:tcPr>
            <w:tcW w:w="7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0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right="4240" w:hanging="791"/>
        <w:spacing w:after="0" w:line="254" w:lineRule="auto"/>
        <w:tabs>
          <w:tab w:leader="none" w:pos="8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$964,443, $1,379,262 and $1,718,346 at December 31, 2000, 1999 and 1998, respectively, of brokered deposits originated through national, regional and local investment banking firms which solicit deposits from their customers, all of which are non-cancellable.</w:t>
      </w:r>
    </w:p>
    <w:p>
      <w:pPr>
        <w:spacing w:after="0" w:line="163" w:lineRule="exact"/>
        <w:rPr>
          <w:rFonts w:ascii="Courier New" w:cs="Courier New" w:eastAsia="Courier New" w:hAnsi="Courier New"/>
          <w:sz w:val="14"/>
          <w:szCs w:val="14"/>
          <w:color w:val="auto"/>
        </w:rPr>
      </w:pPr>
    </w:p>
    <w:p>
      <w:pPr>
        <w:ind w:left="800" w:right="4340" w:hanging="791"/>
        <w:spacing w:after="0" w:line="254" w:lineRule="auto"/>
        <w:tabs>
          <w:tab w:leader="none" w:pos="8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2000, 1999 and 1998, certificates of deposit issued on an uninsured basis (greater than $100) amounted to $75,417, $155,205 and $122,329, respectively. Of the $75,417 of uninsured deposits at December 31, 2000, $24,781 were from political subdivisions in New Jersey and were secured or collateralized as required under state law.</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1200"/>
          </w:cols>
          <w:pgMar w:left="220" w:top="453" w:right="479" w:bottom="807" w:gutter="0" w:footer="0" w:header="0"/>
        </w:sectPr>
      </w:pPr>
    </w:p>
    <w:bookmarkStart w:id="79" w:name="page80"/>
    <w:bookmarkEnd w:id="79"/>
    <w:p>
      <w:pPr>
        <w:ind w:right="3799"/>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The following table sets forth remaining maturities for the Company's term deposits in amounts of $100 or more at December 31, 2000: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gridSpan w:val="2"/>
          </w:tcPr>
          <w:p>
            <w:pPr>
              <w:spacing w:after="0"/>
              <w:rPr>
                <w:sz w:val="20"/>
                <w:szCs w:val="20"/>
                <w:color w:val="auto"/>
              </w:rPr>
            </w:pPr>
            <w:r>
              <w:rPr>
                <w:rFonts w:ascii="Courier New" w:cs="Courier New" w:eastAsia="Courier New" w:hAnsi="Courier New"/>
                <w:sz w:val="14"/>
                <w:szCs w:val="14"/>
                <w:color w:val="auto"/>
              </w:rPr>
              <w:t>Three months or</w:t>
            </w:r>
          </w:p>
        </w:tc>
        <w:tc>
          <w:tcPr>
            <w:tcW w:w="4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less.............................................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$ 35,938</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Over</w:t>
            </w:r>
          </w:p>
        </w:tc>
        <w:tc>
          <w:tcPr>
            <w:tcW w:w="5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three months through six months.............................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15,608</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Over</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six months</w:t>
            </w:r>
          </w:p>
        </w:tc>
        <w:tc>
          <w:tcPr>
            <w:tcW w:w="4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through twelve months............................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46,756</w:t>
            </w:r>
          </w:p>
        </w:tc>
      </w:tr>
      <w:tr>
        <w:trPr>
          <w:trHeight w:val="167"/>
        </w:trPr>
        <w:tc>
          <w:tcPr>
            <w:tcW w:w="5860" w:type="dxa"/>
            <w:vAlign w:val="bottom"/>
            <w:gridSpan w:val="3"/>
          </w:tcPr>
          <w:p>
            <w:pPr>
              <w:spacing w:after="0"/>
              <w:rPr>
                <w:sz w:val="20"/>
                <w:szCs w:val="20"/>
                <w:color w:val="auto"/>
              </w:rPr>
            </w:pPr>
            <w:r>
              <w:rPr>
                <w:rFonts w:ascii="Courier New" w:cs="Courier New" w:eastAsia="Courier New" w:hAnsi="Courier New"/>
                <w:sz w:val="14"/>
                <w:szCs w:val="14"/>
                <w:color w:val="auto"/>
              </w:rPr>
              <w:t>Thereafter.......................................................</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27,518</w:t>
            </w:r>
          </w:p>
        </w:tc>
      </w:tr>
      <w:tr>
        <w:trPr>
          <w:trHeight w:val="167"/>
        </w:trPr>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$125,820</w:t>
      </w:r>
    </w:p>
    <w:p>
      <w:pPr>
        <w:spacing w:after="0" w:line="8"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BONDS-MATCH FUNDED AGREEMENTS. At December 31, 2000 and 1999, the Company held $107,050 and $141,515, respectively, of bonds-match funded agreements which arose in connection with a previous securitization of loans by OAC accounted for as a financing transaction, and which were acquired as a result of the acquisition of OAC. In addition, on December 16, 1999, the Company transferred four unrated residual securities to a trust in exchange for non-recourse notes. The transfer did not qualify as a sale under FAS 125. Accordingly, the amount of proceeds from the transfers are reported as a liability. The $34,465 decline in the balance of bonds-match funded agreements outstanding during 2000 was due to principal repayments offset by amortization of discount. See Notes 9 and 19 to the Consolidated Financial Statements (which are incorporated herein by reference).</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NOTES, DEBENTURES AND OTHER INTEREST-BEARING OBLIGATIONS. Notes, debentures and other interest-bearing obligations amounted to $173,330 and $317,573 at December 31, 2000 and 1999, respectively. The $144,243 or 45% decrease during 2000 is primarily due to repurchases. These repurchases resulted in extraordinary gains of $17,964 ($11,317 after tax). See Note 21 to the Consolidated Financial Statements (which is incorporated herein by reference) for a disclosure of the Company's notes, debentures and other interest-bearing obligations by maturity at December 31, 2000 and 1999.</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OBLIGATIONS OUTSTANDING UNDER LINES OF CREDIT. At December 31, 2000, the Company had $32,933 of obligations outstanding under lines of credit as compared to $187,866 at December 31, 1999. The $154,933 or 82% decrease is primarily the result of repayments of lines previously secured by loans and real estate properties held for sale which were sold during 2000. See Note 20 to the Consolidated Financial Statements (which is incorporated herein by reference).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COMPANY OBLIGATED, MANDATORILY REDEEMABLE SECURITIES OF SUBSIDIARY TRUST HOLDING SOLELY JUNIOR SUBORDINATED DEBENTURES OF THE COMPANY ("CAPITAL SECURITIES"). The outstanding balance of the 10.875% Capital Securities amounted to $79,530 and $110,000 at December 31, 2000 and 1999, respectively. During 2000, the Company repurchased $30,470 of its Capital Securities in the open market, resulting in extraordinary gains of $11,470 ($7,396 net of taxes). See Note 22 to the Consolidated Financial Statements (which is incorporated herein by reference).</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STOCKHOLDERS' EQUITY. Stockholders' equity amounted to $503,426 at December 31, 2000 as compared to $509,442 at December 31, 1999, a decrease of $6,016. The decrease was primarily due to the repurchase of 1,388,300 shares of common stock in the aggregate amount of $8,996 during the first quarter of 2000, offset in part by net income of $2,192. On September 30, 2000, the Company changed its policy for securities available for sale and match funded securities to account for these securities as trading. As a result, net unrealized holding gains and losses on trading securities are now included in earnings. Previously, unrealized holding gains and losses for these securities were reported as a separate component of accumulated other comprehensive income in stockholders' equity. See Consolidated Statements of Changes in Stockholders' Equity and Notes 1 and 27 to the Consolidated Financial Statements (which are incorporated herein by reference).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453" w:right="1440" w:bottom="1440" w:gutter="0" w:footer="0" w:header="0"/>
        </w:sectPr>
      </w:pPr>
    </w:p>
    <w:bookmarkStart w:id="80" w:name="page81"/>
    <w:bookmarkEnd w:id="80"/>
    <w:p>
      <w:pPr>
        <w:ind w:right="3799"/>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80" w:hanging="171"/>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 AND LIABILITY MANAGEMENT</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Asset and liability management is concerned with the timing and magnitude of the repricing of assets and liabilities. It is the objective of the Company to attempt to control risks associated with interest rate and foreign currency exchange rate movements. In general, management's strategy is to match asset and liability balances within maturity categories and to manage foreign currency rate exposure related to its investments in non-U.S. dollar functional currency operations in order to limit the Company's exposure to earnings variations and variations in the value of assets and liabilities as interest rates and foreign currency exchange rates change over time. The Company's asset and liability management strategy is formulated and monitored by the Asset/Liability Management Committee (the "Committee"), which is composed of directors and officers of the Company, in accordance with policies approved by the Board of Directors of the Company. The Committee meets to review, among other things, the sensitivity of the Company's assets and liabilities to interest rate changes and foreign currency exchange rate changes, the book and market values of assets and liabilities, unrealized gains and losses, including those attributable to hedging transactions, purchase and sale activity, and maturities of investments and borrowings. The Committee also approves and establishes pricing and funding decisions with respect to overall asset and liability composition.</w:t>
      </w:r>
    </w:p>
    <w:p>
      <w:pPr>
        <w:spacing w:after="0" w:line="341"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Committee's methods for evaluating interest rate risk include an analysis of the Company's interest rate sensitivity "gap," which is defined as the difference between interest-earning assets and interest-bearing liabilities maturing or repricing within a given time period. A gap is considered positive when the amount of interest-rate sensitive assets exceeds the amount of interest-rate sensitive liabilities. A gap is considered negative when the amount of interest-rate sensitive liabilities exceeds interest-rate sensitive assets. During a period of rising interest rates, a negative gap would tend to adversely affect net interest income, while a positive gap would tend to result in an increase in net interest income. During a period of falling interest rates, a negative gap would tend to result in an increase in net interest income, while a positive gap would tend to affect net interest income adversely. Because different types of assets and liabilities with the same or similar maturities may react differently to changes in overall market rates or conditions, changes in interest rates may affect net interest income positively or negatively even if an institution were perfectly matched in each maturity category.</w:t>
      </w:r>
    </w:p>
    <w:p>
      <w:pPr>
        <w:spacing w:after="0" w:line="34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following table sets forth the estimated maturity or repricing of the Company's interest-earning assets and interest-bearing liabilities at December 31, 2000. The amounts of assets and liabilities shown within a particular period were determined in accordance with the contractual terms of the assets and liabilities, except (i) adjustable-rate loans, performing discount loans, securities and FHLB advances are included in the period in which they are first scheduled to adjust and not in the period in which they mature,</w:t>
      </w:r>
    </w:p>
    <w:p>
      <w:pPr>
        <w:spacing w:after="0" w:line="3" w:lineRule="exact"/>
        <w:rPr>
          <w:sz w:val="20"/>
          <w:szCs w:val="20"/>
          <w:color w:val="auto"/>
        </w:rPr>
      </w:pPr>
    </w:p>
    <w:p>
      <w:pPr>
        <w:ind w:right="3279" w:firstLine="9"/>
        <w:spacing w:after="0" w:line="253" w:lineRule="auto"/>
        <w:tabs>
          <w:tab w:leader="none" w:pos="43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fixed-rate mortgage-related securities reflect estimated prepayments, which were estimated based on analyses of broker estimates, the results of a prepayment model utilized by the Company and empirical data, (iii) non-performing discount loans reflect the estimated timing of resolutions which result in repayment to the Company, (iv) NOW and money market checking deposits and savings deposits, which do not have contractual maturities, reflect estimated levels of attrition, which are based on detailed studies of each such category of deposit by the Company and (v) escrow deposits and other non-interest bearing checking accounts, which amounted to $69,840 at December 31, 2000, are excluded. Management believes that these assumptions approximate actual experience and considers them reasonable; however, the interest rate sensitivity of the Company's assets and liabilities in the table could vary substantially if different assumptions were used or actual experience differs from the historical experience on which the assumptions are based.</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453" w:right="1440" w:bottom="1440" w:gutter="0" w:footer="0" w:header="0"/>
        </w:sectPr>
      </w:pPr>
    </w:p>
    <w:bookmarkStart w:id="81" w:name="page82"/>
    <w:bookmarkEnd w:id="81"/>
    <w:p>
      <w:pPr>
        <w:ind w:right="468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December 31, 2000</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520" w:type="dxa"/>
            <w:vAlign w:val="bottom"/>
          </w:tcPr>
          <w:p>
            <w:pPr>
              <w:spacing w:after="0"/>
              <w:rPr>
                <w:sz w:val="14"/>
                <w:szCs w:val="14"/>
                <w:color w:val="auto"/>
              </w:rPr>
            </w:pPr>
          </w:p>
        </w:tc>
        <w:tc>
          <w:tcPr>
            <w:tcW w:w="660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More Than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52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Within Three</w:t>
            </w:r>
          </w:p>
        </w:tc>
        <w:tc>
          <w:tcPr>
            <w:tcW w:w="26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Four to</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One Year to</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Three Years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Months</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Twelve Months</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Three Years</w:t>
            </w:r>
          </w:p>
        </w:tc>
        <w:tc>
          <w:tcPr>
            <w:tcW w:w="18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and Over</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52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RATE-SENSITIVE ASSETS: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Interest-earning deposits......................</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134,987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134,987</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Trading securities.............................</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91,444</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166,704</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58,091</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74,003</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390,242</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Loans available for sale (1)...................</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574</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5,239</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2,376</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2,421</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10,610</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Investment securities, net.....................</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13,257</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13,257</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Loan portfolio, net (1)........................</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47,338</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12,102</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31,692</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2,282</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93,414</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Discount loan portfolio, net (1)...............</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61,555</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228,553</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142,064</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103,856</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536,028</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Match funded loans and securities, net (1).....</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2,786</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36,521</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41,968</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35,712</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116,987</w:t>
            </w:r>
          </w:p>
        </w:tc>
      </w:tr>
      <w:tr>
        <w:trPr>
          <w:trHeight w:val="167"/>
        </w:trPr>
        <w:tc>
          <w:tcPr>
            <w:tcW w:w="452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rate-sensitive assets...................</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351,941</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449,119</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276,191</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218,274</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1,295,525</w:t>
            </w:r>
          </w:p>
        </w:tc>
      </w:tr>
      <w:tr>
        <w:trPr>
          <w:trHeight w:val="167"/>
        </w:trPr>
        <w:tc>
          <w:tcPr>
            <w:tcW w:w="452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RATE-SENSITIVE LIABILITIES: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NOW and money market checking deposits.........</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12,849</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447</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1,164</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14,669</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Savings deposits...............................</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344</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Certificates of deposit........................</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147,050</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495,292</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431,183</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99,052</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1,172,577</w:t>
            </w:r>
          </w:p>
        </w:tc>
      </w:tr>
      <w:tr>
        <w:trPr>
          <w:trHeight w:val="167"/>
        </w:trPr>
        <w:tc>
          <w:tcPr>
            <w:tcW w:w="452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interest-bearing deposits................</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160,044</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495,675</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431,974</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100,827</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1,188,520</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Bonds-match funded agreements..................</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73,144</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17,024</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8,002</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8,880</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107,050</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Obligations outstanding under lines of credit..</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32,933</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32,933</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Notes, debentures and other....................</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6,235</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100,050</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67,045</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173,330</w:t>
            </w:r>
          </w:p>
        </w:tc>
      </w:tr>
      <w:tr>
        <w:trPr>
          <w:trHeight w:val="167"/>
        </w:trPr>
        <w:tc>
          <w:tcPr>
            <w:tcW w:w="452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rate-sensitive liabilities..............</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272,356</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512,699</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540,026</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176,752</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1,501,833</w:t>
            </w:r>
          </w:p>
        </w:tc>
      </w:tr>
      <w:tr>
        <w:trPr>
          <w:trHeight w:val="167"/>
        </w:trPr>
        <w:tc>
          <w:tcPr>
            <w:tcW w:w="452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 rate sensitivity gap excluding financial</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instruments...................................</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79,585</w:t>
            </w:r>
          </w:p>
        </w:tc>
        <w:tc>
          <w:tcPr>
            <w:tcW w:w="2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(63,580)</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(263,835)</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41,522</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(206,308)</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FINANCIAL INSTRUMENTS: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 rate swap...............................</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33,000</w:t>
            </w:r>
          </w:p>
        </w:tc>
        <w:tc>
          <w:tcPr>
            <w:tcW w:w="2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(33,000)</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 rate caps...............................</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345</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 rate floors.............................</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w:t>
            </w:r>
          </w:p>
        </w:tc>
      </w:tr>
      <w:tr>
        <w:trPr>
          <w:trHeight w:val="167"/>
        </w:trPr>
        <w:tc>
          <w:tcPr>
            <w:tcW w:w="452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rate-sensitive financial instruments.......</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33,000</w:t>
            </w:r>
          </w:p>
        </w:tc>
        <w:tc>
          <w:tcPr>
            <w:tcW w:w="2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(33,000)</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499</w:t>
            </w:r>
          </w:p>
        </w:tc>
        <w:tc>
          <w:tcPr>
            <w:tcW w:w="1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w:t>
            </w:r>
          </w:p>
        </w:tc>
      </w:tr>
      <w:tr>
        <w:trPr>
          <w:trHeight w:val="167"/>
        </w:trPr>
        <w:tc>
          <w:tcPr>
            <w:tcW w:w="452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 rate sensitivity gap including financial</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instruments...................................</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112,585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(96,580)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(263,336)</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41,522</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(205,809)</w:t>
            </w:r>
          </w:p>
        </w:tc>
      </w:tr>
      <w:tr>
        <w:trPr>
          <w:trHeight w:val="167"/>
        </w:trPr>
        <w:tc>
          <w:tcPr>
            <w:tcW w:w="452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Cumulative interest rate sensitivity gap.........</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112,585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16,005</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(247,331)</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(205,809)</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52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Cumulative interest rate sensitivity gap as a</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percentage of total rate-sensitive assets......</w:t>
            </w: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c>
          <w:tcPr>
            <w:tcW w:w="2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(19.09)%</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(15.89)%</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338" w:lineRule="exact"/>
        <w:rPr>
          <w:sz w:val="20"/>
          <w:szCs w:val="20"/>
          <w:color w:val="auto"/>
        </w:rPr>
      </w:pPr>
    </w:p>
    <w:p>
      <w:pPr>
        <w:ind w:left="800" w:hanging="791"/>
        <w:spacing w:after="0"/>
        <w:tabs>
          <w:tab w:leader="none" w:pos="8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Balances have not been reduced for non-performing loans.</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3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54</w:t>
      </w:r>
    </w:p>
    <w:p>
      <w:pPr>
        <w:sectPr>
          <w:pgSz w:w="11900" w:h="16838" w:orient="portrait"/>
          <w:cols w:equalWidth="0" w:num="1">
            <w:col w:w="11120"/>
          </w:cols>
          <w:pgMar w:left="220" w:top="453" w:right="559" w:bottom="1440" w:gutter="0" w:footer="0" w:header="0"/>
        </w:sectPr>
      </w:pPr>
    </w:p>
    <w:bookmarkStart w:id="82" w:name="page83"/>
    <w:bookmarkEnd w:id="82"/>
    <w:p>
      <w:pPr>
        <w:ind w:right="3799"/>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OTS has established specific minimum guidelines for thrift institutions to observe in the area of interest rate risk as described in Thrift Bulletin No. 13a, "Management of Interest Rate Risk, Investment Securities, and Derivative Activities" ("TB 13a"). Under TB 13a, institutions are required to establish and demonstrate quarterly compliance with board-approved limits on interest rate risk that are defined in terms of net portfolio value ("NPV"), which is defined as the net present value of an institution's existing assets, liabilities and off-balance sheet instruments. These limits specify the minimum net portfolio value ratio ("NPV Ratio") allowable under current interest rates and hypothetical interest rate scenarios. An institution's NPV Ratio for a given interest rate scenario is calculated by dividing the NPV that would result in that scenario by the present value of the institution's assets in that same scenario. The hypothetical scenarios are represented by immediate, permanent, parallel movements (shocks) in the term structure of interest rates of plus and minus 100, 200 and 300 basis points from the actual term structure observed at quarter end. The current NPV Ratio for each of the seven rate scenarios and the corresponding limits approved by the Board of Directors, and as applied to OCN, are as follows at December 31, 2000: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6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Board Limits</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Current</w:t>
            </w:r>
          </w:p>
        </w:tc>
      </w:tr>
      <w:tr>
        <w:trPr>
          <w:trHeight w:val="167"/>
        </w:trPr>
        <w:tc>
          <w:tcPr>
            <w:tcW w:w="26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Rate Shock in basis points</w:t>
            </w:r>
          </w:p>
        </w:tc>
        <w:tc>
          <w:tcPr>
            <w:tcW w:w="2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(minimum NPV Ratios)</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NPV Ratios</w:t>
            </w:r>
          </w:p>
        </w:tc>
      </w:tr>
      <w:tr>
        <w:trPr>
          <w:trHeight w:val="167"/>
        </w:trPr>
        <w:tc>
          <w:tcPr>
            <w:tcW w:w="2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w:t>
            </w:r>
          </w:p>
        </w:tc>
        <w:tc>
          <w:tcPr>
            <w:tcW w:w="2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660"/>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26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+300</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5.00%</w:t>
            </w:r>
          </w:p>
        </w:tc>
        <w:tc>
          <w:tcPr>
            <w:tcW w:w="1520" w:type="dxa"/>
            <w:vAlign w:val="bottom"/>
          </w:tcPr>
          <w:p>
            <w:pPr>
              <w:ind w:left="660"/>
              <w:spacing w:after="0"/>
              <w:rPr>
                <w:sz w:val="20"/>
                <w:szCs w:val="20"/>
                <w:color w:val="auto"/>
              </w:rPr>
            </w:pPr>
            <w:r>
              <w:rPr>
                <w:rFonts w:ascii="Courier New" w:cs="Courier New" w:eastAsia="Courier New" w:hAnsi="Courier New"/>
                <w:sz w:val="14"/>
                <w:szCs w:val="14"/>
                <w:color w:val="auto"/>
              </w:rPr>
              <w:t>26.59%</w:t>
            </w:r>
          </w:p>
        </w:tc>
      </w:tr>
      <w:tr>
        <w:trPr>
          <w:trHeight w:val="167"/>
        </w:trPr>
        <w:tc>
          <w:tcPr>
            <w:tcW w:w="26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+200</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6.00%</w:t>
            </w:r>
          </w:p>
        </w:tc>
        <w:tc>
          <w:tcPr>
            <w:tcW w:w="1520" w:type="dxa"/>
            <w:vAlign w:val="bottom"/>
          </w:tcPr>
          <w:p>
            <w:pPr>
              <w:ind w:left="660"/>
              <w:spacing w:after="0"/>
              <w:rPr>
                <w:sz w:val="20"/>
                <w:szCs w:val="20"/>
                <w:color w:val="auto"/>
              </w:rPr>
            </w:pPr>
            <w:r>
              <w:rPr>
                <w:rFonts w:ascii="Courier New" w:cs="Courier New" w:eastAsia="Courier New" w:hAnsi="Courier New"/>
                <w:sz w:val="14"/>
                <w:szCs w:val="14"/>
                <w:color w:val="auto"/>
              </w:rPr>
              <w:t>26.53%</w:t>
            </w:r>
          </w:p>
        </w:tc>
      </w:tr>
      <w:tr>
        <w:trPr>
          <w:trHeight w:val="167"/>
        </w:trPr>
        <w:tc>
          <w:tcPr>
            <w:tcW w:w="26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+100</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7.00%</w:t>
            </w:r>
          </w:p>
        </w:tc>
        <w:tc>
          <w:tcPr>
            <w:tcW w:w="1520" w:type="dxa"/>
            <w:vAlign w:val="bottom"/>
          </w:tcPr>
          <w:p>
            <w:pPr>
              <w:ind w:left="660"/>
              <w:spacing w:after="0"/>
              <w:rPr>
                <w:sz w:val="20"/>
                <w:szCs w:val="20"/>
                <w:color w:val="auto"/>
              </w:rPr>
            </w:pPr>
            <w:r>
              <w:rPr>
                <w:rFonts w:ascii="Courier New" w:cs="Courier New" w:eastAsia="Courier New" w:hAnsi="Courier New"/>
                <w:sz w:val="14"/>
                <w:szCs w:val="14"/>
                <w:color w:val="auto"/>
              </w:rPr>
              <w:t>26.45%</w:t>
            </w:r>
          </w:p>
        </w:tc>
      </w:tr>
      <w:tr>
        <w:trPr>
          <w:trHeight w:val="167"/>
        </w:trPr>
        <w:tc>
          <w:tcPr>
            <w:tcW w:w="2660" w:type="dxa"/>
            <w:vAlign w:val="bottom"/>
          </w:tcPr>
          <w:p>
            <w:pPr>
              <w:jc w:val="right"/>
              <w:ind w:right="1368"/>
              <w:spacing w:after="0"/>
              <w:rPr>
                <w:sz w:val="20"/>
                <w:szCs w:val="20"/>
                <w:color w:val="auto"/>
              </w:rPr>
            </w:pPr>
            <w:r>
              <w:rPr>
                <w:rFonts w:ascii="Courier New" w:cs="Courier New" w:eastAsia="Courier New" w:hAnsi="Courier New"/>
                <w:sz w:val="14"/>
                <w:szCs w:val="14"/>
                <w:color w:val="auto"/>
              </w:rPr>
              <w:t>0</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8.00%</w:t>
            </w:r>
          </w:p>
        </w:tc>
        <w:tc>
          <w:tcPr>
            <w:tcW w:w="1520" w:type="dxa"/>
            <w:vAlign w:val="bottom"/>
          </w:tcPr>
          <w:p>
            <w:pPr>
              <w:ind w:left="660"/>
              <w:spacing w:after="0"/>
              <w:rPr>
                <w:sz w:val="20"/>
                <w:szCs w:val="20"/>
                <w:color w:val="auto"/>
              </w:rPr>
            </w:pPr>
            <w:r>
              <w:rPr>
                <w:rFonts w:ascii="Courier New" w:cs="Courier New" w:eastAsia="Courier New" w:hAnsi="Courier New"/>
                <w:sz w:val="14"/>
                <w:szCs w:val="14"/>
                <w:color w:val="auto"/>
              </w:rPr>
              <w:t>26.36%</w:t>
            </w:r>
          </w:p>
        </w:tc>
      </w:tr>
      <w:tr>
        <w:trPr>
          <w:trHeight w:val="167"/>
        </w:trPr>
        <w:tc>
          <w:tcPr>
            <w:tcW w:w="26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-100</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7.00%</w:t>
            </w:r>
          </w:p>
        </w:tc>
        <w:tc>
          <w:tcPr>
            <w:tcW w:w="1520" w:type="dxa"/>
            <w:vAlign w:val="bottom"/>
          </w:tcPr>
          <w:p>
            <w:pPr>
              <w:ind w:left="660"/>
              <w:spacing w:after="0"/>
              <w:rPr>
                <w:sz w:val="20"/>
                <w:szCs w:val="20"/>
                <w:color w:val="auto"/>
              </w:rPr>
            </w:pPr>
            <w:r>
              <w:rPr>
                <w:rFonts w:ascii="Courier New" w:cs="Courier New" w:eastAsia="Courier New" w:hAnsi="Courier New"/>
                <w:sz w:val="14"/>
                <w:szCs w:val="14"/>
                <w:color w:val="auto"/>
              </w:rPr>
              <w:t>26.30%</w:t>
            </w:r>
          </w:p>
        </w:tc>
      </w:tr>
      <w:tr>
        <w:trPr>
          <w:trHeight w:val="167"/>
        </w:trPr>
        <w:tc>
          <w:tcPr>
            <w:tcW w:w="26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-200</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6.00%</w:t>
            </w:r>
          </w:p>
        </w:tc>
        <w:tc>
          <w:tcPr>
            <w:tcW w:w="1520" w:type="dxa"/>
            <w:vAlign w:val="bottom"/>
          </w:tcPr>
          <w:p>
            <w:pPr>
              <w:ind w:left="660"/>
              <w:spacing w:after="0"/>
              <w:rPr>
                <w:sz w:val="20"/>
                <w:szCs w:val="20"/>
                <w:color w:val="auto"/>
              </w:rPr>
            </w:pPr>
            <w:r>
              <w:rPr>
                <w:rFonts w:ascii="Courier New" w:cs="Courier New" w:eastAsia="Courier New" w:hAnsi="Courier New"/>
                <w:sz w:val="14"/>
                <w:szCs w:val="14"/>
                <w:color w:val="auto"/>
              </w:rPr>
              <w:t>26.31%</w:t>
            </w:r>
          </w:p>
        </w:tc>
      </w:tr>
      <w:tr>
        <w:trPr>
          <w:trHeight w:val="167"/>
        </w:trPr>
        <w:tc>
          <w:tcPr>
            <w:tcW w:w="26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-300</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5.00%</w:t>
            </w:r>
          </w:p>
        </w:tc>
        <w:tc>
          <w:tcPr>
            <w:tcW w:w="1520" w:type="dxa"/>
            <w:vAlign w:val="bottom"/>
          </w:tcPr>
          <w:p>
            <w:pPr>
              <w:ind w:left="660"/>
              <w:spacing w:after="0"/>
              <w:rPr>
                <w:sz w:val="20"/>
                <w:szCs w:val="20"/>
                <w:color w:val="auto"/>
              </w:rPr>
            </w:pPr>
            <w:r>
              <w:rPr>
                <w:rFonts w:ascii="Courier New" w:cs="Courier New" w:eastAsia="Courier New" w:hAnsi="Courier New"/>
                <w:sz w:val="14"/>
                <w:szCs w:val="14"/>
                <w:color w:val="auto"/>
              </w:rPr>
              <w:t>26.43%</w:t>
            </w:r>
          </w:p>
        </w:tc>
      </w:tr>
    </w:tbl>
    <w:p>
      <w:pPr>
        <w:spacing w:after="0" w:line="171"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Committee also regularly reviews interest rate risk by forecasting the impact of alternative interest rate environments on net interest income and NPV and evaluating such impacts against the maximum potential changes in net interest income and NPV that is authorized by the Board of Directors, and as applied to OCN. The following table quantifies the potential changes in net interest income and net portfolio value should interest rates go up or down (shocked) 300 basis points, assuming the yield curves of the rate shocks will be parallel to each other. The cash flows associated with the loan portfolios and securities available for sale are calculated based on prepayment and default rates that vary by asset. Projected losses, as well as prepayments, are generated based upon the actual experience with the subject pool, as well as similar, more seasoned pools. To the extent available, loan characteristics such as loan-to-value ratio, interest rate, credit history, prepayment penalty terms and product types are used to produce the projected loss and prepayment assumptions that are included in the cash flow projections of the securities. When interest rates are shocked, these projected loss and prepayment assumptions are further adjusted. The base interest rate scenario assumes interest rates at December 31, 2000. Actual results could differ significantly from the OCN results estimated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3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Estimated Changes in</w:t>
            </w:r>
          </w:p>
        </w:tc>
        <w:tc>
          <w:tcPr>
            <w:tcW w:w="74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Rate Shock in basis points</w:t>
            </w:r>
          </w:p>
        </w:tc>
        <w:tc>
          <w:tcPr>
            <w:tcW w:w="318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Net Interest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NPV</w:t>
            </w:r>
          </w:p>
        </w:tc>
      </w:tr>
      <w:tr>
        <w:trPr>
          <w:trHeight w:val="167"/>
        </w:trPr>
        <w:tc>
          <w:tcPr>
            <w:tcW w:w="2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w:t>
            </w:r>
          </w:p>
        </w:tc>
        <w:tc>
          <w:tcPr>
            <w:tcW w:w="3180" w:type="dxa"/>
            <w:vAlign w:val="bottom"/>
          </w:tcPr>
          <w:p>
            <w:pPr>
              <w:jc w:val="right"/>
              <w:ind w:right="15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+300</w:t>
            </w:r>
          </w:p>
        </w:tc>
        <w:tc>
          <w:tcPr>
            <w:tcW w:w="3180" w:type="dxa"/>
            <w:vAlign w:val="bottom"/>
          </w:tcPr>
          <w:p>
            <w:pPr>
              <w:jc w:val="right"/>
              <w:ind w:right="1968"/>
              <w:spacing w:after="0"/>
              <w:rPr>
                <w:sz w:val="20"/>
                <w:szCs w:val="20"/>
                <w:color w:val="auto"/>
              </w:rPr>
            </w:pPr>
            <w:r>
              <w:rPr>
                <w:rFonts w:ascii="Courier New" w:cs="Courier New" w:eastAsia="Courier New" w:hAnsi="Courier New"/>
                <w:sz w:val="14"/>
                <w:szCs w:val="14"/>
                <w:color w:val="auto"/>
              </w:rPr>
              <w:t>21.96%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167"/>
        </w:trPr>
        <w:tc>
          <w:tcPr>
            <w:tcW w:w="27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+200</w:t>
            </w:r>
          </w:p>
        </w:tc>
        <w:tc>
          <w:tcPr>
            <w:tcW w:w="3180" w:type="dxa"/>
            <w:vAlign w:val="bottom"/>
          </w:tcPr>
          <w:p>
            <w:pPr>
              <w:jc w:val="right"/>
              <w:ind w:right="1968"/>
              <w:spacing w:after="0"/>
              <w:rPr>
                <w:sz w:val="20"/>
                <w:szCs w:val="20"/>
                <w:color w:val="auto"/>
              </w:rPr>
            </w:pPr>
            <w:r>
              <w:rPr>
                <w:rFonts w:ascii="Courier New" w:cs="Courier New" w:eastAsia="Courier New" w:hAnsi="Courier New"/>
                <w:sz w:val="14"/>
                <w:szCs w:val="14"/>
                <w:color w:val="auto"/>
              </w:rPr>
              <w:t>14.64%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r>
        <w:trPr>
          <w:trHeight w:val="167"/>
        </w:trPr>
        <w:tc>
          <w:tcPr>
            <w:tcW w:w="27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+100</w:t>
            </w:r>
          </w:p>
        </w:tc>
        <w:tc>
          <w:tcPr>
            <w:tcW w:w="3180" w:type="dxa"/>
            <w:vAlign w:val="bottom"/>
          </w:tcPr>
          <w:p>
            <w:pPr>
              <w:jc w:val="right"/>
              <w:ind w:right="1968"/>
              <w:spacing w:after="0"/>
              <w:rPr>
                <w:sz w:val="20"/>
                <w:szCs w:val="20"/>
                <w:color w:val="auto"/>
              </w:rPr>
            </w:pPr>
            <w:r>
              <w:rPr>
                <w:rFonts w:ascii="Courier New" w:cs="Courier New" w:eastAsia="Courier New" w:hAnsi="Courier New"/>
                <w:sz w:val="14"/>
                <w:szCs w:val="14"/>
                <w:color w:val="auto"/>
              </w:rPr>
              <w:t>7.32%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(0.63)%</w:t>
            </w:r>
          </w:p>
        </w:tc>
      </w:tr>
      <w:tr>
        <w:trPr>
          <w:trHeight w:val="167"/>
        </w:trPr>
        <w:tc>
          <w:tcPr>
            <w:tcW w:w="27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0</w:t>
            </w:r>
          </w:p>
        </w:tc>
        <w:tc>
          <w:tcPr>
            <w:tcW w:w="3180" w:type="dxa"/>
            <w:vAlign w:val="bottom"/>
          </w:tcPr>
          <w:p>
            <w:pPr>
              <w:jc w:val="right"/>
              <w:ind w:right="1968"/>
              <w:spacing w:after="0"/>
              <w:rPr>
                <w:sz w:val="20"/>
                <w:szCs w:val="20"/>
                <w:color w:val="auto"/>
              </w:rPr>
            </w:pPr>
            <w:r>
              <w:rPr>
                <w:rFonts w:ascii="Courier New" w:cs="Courier New" w:eastAsia="Courier New" w:hAnsi="Courier New"/>
                <w:sz w:val="14"/>
                <w:szCs w:val="14"/>
                <w:color w:val="auto"/>
              </w:rPr>
              <w:t>0.00%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0.00%</w:t>
            </w:r>
          </w:p>
        </w:tc>
      </w:tr>
      <w:tr>
        <w:trPr>
          <w:trHeight w:val="167"/>
        </w:trPr>
        <w:tc>
          <w:tcPr>
            <w:tcW w:w="27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-100</w:t>
            </w:r>
          </w:p>
        </w:tc>
        <w:tc>
          <w:tcPr>
            <w:tcW w:w="3180" w:type="dxa"/>
            <w:vAlign w:val="bottom"/>
          </w:tcPr>
          <w:p>
            <w:pPr>
              <w:jc w:val="right"/>
              <w:ind w:right="1888"/>
              <w:spacing w:after="0"/>
              <w:rPr>
                <w:sz w:val="20"/>
                <w:szCs w:val="20"/>
                <w:color w:val="auto"/>
              </w:rPr>
            </w:pPr>
            <w:r>
              <w:rPr>
                <w:rFonts w:ascii="Courier New" w:cs="Courier New" w:eastAsia="Courier New" w:hAnsi="Courier New"/>
                <w:sz w:val="14"/>
                <w:szCs w:val="14"/>
                <w:color w:val="auto"/>
              </w:rPr>
              <w:t>(7.32)%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0.77%</w:t>
            </w:r>
          </w:p>
        </w:tc>
      </w:tr>
      <w:tr>
        <w:trPr>
          <w:trHeight w:val="167"/>
        </w:trPr>
        <w:tc>
          <w:tcPr>
            <w:tcW w:w="27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-200</w:t>
            </w:r>
          </w:p>
        </w:tc>
        <w:tc>
          <w:tcPr>
            <w:tcW w:w="3180" w:type="dxa"/>
            <w:vAlign w:val="bottom"/>
          </w:tcPr>
          <w:p>
            <w:pPr>
              <w:jc w:val="right"/>
              <w:ind w:right="1888"/>
              <w:spacing w:after="0"/>
              <w:rPr>
                <w:sz w:val="20"/>
                <w:szCs w:val="20"/>
                <w:color w:val="auto"/>
              </w:rPr>
            </w:pPr>
            <w:r>
              <w:rPr>
                <w:rFonts w:ascii="Courier New" w:cs="Courier New" w:eastAsia="Courier New" w:hAnsi="Courier New"/>
                <w:sz w:val="14"/>
                <w:szCs w:val="14"/>
                <w:color w:val="auto"/>
              </w:rPr>
              <w:t>(14.64)%</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w:t>
            </w:r>
          </w:p>
        </w:tc>
      </w:tr>
      <w:tr>
        <w:trPr>
          <w:trHeight w:val="167"/>
        </w:trPr>
        <w:tc>
          <w:tcPr>
            <w:tcW w:w="27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-300</w:t>
            </w:r>
          </w:p>
        </w:tc>
        <w:tc>
          <w:tcPr>
            <w:tcW w:w="3180" w:type="dxa"/>
            <w:vAlign w:val="bottom"/>
          </w:tcPr>
          <w:p>
            <w:pPr>
              <w:jc w:val="right"/>
              <w:ind w:right="1888"/>
              <w:spacing w:after="0"/>
              <w:rPr>
                <w:sz w:val="20"/>
                <w:szCs w:val="20"/>
                <w:color w:val="auto"/>
              </w:rPr>
            </w:pPr>
            <w:r>
              <w:rPr>
                <w:rFonts w:ascii="Courier New" w:cs="Courier New" w:eastAsia="Courier New" w:hAnsi="Courier New"/>
                <w:sz w:val="14"/>
                <w:szCs w:val="14"/>
                <w:color w:val="auto"/>
              </w:rPr>
              <w:t>(21.96)%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3.69%</w:t>
            </w:r>
          </w:p>
        </w:tc>
      </w:tr>
      <w:tr>
        <w:trPr>
          <w:trHeight w:val="334"/>
        </w:trPr>
        <w:tc>
          <w:tcPr>
            <w:tcW w:w="2780" w:type="dxa"/>
            <w:vAlign w:val="bottom"/>
          </w:tcPr>
          <w:p>
            <w:pPr>
              <w:spacing w:after="0"/>
              <w:rPr>
                <w:sz w:val="24"/>
                <w:szCs w:val="24"/>
                <w:color w:val="auto"/>
              </w:rPr>
            </w:pPr>
          </w:p>
        </w:tc>
        <w:tc>
          <w:tcPr>
            <w:tcW w:w="318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55</w:t>
            </w:r>
          </w:p>
        </w:tc>
        <w:tc>
          <w:tcPr>
            <w:tcW w:w="74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gridSpan w:val="6"/>
          </w:tcPr>
          <w:p>
            <w:pPr>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1300" w:type="dxa"/>
            <w:vAlign w:val="bottom"/>
            <w:gridSpan w:val="3"/>
          </w:tcPr>
          <w:p>
            <w:pPr>
              <w:spacing w:after="0"/>
              <w:rPr>
                <w:sz w:val="20"/>
                <w:szCs w:val="20"/>
                <w:color w:val="auto"/>
              </w:rPr>
            </w:pPr>
            <w:r>
              <w:rPr>
                <w:rFonts w:ascii="Courier New" w:cs="Courier New" w:eastAsia="Courier New" w:hAnsi="Courier New"/>
                <w:sz w:val="14"/>
                <w:szCs w:val="14"/>
                <w:color w:val="auto"/>
              </w:rPr>
              <w:t>and Results of</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Operations. (Dollars</w:t>
            </w:r>
          </w:p>
        </w:tc>
        <w:tc>
          <w:tcPr>
            <w:tcW w:w="3380" w:type="dxa"/>
            <w:vAlign w:val="bottom"/>
            <w:gridSpan w:val="4"/>
          </w:tcPr>
          <w:p>
            <w:pPr>
              <w:spacing w:after="0"/>
              <w:rPr>
                <w:sz w:val="20"/>
                <w:szCs w:val="20"/>
                <w:color w:val="auto"/>
              </w:rPr>
            </w:pPr>
            <w:r>
              <w:rPr>
                <w:rFonts w:ascii="Courier New" w:cs="Courier New" w:eastAsia="Courier New" w:hAnsi="Courier New"/>
                <w:sz w:val="14"/>
                <w:szCs w:val="14"/>
                <w:color w:val="auto"/>
              </w:rPr>
              <w:t>in thousands, except share data)</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160" w:type="dxa"/>
            <w:vAlign w:val="bottom"/>
            <w:gridSpan w:val="10"/>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7160" w:type="dxa"/>
            <w:vAlign w:val="bottom"/>
            <w:gridSpan w:val="10"/>
          </w:tcPr>
          <w:p>
            <w:pPr>
              <w:jc w:val="right"/>
              <w:ind w:right="228"/>
              <w:spacing w:after="0"/>
              <w:rPr>
                <w:sz w:val="20"/>
                <w:szCs w:val="20"/>
                <w:color w:val="auto"/>
              </w:rPr>
            </w:pPr>
            <w:r>
              <w:rPr>
                <w:rFonts w:ascii="Courier New" w:cs="Courier New" w:eastAsia="Courier New" w:hAnsi="Courier New"/>
                <w:sz w:val="14"/>
                <w:szCs w:val="14"/>
                <w:color w:val="auto"/>
              </w:rPr>
              <w:t>The following table shows the Company's financial instruments that are</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sensitive to changes</w:t>
            </w:r>
          </w:p>
        </w:tc>
        <w:tc>
          <w:tcPr>
            <w:tcW w:w="4680" w:type="dxa"/>
            <w:vAlign w:val="bottom"/>
            <w:gridSpan w:val="7"/>
          </w:tcPr>
          <w:p>
            <w:pPr>
              <w:spacing w:after="0"/>
              <w:rPr>
                <w:sz w:val="20"/>
                <w:szCs w:val="20"/>
                <w:color w:val="auto"/>
              </w:rPr>
            </w:pPr>
            <w:r>
              <w:rPr>
                <w:rFonts w:ascii="Courier New" w:cs="Courier New" w:eastAsia="Courier New" w:hAnsi="Courier New"/>
                <w:sz w:val="14"/>
                <w:szCs w:val="14"/>
                <w:color w:val="auto"/>
              </w:rPr>
              <w:t>in interest rates, categorized by expected maturity or</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220" w:type="dxa"/>
            <w:vAlign w:val="bottom"/>
            <w:gridSpan w:val="6"/>
          </w:tcPr>
          <w:p>
            <w:pPr>
              <w:spacing w:after="0"/>
              <w:rPr>
                <w:sz w:val="20"/>
                <w:szCs w:val="20"/>
                <w:color w:val="auto"/>
              </w:rPr>
            </w:pPr>
            <w:r>
              <w:rPr>
                <w:rFonts w:ascii="Courier New" w:cs="Courier New" w:eastAsia="Courier New" w:hAnsi="Courier New"/>
                <w:sz w:val="14"/>
                <w:szCs w:val="14"/>
                <w:color w:val="auto"/>
              </w:rPr>
              <w:t>repricing characteristics, and the instruments' fair values</w:t>
            </w:r>
          </w:p>
        </w:tc>
        <w:tc>
          <w:tcPr>
            <w:tcW w:w="1300" w:type="dxa"/>
            <w:vAlign w:val="bottom"/>
            <w:gridSpan w:val="3"/>
          </w:tcPr>
          <w:p>
            <w:pPr>
              <w:spacing w:after="0"/>
              <w:rPr>
                <w:sz w:val="20"/>
                <w:szCs w:val="20"/>
                <w:color w:val="auto"/>
              </w:rPr>
            </w:pPr>
            <w:r>
              <w:rPr>
                <w:rFonts w:ascii="Courier New" w:cs="Courier New" w:eastAsia="Courier New" w:hAnsi="Courier New"/>
                <w:sz w:val="14"/>
                <w:szCs w:val="14"/>
                <w:color w:val="auto"/>
              </w:rPr>
              <w:t>at December 31,</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8"/>
        </w:trPr>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Expected Maturity Date At December 31, 2000 (1)</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980" w:type="dxa"/>
            <w:vAlign w:val="bottom"/>
            <w:gridSpan w:val="1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1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Fair</w:t>
            </w: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2001</w:t>
            </w:r>
          </w:p>
        </w:tc>
        <w:tc>
          <w:tcPr>
            <w:tcW w:w="18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2003</w:t>
            </w:r>
          </w:p>
        </w:tc>
        <w:tc>
          <w:tcPr>
            <w:tcW w:w="9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2004</w:t>
            </w:r>
          </w:p>
        </w:tc>
        <w:tc>
          <w:tcPr>
            <w:tcW w:w="180" w:type="dxa"/>
            <w:vAlign w:val="bottom"/>
          </w:tcPr>
          <w:p>
            <w:pPr>
              <w:spacing w:after="0"/>
              <w:rPr>
                <w:sz w:val="14"/>
                <w:szCs w:val="14"/>
                <w:color w:val="auto"/>
              </w:rPr>
            </w:pP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2005</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Thereafter</w:t>
            </w:r>
          </w:p>
        </w:tc>
        <w:tc>
          <w:tcPr>
            <w:tcW w:w="1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w:t>
            </w:r>
          </w:p>
        </w:tc>
        <w:tc>
          <w:tcPr>
            <w:tcW w:w="1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Value</w:t>
            </w: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220" w:type="dxa"/>
            <w:vAlign w:val="bottom"/>
            <w:gridSpan w:val="3"/>
          </w:tcPr>
          <w:p>
            <w:pPr>
              <w:spacing w:after="0"/>
              <w:rPr>
                <w:sz w:val="20"/>
                <w:szCs w:val="20"/>
                <w:color w:val="auto"/>
              </w:rPr>
            </w:pPr>
            <w:r>
              <w:rPr>
                <w:rFonts w:ascii="Courier New" w:cs="Courier New" w:eastAsia="Courier New" w:hAnsi="Courier New"/>
                <w:sz w:val="14"/>
                <w:szCs w:val="14"/>
                <w:color w:val="auto"/>
              </w:rPr>
              <w:t>Rate-Sensitive Assets: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Interest-earning deposits........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$ 134,987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134,987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134,987</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4.78%</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4.78%</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Trading securities...............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258,148</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42,485</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15,606</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15,780</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10,928</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47,295</w:t>
            </w:r>
          </w:p>
        </w:tc>
        <w:tc>
          <w:tcPr>
            <w:tcW w:w="1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390,242</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390,242</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7.43%</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10.36%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20.12%</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21.79%</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22.76%</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15.80%</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10.28%</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Loans available for sale (2).....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5,813</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1,732</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644</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389</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339</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1,693</w:t>
            </w:r>
          </w:p>
        </w:tc>
        <w:tc>
          <w:tcPr>
            <w:tcW w:w="1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10,610</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10,610</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9.52%</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8.96%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9.22%</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9.63%</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9.73%</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10.23%</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9.53%</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Investment securities............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13,257</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13,257</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13,257</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Loan portfolio, (2)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59,440</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30,689</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1,003</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828</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590</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864</w:t>
            </w:r>
          </w:p>
        </w:tc>
        <w:tc>
          <w:tcPr>
            <w:tcW w:w="1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93,414</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93,408</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10.07%</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9.79%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9.84%</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10.01%</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10.41%</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11.63%</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9.99%</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Discount loan portfolio (2)......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290,108</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102,478</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39,586</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25,475</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10,890</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67,491</w:t>
            </w:r>
          </w:p>
        </w:tc>
        <w:tc>
          <w:tcPr>
            <w:tcW w:w="1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536,028</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579,909</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8.43%</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8.39%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8.49%</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8.43%</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8.83%</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9.13%</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8.52%</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Match funded loans</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w w:val="99"/>
              </w:rPr>
              <w:t>securities</w:t>
            </w:r>
          </w:p>
        </w:tc>
        <w:tc>
          <w:tcPr>
            <w:tcW w:w="2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39,307</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28,766</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13,202</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4,382</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3,416</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27,914</w:t>
            </w:r>
          </w:p>
        </w:tc>
        <w:tc>
          <w:tcPr>
            <w:tcW w:w="1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116,987</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109,635</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11.10%</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10.87%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10.01%</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9.85%</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9.78%</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9.29%</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10.40%</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Total rate-sensitive assets..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$ 801,060</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$ 206,150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70,041</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46,854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26,163</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$ 145,257</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$ 1,295,525</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$ 1,332,048</w:t>
            </w: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gridSpan w:val="3"/>
          </w:tcPr>
          <w:p>
            <w:pPr>
              <w:spacing w:after="0"/>
              <w:rPr>
                <w:sz w:val="20"/>
                <w:szCs w:val="20"/>
                <w:color w:val="auto"/>
              </w:rPr>
            </w:pPr>
            <w:r>
              <w:rPr>
                <w:rFonts w:ascii="Courier New" w:cs="Courier New" w:eastAsia="Courier New" w:hAnsi="Courier New"/>
                <w:sz w:val="14"/>
                <w:szCs w:val="14"/>
                <w:color w:val="auto"/>
              </w:rPr>
              <w:t>Rate-Sensitive Liabilities:</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NOW and money market checking</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deposits</w:t>
            </w:r>
          </w:p>
        </w:tc>
        <w:tc>
          <w:tcPr>
            <w:tcW w:w="2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13,058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148</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14,669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14,356</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3.55%</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0.47%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0.47%</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0.47%</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0.47%</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0.47%</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3.21%</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Savings deposits.................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319</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w:t>
            </w:r>
          </w:p>
        </w:tc>
        <w:tc>
          <w:tcPr>
            <w:tcW w:w="1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1,274</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1,216</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Certificates of deposit..........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642,342</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327,125</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104,058</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53,634</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25,377</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20,041</w:t>
            </w:r>
          </w:p>
        </w:tc>
        <w:tc>
          <w:tcPr>
            <w:tcW w:w="1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1,172,577</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1,190,856</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6.30%</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6.17%</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6.70%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6.93%</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Total interest-bearing</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deposits...................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655,719</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327,558</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104,416</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53,931</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25,623</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21,273</w:t>
            </w:r>
          </w:p>
        </w:tc>
        <w:tc>
          <w:tcPr>
            <w:tcW w:w="1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1,188,520</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1,206,428</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Bonds-match funded</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agreements....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90,168</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4,568</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3,434</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3,204</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3,024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2,652</w:t>
            </w:r>
          </w:p>
        </w:tc>
        <w:tc>
          <w:tcPr>
            <w:tcW w:w="1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107,050</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108,783</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7.36%</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9.50%</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7.70%</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Obligations outstanding under</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8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lines of credit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32,933</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32,933</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32,933</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8.96%</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8.96%</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Notes, debentures and other......</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6,235</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100,050</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67,045</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173,330</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152,277</w:t>
            </w:r>
          </w:p>
        </w:tc>
      </w:tr>
      <w:tr>
        <w:trPr>
          <w:trHeight w:val="167"/>
        </w:trPr>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interest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9.06%</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11.88%</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11.82%</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Total rate-sensitive</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2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liabilities................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$ 785,055</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$ 332,126</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$ 207,900</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57,135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95,692</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23,925</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$ 1,501,833</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$ 1,500,421</w:t>
            </w: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right="4240" w:hanging="791"/>
        <w:spacing w:after="0" w:line="253" w:lineRule="auto"/>
        <w:tabs>
          <w:tab w:leader="none" w:pos="8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Expected maturities are contractual maturities adjusted for prepayments of principal. The Company uses certain assumptions to estimate fair values and expected maturities. For assets, expected maturities are based upon contractual maturity, projected repayments and prepayments of principal. The prepayment experience reflected herein is based on the Company's historical experience. The Company's average Constant Prepayment Rate ("CPR") is 16.51% and 13.90% on its fixed-rate and adjustable-rate portfolios, respectively, for interest-earning assets (excluding investment securities, which do not have prepayment features). The actual maturities of these instruments could vary substantially if future prepayments differ from the Company's historical experience.</w:t>
      </w:r>
    </w:p>
    <w:p>
      <w:pPr>
        <w:spacing w:after="0" w:line="330"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Balances have not been reduced for non-performing loans.</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1200"/>
          </w:cols>
          <w:pgMar w:left="220" w:top="453" w:right="479" w:bottom="1440" w:gutter="0" w:footer="0" w:header="0"/>
        </w:sectPr>
      </w:pPr>
    </w:p>
    <w:bookmarkStart w:id="84" w:name="page85"/>
    <w:bookmarkEnd w:id="84"/>
    <w:p>
      <w:pPr>
        <w:ind w:right="1120"/>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960" w:hanging="791"/>
        <w:spacing w:after="0" w:line="255" w:lineRule="auto"/>
        <w:tabs>
          <w:tab w:leader="none" w:pos="8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expected maturity or repricing dates of interest rate-sensitive assets and liabilities as of December 31, 2000 and 1999 compare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1st Year</w:t>
            </w:r>
          </w:p>
        </w:tc>
        <w:tc>
          <w:tcPr>
            <w:tcW w:w="10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2nd Year</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3rd Year</w:t>
            </w:r>
          </w:p>
        </w:tc>
        <w:tc>
          <w:tcPr>
            <w:tcW w:w="10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4th Year</w:t>
            </w:r>
          </w:p>
        </w:tc>
      </w:tr>
      <w:tr>
        <w:trPr>
          <w:trHeight w:val="167"/>
        </w:trPr>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Total</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rate-sensitive assets: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2000:</w:t>
            </w: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Amount..........................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801,060</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206,150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70,041</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46,854</w:t>
            </w: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of total....................</w:t>
            </w:r>
          </w:p>
        </w:tc>
        <w:tc>
          <w:tcPr>
            <w:tcW w:w="3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61.83%</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15.91%</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5.41%</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1999:</w:t>
            </w: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Amount..........................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1,345,649</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290,464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114,899</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99,897</w:t>
            </w: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of total....................</w:t>
            </w:r>
          </w:p>
        </w:tc>
        <w:tc>
          <w:tcPr>
            <w:tcW w:w="3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64.06%</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13.83%</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4.76%</w:t>
            </w:r>
          </w:p>
        </w:tc>
      </w:tr>
      <w:tr>
        <w:trPr>
          <w:trHeight w:val="334"/>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Total</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rate-sensitive liabilities: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2000:</w:t>
            </w: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Amount..........................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785,055</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332,126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207,900</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57,135</w:t>
            </w: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of total....................</w:t>
            </w:r>
          </w:p>
        </w:tc>
        <w:tc>
          <w:tcPr>
            <w:tcW w:w="3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52.27%</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22.12%</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13.84%</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3.81%</w:t>
            </w: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1999:</w:t>
            </w: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Amount..........................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1,148,256</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425,506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234,488</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177,796</w:t>
            </w: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of total....................</w:t>
            </w:r>
          </w:p>
        </w:tc>
        <w:tc>
          <w:tcPr>
            <w:tcW w:w="3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50.89%</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18.86%</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10.39%</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7.88%</w:t>
            </w:r>
          </w:p>
        </w:tc>
      </w:tr>
    </w:tbl>
    <w:p>
      <w:pPr>
        <w:spacing w:after="0" w:line="338" w:lineRule="exact"/>
        <w:rPr>
          <w:sz w:val="20"/>
          <w:szCs w:val="20"/>
          <w:color w:val="auto"/>
        </w:rPr>
      </w:pPr>
    </w:p>
    <w:p>
      <w:pPr>
        <w:ind w:right="600" w:firstLine="781"/>
        <w:spacing w:after="0" w:line="254" w:lineRule="auto"/>
        <w:rPr>
          <w:sz w:val="20"/>
          <w:szCs w:val="20"/>
          <w:color w:val="auto"/>
        </w:rPr>
      </w:pPr>
      <w:r>
        <w:rPr>
          <w:rFonts w:ascii="Courier New" w:cs="Courier New" w:eastAsia="Courier New" w:hAnsi="Courier New"/>
          <w:sz w:val="14"/>
          <w:szCs w:val="14"/>
          <w:color w:val="auto"/>
        </w:rPr>
        <w:t>The Company believes that the broad geographic distribution of its loans available for sale, loan portfolio, discount loan portfolio and match-funded loans reduces the risks that would otherwise result from concentrating such loans in limited geographic areas. See Notes 6, 7, 8 and 9 to the Consolidated Financial Statements (which are incorporated herein by reference).</w:t>
      </w:r>
    </w:p>
    <w:p>
      <w:pPr>
        <w:spacing w:after="0" w:line="329" w:lineRule="exact"/>
        <w:rPr>
          <w:sz w:val="20"/>
          <w:szCs w:val="20"/>
          <w:color w:val="auto"/>
        </w:rPr>
      </w:pPr>
    </w:p>
    <w:p>
      <w:pPr>
        <w:ind w:right="700" w:firstLine="781"/>
        <w:spacing w:after="0" w:line="253" w:lineRule="auto"/>
        <w:rPr>
          <w:sz w:val="20"/>
          <w:szCs w:val="20"/>
          <w:color w:val="auto"/>
        </w:rPr>
      </w:pPr>
      <w:r>
        <w:rPr>
          <w:rFonts w:ascii="Courier New" w:cs="Courier New" w:eastAsia="Courier New" w:hAnsi="Courier New"/>
          <w:sz w:val="14"/>
          <w:szCs w:val="14"/>
          <w:color w:val="auto"/>
        </w:rPr>
        <w:t>The Committee is authorized to utilize a wide variety of off-balance sheet financial techniques to assist it in the management of interest rate risk and foreign currency exchange rate risk. These techniques include interest rate exchange contracts or "swap" agreements, U.S. Treasury interest rate futures contracts, foreign currency futures contracts, foreign currency forwards and European swaptions and put options.</w:t>
      </w:r>
    </w:p>
    <w:p>
      <w:pPr>
        <w:spacing w:after="0" w:line="165" w:lineRule="exact"/>
        <w:rPr>
          <w:sz w:val="20"/>
          <w:szCs w:val="20"/>
          <w:color w:val="auto"/>
        </w:rPr>
      </w:pPr>
    </w:p>
    <w:p>
      <w:pPr>
        <w:ind w:right="600" w:firstLine="781"/>
        <w:spacing w:after="0" w:line="253" w:lineRule="auto"/>
        <w:rPr>
          <w:sz w:val="20"/>
          <w:szCs w:val="20"/>
          <w:color w:val="auto"/>
        </w:rPr>
      </w:pPr>
      <w:r>
        <w:rPr>
          <w:rFonts w:ascii="Courier New" w:cs="Courier New" w:eastAsia="Courier New" w:hAnsi="Courier New"/>
          <w:sz w:val="14"/>
          <w:szCs w:val="14"/>
          <w:color w:val="auto"/>
        </w:rPr>
        <w:t>INTEREST RATE RISK MANAGEMENT. In managing its interest rate risk, the Company enters into interest rate swaps. Under interest rate swaps, the Company agrees with other parties to exchange, at specified intervals, the difference between fixed-rate and floating-rate interest amounts calculated by reference to an agreed notional amount. The Company utilizes interest rate swaps to protect against the decrease in value of a fixed-rate asset or the increase in borrowing cost from a short-term, fixed-rate liability, such as securities sold under agreements to repurchase, in an increasing interest-rate environment. The Company had entered into interest rate swaps with an aggregate notional amount of $33,000 and $200,780 at December 31, 2000 and, 1999, respectively.</w:t>
      </w:r>
    </w:p>
    <w:p>
      <w:pPr>
        <w:spacing w:after="0" w:line="164" w:lineRule="exact"/>
        <w:rPr>
          <w:sz w:val="20"/>
          <w:szCs w:val="20"/>
          <w:color w:val="auto"/>
        </w:rPr>
      </w:pPr>
    </w:p>
    <w:p>
      <w:pPr>
        <w:ind w:right="600" w:firstLine="781"/>
        <w:spacing w:after="0" w:line="253" w:lineRule="auto"/>
        <w:rPr>
          <w:sz w:val="20"/>
          <w:szCs w:val="20"/>
          <w:color w:val="auto"/>
        </w:rPr>
      </w:pPr>
      <w:r>
        <w:rPr>
          <w:rFonts w:ascii="Courier New" w:cs="Courier New" w:eastAsia="Courier New" w:hAnsi="Courier New"/>
          <w:sz w:val="14"/>
          <w:szCs w:val="14"/>
          <w:color w:val="auto"/>
        </w:rPr>
        <w:t>During 1999, the Company entered into swaption and put option contracts to mitigate its interest rate exposure on anticipated future funding related to certain of its investments in low-income housing tax credit interests. Swaption contracts are options to enter into an interest rate swap agreement at a future date at a specific interest rate. A European put option allows the Company to sell a specified quantity of an asset at a specified price at a specific date. At December 31, 2000, the Company had no swaption or put option contracts outstanding. The Company had entered into swaptions and put options with an aggregate notional amount of $20,900 at December 31, 1999.</w:t>
      </w:r>
    </w:p>
    <w:p>
      <w:pPr>
        <w:spacing w:after="0" w:line="164" w:lineRule="exact"/>
        <w:rPr>
          <w:sz w:val="20"/>
          <w:szCs w:val="20"/>
          <w:color w:val="auto"/>
        </w:rPr>
      </w:pPr>
    </w:p>
    <w:p>
      <w:pPr>
        <w:ind w:right="600" w:firstLine="781"/>
        <w:spacing w:after="0" w:line="253" w:lineRule="auto"/>
        <w:rPr>
          <w:sz w:val="20"/>
          <w:szCs w:val="20"/>
          <w:color w:val="auto"/>
        </w:rPr>
      </w:pPr>
      <w:r>
        <w:rPr>
          <w:rFonts w:ascii="Courier New" w:cs="Courier New" w:eastAsia="Courier New" w:hAnsi="Courier New"/>
          <w:sz w:val="14"/>
          <w:szCs w:val="14"/>
          <w:color w:val="auto"/>
        </w:rPr>
        <w:t>The Company also enters into interest rate futures contracts, which are commitments to either purchase or sell designated financial instruments at a future date for a specified price and may be settled in cash or through delivery. Eurodollar futures contracts have been sold by the Company to hedge the repricing or maturity risk of certain short duration mortgage-related securities, and U.S. Treasury futures contracts have been sold by the Company to offset declines in the market value of its fixed-rate loans and certain fixed-rate mortgage-backed and related securities available for sale in the event of an increasing interest rate environment. At December 31, 2000 the Company had no futures contracts outstanding. At December 31, 1999, the Company had entered into futures contracts with an aggregate notional amount of $19,000.</w:t>
      </w:r>
    </w:p>
    <w:p>
      <w:pPr>
        <w:spacing w:after="0" w:line="164" w:lineRule="exact"/>
        <w:rPr>
          <w:sz w:val="20"/>
          <w:szCs w:val="20"/>
          <w:color w:val="auto"/>
        </w:rPr>
      </w:pPr>
    </w:p>
    <w:p>
      <w:pPr>
        <w:ind w:right="600" w:firstLine="781"/>
        <w:spacing w:after="0" w:line="253" w:lineRule="auto"/>
        <w:rPr>
          <w:sz w:val="20"/>
          <w:szCs w:val="20"/>
          <w:color w:val="auto"/>
        </w:rPr>
      </w:pPr>
      <w:r>
        <w:rPr>
          <w:rFonts w:ascii="Courier New" w:cs="Courier New" w:eastAsia="Courier New" w:hAnsi="Courier New"/>
          <w:sz w:val="14"/>
          <w:szCs w:val="14"/>
          <w:color w:val="auto"/>
        </w:rPr>
        <w:t>In addition, the Company purchased amortizing caps and floors to hedge its interest rate exposure relating to its match funded loans and securities. An interest rate cap or interest rate floor is designed to provide protection against the interest rate on a floating-rate instrument rising above some level (cap) or falling below some level (floor). The Company had entered into caps and floors with an aggregate notional amount of $141,674 and $37,787, respectively, at December 31, 2000, and caps and floors with an aggregate notional amount of $159,211 and $41,899, respectively, at December 31, 1999.</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Courier New" w:cs="Courier New" w:eastAsia="Courier New" w:hAnsi="Courier New"/>
                <w:sz w:val="14"/>
                <w:szCs w:val="14"/>
                <w:color w:val="auto"/>
              </w:rPr>
              <w:t>5th Year</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Thereafter</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668"/>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26,163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145,257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$1,295,525</w:t>
            </w:r>
          </w:p>
        </w:tc>
      </w:tr>
      <w:tr>
        <w:trPr>
          <w:trHeight w:val="167"/>
        </w:trPr>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334"/>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49,757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199,860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$2,100,526</w:t>
            </w:r>
          </w:p>
        </w:tc>
      </w:tr>
      <w:tr>
        <w:trPr>
          <w:trHeight w:val="167"/>
        </w:trPr>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668"/>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95,692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23,925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$1,501,833</w:t>
            </w:r>
          </w:p>
        </w:tc>
      </w:tr>
      <w:tr>
        <w:trPr>
          <w:trHeight w:val="167"/>
        </w:trPr>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6.37%</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334"/>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37,547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232,744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$2,256,332</w:t>
            </w:r>
          </w:p>
        </w:tc>
      </w:tr>
      <w:tr>
        <w:trPr>
          <w:trHeight w:val="167"/>
        </w:trPr>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bl>
    <w:p>
      <w:pPr>
        <w:sectPr>
          <w:pgSz w:w="11900" w:h="16838" w:orient="portrait"/>
          <w:cols w:equalWidth="0" w:num="2">
            <w:col w:w="7560" w:space="340"/>
            <w:col w:w="3040"/>
          </w:cols>
          <w:pgMar w:left="220" w:top="453" w:right="739" w:bottom="1440" w:gutter="0" w:footer="0" w:header="0"/>
        </w:sectPr>
      </w:pPr>
    </w:p>
    <w:bookmarkStart w:id="85" w:name="page86"/>
    <w:bookmarkEnd w:id="85"/>
    <w:p>
      <w:pPr>
        <w:ind w:right="3799"/>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To hedge the economic risk associated with mortgage servicing assets,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subsequent to December 31, 2000 the Company entered into a floor contract based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CMT 10-year index and a strike rate of 5.60% with a notional amount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$11,600. The fair values of the mortgage servicing assets and the floor contract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subject to variability as interest rates change. Given the current 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environment, including changes since December 31, 2000,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continues to assess the fair value of the servicing assets and related floor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w:t>
      </w:r>
    </w:p>
    <w:p>
      <w:pPr>
        <w:spacing w:after="0" w:line="17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See the "Derivative Financial Instruments" section of Note 1 and the "Interest Rate Management" section of Note 24 to the Consolidated Financial Statements (which are incorporated herein by reference).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FOREIGN CURRENCY EXCHANGE RATE RISK MANAGEMENT. The Company has entered into foreign currency derivatives to hedge its net investment in a foreign subsidiary which owns securities backed by residential loans originated in the UK ("UK residuals") and its net investment in a foreign subsidiary which owns a shopping center located in Halifax, Nova Scotia ("the Nova Scotia shopping center"). The Company's exposure to foreign currency exchange rates exists with the British Pound versus the U.S. dollar and the Canadian Dollar ("C$") versus the U.S. dollar. It is the Company's policy to periodically adjust the amount of foreign currency derivative contracts it has entered into in response to changes in its recorded investment in these foreign entities, as well as assets denominated in a foreign currency.</w:t>
      </w:r>
    </w:p>
    <w:p>
      <w:pPr>
        <w:spacing w:after="0" w:line="164" w:lineRule="exact"/>
        <w:rPr>
          <w:sz w:val="20"/>
          <w:szCs w:val="20"/>
          <w:color w:val="auto"/>
        </w:rPr>
      </w:pPr>
    </w:p>
    <w:p>
      <w:pPr>
        <w:jc w:val="both"/>
        <w:ind w:right="3459" w:firstLine="781"/>
        <w:spacing w:after="0" w:line="254" w:lineRule="auto"/>
        <w:rPr>
          <w:sz w:val="20"/>
          <w:szCs w:val="20"/>
          <w:color w:val="auto"/>
        </w:rPr>
      </w:pPr>
      <w:r>
        <w:rPr>
          <w:rFonts w:ascii="Courier New" w:cs="Courier New" w:eastAsia="Courier New" w:hAnsi="Courier New"/>
          <w:sz w:val="14"/>
          <w:szCs w:val="14"/>
          <w:color w:val="auto"/>
        </w:rPr>
        <w:t>Prior to the sale of its equity investment in Kensington, the Company had entered into a currency forward contract with a AAA-rated counterparty and bought short foreign currency futures contracts to hedge its equity investment in Kensington. These derivative instruments were closed in November 2000.</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Company's hedges, the related investments in foreign subsidiaries, the previously owned foreign currency equity investment and the net exposures as of December 31, 2000 and December 31, 1999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Investment</w:t>
            </w:r>
          </w:p>
        </w:tc>
        <w:tc>
          <w:tcPr>
            <w:tcW w:w="3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Hedge</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Net Exposure</w:t>
            </w:r>
          </w:p>
        </w:tc>
      </w:tr>
      <w:tr>
        <w:trPr>
          <w:trHeight w:val="167"/>
        </w:trPr>
        <w:tc>
          <w:tcPr>
            <w:tcW w:w="30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DECEMBER 31, 2000:</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UK residuals......................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23,239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22,236</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(1,003)</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Nova Scotia shopping center.......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21,913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22,423</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Kensington........................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36,215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38,632</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2,417</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UK residuals......................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28,098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25,689</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(2,409)</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Nova Scotia shopping center.......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14,844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16,389</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1,545</w:t>
            </w:r>
          </w:p>
        </w:tc>
      </w:tr>
    </w:tbl>
    <w:p>
      <w:pPr>
        <w:spacing w:after="0" w:line="171"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net exposures are subject to gain or loss if foreign currency exchange rates fluctuate. See the "Derivatives Financial Instruments" section of Note 1 and the "Foreign Currency Management" section of Note 24 to the Consolidated Financial Statements (which are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COMMITMENTS AND OFF-BALANCE SHEET RISKS</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The primary sources of funds for liquidity consist of deposits, FHLB advances, reverse repurchase agreements, lines of credit and maturities and payments of principal and interest on loans and securities and proceeds from sales and securitizations thereof.</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Sources of liquidity include certificates of deposit obtained primarily from wholesale sources. At December 31, 2000, the Company had $1,172,577 of certificates of deposit, net of deferred fees, including $964,443 of brokered certificates of deposit obtained through national investment banking firms, all of which are non-cancellable. At the same date, scheduled maturities of certificates of deposit during the 12 months ending December 31, 2001 and 2002, and thereafter amounted to $642,342, $327,125 and $203,110, respectively.</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Sources of borrowings include FHLB advances, which are required to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secured by single family and/or multi-family residential loans or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acceptable collateral, and reverse repurchase agreements. At December 31,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was eligible to borrow up to an aggregate of $41,275 from the FHLB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New York (subject to the availability of acceptable collateral) and had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$30,640 of residential loans and $17,702 of short duration CMOs (all of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held by the Bank) pledged as security for any such advances. At December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2000, the Company had contractual relationships with twelve brokerage firms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FHLB of New York pursuant to which it could obtain funds from reverse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agreements. At December 31, 2000, the Company had $136,526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unrestricted cash and cash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453" w:right="1440" w:bottom="1440" w:gutter="0" w:footer="0" w:header="0"/>
        </w:sectPr>
      </w:pPr>
    </w:p>
    <w:bookmarkStart w:id="86" w:name="page87"/>
    <w:bookmarkEnd w:id="86"/>
    <w:p>
      <w:pPr>
        <w:ind w:right="3799"/>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equivalents and $256,439 of short duration CMOs which could be used to secure additional borrowings. At December 31, 2000, the Company had no outstanding FHLB advances.</w:t>
      </w:r>
    </w:p>
    <w:p>
      <w:pPr>
        <w:spacing w:after="0" w:line="162" w:lineRule="exact"/>
        <w:rPr>
          <w:sz w:val="20"/>
          <w:szCs w:val="20"/>
          <w:color w:val="auto"/>
        </w:rPr>
      </w:pPr>
    </w:p>
    <w:p>
      <w:pPr>
        <w:jc w:val="both"/>
        <w:ind w:right="3379" w:firstLine="781"/>
        <w:spacing w:after="0" w:line="252" w:lineRule="auto"/>
        <w:rPr>
          <w:sz w:val="20"/>
          <w:szCs w:val="20"/>
          <w:color w:val="auto"/>
        </w:rPr>
      </w:pPr>
      <w:r>
        <w:rPr>
          <w:rFonts w:ascii="Courier New" w:cs="Courier New" w:eastAsia="Courier New" w:hAnsi="Courier New"/>
          <w:sz w:val="14"/>
          <w:szCs w:val="14"/>
          <w:color w:val="auto"/>
        </w:rPr>
        <w:t>The Company believes that its existing sources of liquidity, including internally generated funds, will be adequate to fund planned activities for the foreseeable future, although there can be no assurances in this regard.</w:t>
      </w:r>
    </w:p>
    <w:p>
      <w:pPr>
        <w:spacing w:after="0" w:line="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Moreover, the Company continues to evaluate other sources of liquidity, such as lines of credit from unaffiliated parties, which will enhance the management of its liquidity and the costs thereof. Please also see the "Short-Term Highly Liquid Investments," "Securities Sold Under Agreements to Repurchase," and "Derivative Financial Instruments" sections of Note 1 and Notes 18 and 20 to the Consolidated Financial Statements (which are incorporated herein by reference).</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Company's operating activities provided (used) $5,614, $(248,383) and $286,252 of cash flows during 2000, 1999 and 1998, respectively. During the foregoing years, cash resources were provided primarily by net income and proceeds from sales of loans available for sale, and cash resources were used primarily to purchase and originate loans available for sale.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Company's investing activities provided (used) cash flows totaling $741,762, $518,767 and $(218,245) during 2000, 1999 and 1998, respectively. During the foregoing years, cash flows from investing activities were provided primarily by principal payments on discount loans and loans held for investment, maturities of and principal payments received on securities available for sale and proceeds from sales of discount loans, securities available for sale, real estate held for sale and real estate owned. Cash flows from investing activities were primarily utilized to purchase discount loans and securities available for sale. Cash flows from investing activities for 1999 included $122,101 of proceeds from the sale of Ocwen UK. Cash flows used for investing activities in 1998 included $426,096 for the acquisitions of subsidiaries, primarily Ocwen UK. The source of funds for this purchase included a loan facility from Greenwich International, LTD, which provided $375,120.</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Company's financing activities (used) provided cash flows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$(947,859), $(335,319) and $219,466 during 2000, 1999 and 1998, respectively.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from financing activities were primarily related to changes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deposits and the issuance of obligations outstanding under lines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Cash flows from financing activities were primarily utilized to repay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reverse repurchase agreements and obligations outstanding under lines of credit,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well as the repurchase of debt and common stock.</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Bank is required under applicable federal regulations to maintain specified levels of "liquid" investments in qualifying types of U.S. government, federal agency and other investments having maturities of five years or less (currently not less than 4% of its average daily balance of net withdrawable deposit accounts and borrowings payable in one year or less.) The Bank's liquidity, as measured for regulatory purposes, averaged 7.49%, 11.73%, 8.34%, 5.6% and 8.8% during the years ended December 31, 2000, 1999, 1998, 1997 and 1996, respectively, and amounted to 8.58% at December 31, 2000.</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December 31, 2000, the Company had $11,259 of commitments related to the funding of construction loans (including loans accounted for as investments in real estate). Management believes that the Company has adequate resources to fund all such unfunded commitments to the extent required and that substantially all of such unfunded commitments will be funded during 2001. See Note 33 to the Consolidated Financial Statements (which is incorporated herein by reference).</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addition to commitments to extend credit, the Company is party to various off-balance sheet financial instruments in the normal course of the Company's business in order to manage its interest rate risk and foreign currency exchange rate risk. See Note 24 to the Consolidated Financial Statements (which is incorporated herein by reference) and "Asset and Liability Management" above.</w:t>
      </w:r>
    </w:p>
    <w:p>
      <w:pPr>
        <w:spacing w:after="0" w:line="32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conducts business with a variety of financial institutions and other companies in the normal course of business, including counterparties to its off-balance sheet financial instruments. The Company is subject to potential financial loss if the counterparty is unable to complete an agreed upon transaction. The Company seeks to limit counterparty risk through financial analysis, dollar limits and other monitoring procedures.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CAPITAL AND OTHER REQUIREMENTS</w:t>
      </w:r>
    </w:p>
    <w:p>
      <w:pPr>
        <w:spacing w:after="0" w:line="175" w:lineRule="exact"/>
        <w:rPr>
          <w:sz w:val="20"/>
          <w:szCs w:val="20"/>
          <w:color w:val="auto"/>
        </w:rPr>
      </w:pPr>
    </w:p>
    <w:p>
      <w:pPr>
        <w:ind w:right="4059" w:firstLine="781"/>
        <w:spacing w:after="0" w:line="258" w:lineRule="auto"/>
        <w:rPr>
          <w:sz w:val="20"/>
          <w:szCs w:val="20"/>
          <w:color w:val="auto"/>
        </w:rPr>
      </w:pPr>
      <w:r>
        <w:rPr>
          <w:rFonts w:ascii="Courier New" w:cs="Courier New" w:eastAsia="Courier New" w:hAnsi="Courier New"/>
          <w:sz w:val="14"/>
          <w:szCs w:val="14"/>
          <w:color w:val="auto"/>
        </w:rPr>
        <w:t>See Note 28 to the Consolidated Financial Statements (which is incorporated herein by reference).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DEVELOPMENTS</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For information relating to the effects on the Company of the adoption of recent accounting standards, see Note 1 to the Consolidated Financial Statements (which is incorporated herein by reference).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453" w:right="1440" w:bottom="1141" w:gutter="0" w:footer="0" w:header="0"/>
        </w:sectPr>
      </w:pPr>
    </w:p>
    <w:bookmarkStart w:id="87" w:name="page88"/>
    <w:bookmarkEnd w:id="87"/>
    <w:p>
      <w:pPr>
        <w:ind w:right="3799"/>
        <w:spacing w:after="0" w:line="252"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(Dollars in thousands, except share data)</w:t>
      </w:r>
    </w:p>
    <w:p>
      <w:pPr>
        <w:spacing w:after="0" w:line="1" w:lineRule="exact"/>
        <w:rPr>
          <w:sz w:val="20"/>
          <w:szCs w:val="20"/>
          <w:color w:val="auto"/>
        </w:rPr>
      </w:pPr>
    </w:p>
    <w:p>
      <w:pPr>
        <w:ind w:left="180" w:hanging="171"/>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FORWARD-LOOKING STATEMENTS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Certain statements contained herein are not, and certain statements contained in future filings by the Company with the Securities and Exchange Commission (the "Commission"), in the Company's press releases or in the Company's other public or shareholder communications may not be, based on historical facts and are "forward-looking statements" within the meaning of Section 27A of the Securities Act of 1933, as amended, and Section 21E of the Securities Exchange Act of 1934, as amended. These forward-looking statements, which are based on various assumptions (some of which are beyond the Company's control), may be identified by reference to a future period(s) or by the use of forward-looking terminology such as "anticipate," "believe," "commitment," "consider," "continue," "could," "estimate," "expect," "foresee," "intend," "in the event of," "may," "plan," "propose," "prospect," "whether," "will," "would," future or conditional verb tenses, similar terms, variations on such terms or negatives of such terms. Although the Company believes the anticipated results or other expectations reflected in such forward-looking statements are based on reasonable assumptions, it can give no assurance that those results or expectations will be attained. Actual results could differ materially from those indicated in such statements due to risks, uncertainties and changes with respect to a variety of factors, including, but not limited to, international, national, regional or local economic environments (particularly in the market areas where the Company operates), government fiscal and monetary policies (particularly in the market areas where the Company operates), prevailing interest or currency exchange rates, effectiveness of interest rate, currency and other hedging strategies, laws and regulations affecting financial institutions, investment companies and real estate (including regulatory fees, capital requirements, access for disabled persons and environmental compliance), uncertainty of foreign laws, competitive products, pricing and conditions (including from competitors that have significantly greater resources than the Company), credit, prepayment, basis, default, subordination and asset/liability risks, loan servicing effectiveness, ability to identify acquisitions and investment opportunities meeting the Company's investment strategy, the course of negotiations and the ability to reach agreement with respect to the material terms of any particular transaction, satisfactory due diligence results, satisfaction or fulfillment of agreed upon terms and conditions of closing or performance, the timing of transaction closings, software integration, development and licensing, damage to the company's computer equipment and the information stored its data centers, availability of and costs associated with obtaining adequate and timely sources of liquidity, ability to repay or refinance indebtedness (at maturity or upon acceleration), to meet collateral calls by lenders (upon re-valuation of the underlying assets or otherwise), to generate revenues sufficient to meet debt service payments and other operating expenses, availability of discount loans and servicing rights for purchase, size of, nature of and yields available with respect to the secondary market for mortgage loans, financial, securities and securitization markets in general, adequacy of allowances for loan losses, changes in real estate conditions (including liquidity, valuation, revenues, rental rates, occupancy levels and competing properties), adequacy of insurance coverage in the event of a loss, other factors generally understood to affect the real estate acquisition, mortgage, servicing and leasing markets, securities investments and the software and technology industry, and other risks detailed from time to time in the Company's reports and filings with the Commission, including its periodic reports on Forms 10-Q, 8-K and 10-K and Exhibit 99.1, titled Risk Factors, to the Company's Form 10-K for the year ended December 31, 2000. Given these uncertainties, readers are cautioned not to place undue reliance on such statements. The Company does not undertake, and specifically disclaims any obligation, to release publicly the results of any revisions that may be made to any forward-looking statements to reflect the occurrence of anticipated or unanticipated events or circumstances after the date of such statements.</w:t>
      </w:r>
    </w:p>
    <w:p>
      <w:pPr>
        <w:spacing w:after="0" w:line="35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20"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4"/>
          <w:szCs w:val="14"/>
          <w:color w:val="auto"/>
        </w:rPr>
        <w:t>REPORT OF MANAGEMENT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management of Ocwen Financial Corporation is responsible for the accompanying consolidated financial statements, which have been prepared in conformity with accounting principles generally accepted in the United States of America applied on a consistent basis. In preparing the financial statements, it is necessary for management to make informed judgments and best estimates giving due consideration to materiality. In the opinion of management, the consolidated financial statements fairly reflect the Company's financial position and results of operations. Information, both financial and non-financial, presented elsewhere in this annual report is consistent with that in the consolidated financial statements.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To ensure that the financial statements are reliable, the Company established and maintains an effective system of internal accounting controls and procedures that provide reasonable assurance that assets are safeguarded and transactions are properly recorded and executed in accordance with corporate policy and management authorization. The Company believes its accounting controls provide reasonable assurance that errors or irregularities which could be material to the financial statements are prevented or would be detected within a timely period and corrected in the normal course of business.</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PricewaterhouseCoopers LLP was engaged to perform an audit of the consolidated financial statements in accordance with auditing standards generally accepted in the United States of America. Such standards include the evaluation of the Company's accounting policies and procedures and the effectiveness of the related internal control system. In addition to the use of independent certified public accountants, the Company maintains a professional staff of internal auditors who conduct financial, procedural and special audits and makes recommendations on both administrative and accounting controls.</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Audit Committee of the Board of Directors is comprised solely of independent directors and is responsible for overseeing and monitoring the quality of the Company's accounting and auditing practices. The independent accountants and internal auditors have direct access to the Audit Committee and meet periodically with the committee to discuss the scope and results of their work, the adequacy of internal accounting controls and financial reporting matters.</w:t>
      </w:r>
    </w:p>
    <w:p>
      <w:pPr>
        <w:sectPr>
          <w:pgSz w:w="11900" w:h="16838" w:orient="portrait"/>
          <w:cols w:equalWidth="0" w:num="1">
            <w:col w:w="10239"/>
          </w:cols>
          <w:pgMar w:left="220" w:top="45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William C. Erbey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S. Zeidman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75" w:lineRule="exact"/>
        <w:rPr>
          <w:sz w:val="20"/>
          <w:szCs w:val="20"/>
          <w:color w:val="auto"/>
        </w:rPr>
      </w:pPr>
    </w:p>
    <w:p>
      <w:pPr>
        <w:sectPr>
          <w:pgSz w:w="11900" w:h="16838" w:orient="portrait"/>
          <w:cols w:equalWidth="0" w:num="2">
            <w:col w:w="3980" w:space="720"/>
            <w:col w:w="5539"/>
          </w:cols>
          <w:pgMar w:left="220" w:top="453"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3"/>
          <w:szCs w:val="13"/>
          <w:color w:val="auto"/>
        </w:rPr>
        <w:t>61</w:t>
      </w:r>
    </w:p>
    <w:p>
      <w:pPr>
        <w:sectPr>
          <w:pgSz w:w="11900" w:h="16838" w:orient="portrait"/>
          <w:cols w:equalWidth="0" w:num="1">
            <w:col w:w="10239"/>
          </w:cols>
          <w:pgMar w:left="220" w:top="453" w:right="1440" w:bottom="1440" w:gutter="0" w:footer="0" w:header="0"/>
          <w:type w:val="continuous"/>
        </w:sectPr>
      </w:pPr>
    </w:p>
    <w:bookmarkStart w:id="89" w:name="page90"/>
    <w:bookmarkEnd w:id="89"/>
    <w:p>
      <w:pPr>
        <w:ind w:left="1320"/>
        <w:spacing w:after="0"/>
        <w:rPr>
          <w:sz w:val="20"/>
          <w:szCs w:val="20"/>
          <w:color w:val="auto"/>
        </w:rPr>
      </w:pPr>
      <w:r>
        <w:rPr>
          <w:rFonts w:ascii="Courier New" w:cs="Courier New" w:eastAsia="Courier New" w:hAnsi="Courier New"/>
          <w:sz w:val="14"/>
          <w:szCs w:val="14"/>
          <w:color w:val="auto"/>
        </w:rPr>
        <w:t>REPORT OF INDEPENDENT CERTIFIED PUBLIC ACCOUNTANTS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Ocwen Financial Corporation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our opinion, the accompanying consolidated statements of financial condition and the related consolidated statements of operations, of comprehensive income, of changes in stockholders' equity and of cash flows present fairly, in all material respects, the financial position of Ocwen Financial Corporation (the "Company") and its subsidiaries at December 31, 2000 and 1999, and the results of their operations and their cash flows for each of the three years in the period ended December 31, 2000,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Fort Lauderdale, Florida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7, 2001</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453" w:right="1440" w:bottom="1440" w:gutter="0" w:footer="0" w:header="0"/>
        </w:sectPr>
      </w:pPr>
    </w:p>
    <w:bookmarkStart w:id="90" w:name="page91"/>
    <w:bookmarkEnd w:id="90"/>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STATEMENTS OF FINANCIAL CONDITION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60" w:type="dxa"/>
            <w:vAlign w:val="bottom"/>
          </w:tcPr>
          <w:p>
            <w:pPr>
              <w:jc w:val="right"/>
              <w:ind w:right="1888"/>
              <w:spacing w:after="0"/>
              <w:rPr>
                <w:sz w:val="20"/>
                <w:szCs w:val="20"/>
                <w:color w:val="auto"/>
              </w:rPr>
            </w:pPr>
            <w:r>
              <w:rPr>
                <w:rFonts w:ascii="Courier New" w:cs="Courier New" w:eastAsia="Courier New" w:hAnsi="Courier New"/>
                <w:sz w:val="14"/>
                <w:szCs w:val="14"/>
                <w:color w:val="auto"/>
              </w:rPr>
              <w:t>(DOLLARS IN THOUSANDS, EXCEPT SHARE DATA)</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7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31,</w:t>
            </w:r>
          </w:p>
        </w:tc>
        <w:tc>
          <w:tcPr>
            <w:tcW w:w="1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7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3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72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2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260" w:type="dxa"/>
            <w:vAlign w:val="bottom"/>
          </w:tcPr>
          <w:p>
            <w:pPr>
              <w:spacing w:after="0"/>
              <w:rPr>
                <w:sz w:val="20"/>
                <w:szCs w:val="20"/>
                <w:color w:val="auto"/>
              </w:rPr>
            </w:pPr>
            <w:r>
              <w:rPr>
                <w:rFonts w:ascii="Courier New" w:cs="Courier New" w:eastAsia="Courier New" w:hAnsi="Courier New"/>
                <w:sz w:val="14"/>
                <w:szCs w:val="14"/>
                <w:color w:val="auto"/>
              </w:rPr>
              <w:t>Cash and amounts due from depository institutions ...............................</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18,749</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125,799</w:t>
            </w:r>
          </w:p>
        </w:tc>
      </w:tr>
      <w:tr>
        <w:trPr>
          <w:trHeight w:val="167"/>
        </w:trPr>
        <w:tc>
          <w:tcPr>
            <w:tcW w:w="7260" w:type="dxa"/>
            <w:vAlign w:val="bottom"/>
          </w:tcPr>
          <w:p>
            <w:pPr>
              <w:spacing w:after="0"/>
              <w:rPr>
                <w:sz w:val="20"/>
                <w:szCs w:val="20"/>
                <w:color w:val="auto"/>
              </w:rPr>
            </w:pPr>
            <w:r>
              <w:rPr>
                <w:rFonts w:ascii="Courier New" w:cs="Courier New" w:eastAsia="Courier New" w:hAnsi="Courier New"/>
                <w:sz w:val="14"/>
                <w:szCs w:val="14"/>
                <w:color w:val="auto"/>
              </w:rPr>
              <w:t>Interest earning deposits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134,987</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116,420</w:t>
            </w:r>
          </w:p>
        </w:tc>
      </w:tr>
      <w:tr>
        <w:trPr>
          <w:trHeight w:val="167"/>
        </w:trPr>
        <w:tc>
          <w:tcPr>
            <w:tcW w:w="7260" w:type="dxa"/>
            <w:vAlign w:val="bottom"/>
          </w:tcPr>
          <w:p>
            <w:pPr>
              <w:spacing w:after="0"/>
              <w:rPr>
                <w:sz w:val="20"/>
                <w:szCs w:val="20"/>
                <w:color w:val="auto"/>
              </w:rPr>
            </w:pPr>
            <w:r>
              <w:rPr>
                <w:rFonts w:ascii="Courier New" w:cs="Courier New" w:eastAsia="Courier New" w:hAnsi="Courier New"/>
                <w:sz w:val="14"/>
                <w:szCs w:val="14"/>
                <w:color w:val="auto"/>
              </w:rPr>
              <w:t>Federal funds sold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112,000</w:t>
            </w:r>
          </w:p>
        </w:tc>
      </w:tr>
      <w:tr>
        <w:trPr>
          <w:trHeight w:val="167"/>
        </w:trPr>
        <w:tc>
          <w:tcPr>
            <w:tcW w:w="7260" w:type="dxa"/>
            <w:vAlign w:val="bottom"/>
          </w:tcPr>
          <w:p>
            <w:pPr>
              <w:spacing w:after="0"/>
              <w:rPr>
                <w:sz w:val="20"/>
                <w:szCs w:val="20"/>
                <w:color w:val="auto"/>
              </w:rPr>
            </w:pPr>
            <w:r>
              <w:rPr>
                <w:rFonts w:ascii="Courier New" w:cs="Courier New" w:eastAsia="Courier New" w:hAnsi="Courier New"/>
                <w:sz w:val="14"/>
                <w:szCs w:val="14"/>
                <w:color w:val="auto"/>
              </w:rPr>
              <w:t>Trading securities, at fair value:</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Collateralized mortgage obligations (AAA-rated)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277,595</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Subordinates, residuals and other securities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112,647</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6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 at fair value:</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Collateralized mortgage obligations (AAA-rated)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392,387</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Subordinates, residuals and other securities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195,131</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Loans available for sale, at lower of cost or market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10,610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45,213</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Real estate held for sale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22,670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Low-income housing tax credit interests held for sale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87,083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 securities, at cost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13,257</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10,965</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Loan portfolio, net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93,414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157,408</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Discount loan portfolio, net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536,028</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913,229</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Match funded loans and securities, net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116,987</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157,794</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Investments in low-income housing tax credit interests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55,729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150,989</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Investments in unconsolidated entities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37,118</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Real estate owned, net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146,419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167,506</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 in real estate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122,761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268,241</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Premises and equipment, net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43,152</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49,038</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receivable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30,261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Deferred tax asset, net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95,991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136,920</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Advances on loans and loans serviced for others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227,055</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162,548</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Mortgage servicing rights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51,426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11,683</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assets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52,169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71,285</w:t>
            </w:r>
          </w:p>
        </w:tc>
      </w:tr>
      <w:tr>
        <w:trPr>
          <w:trHeight w:val="167"/>
        </w:trPr>
        <w:tc>
          <w:tcPr>
            <w:tcW w:w="72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$ 2,249,420</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$ 3,281,674</w:t>
            </w:r>
          </w:p>
        </w:tc>
      </w:tr>
      <w:tr>
        <w:trPr>
          <w:trHeight w:val="167"/>
        </w:trPr>
        <w:tc>
          <w:tcPr>
            <w:tcW w:w="72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6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260" w:type="dxa"/>
            <w:vAlign w:val="bottom"/>
          </w:tcPr>
          <w:p>
            <w:pPr>
              <w:ind w:left="180"/>
              <w:spacing w:after="0"/>
              <w:rPr>
                <w:sz w:val="20"/>
                <w:szCs w:val="20"/>
                <w:color w:val="auto"/>
              </w:rPr>
            </w:pPr>
            <w:r>
              <w:rPr>
                <w:rFonts w:ascii="Courier New" w:cs="Courier New" w:eastAsia="Courier New" w:hAnsi="Courier New"/>
                <w:sz w:val="14"/>
                <w:szCs w:val="14"/>
                <w:color w:val="auto"/>
              </w:rPr>
              <w:t>LIABILITIES:</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Deposits ......................................................................</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$ 1,258,360</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$ 1,814,647</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Securities sold under agreements to repurchase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47,365</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Bonds - match funded agreements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107,050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141,515</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Obligations outstanding under lines of credit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32,933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187,866</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Notes, debentures and other interest bearing obligations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173,330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317,573</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Accrued interest payable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22,096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32,569</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Excess of net assets acquired over purchase price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36,665</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56,841</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payable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6,369</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Accrued expenses, payables and other liabilities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36,030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57,487</w:t>
            </w:r>
          </w:p>
        </w:tc>
      </w:tr>
      <w:tr>
        <w:trPr>
          <w:trHeight w:val="167"/>
        </w:trPr>
        <w:tc>
          <w:tcPr>
            <w:tcW w:w="72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liabilities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1,666,464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2,662,232</w:t>
            </w:r>
          </w:p>
        </w:tc>
      </w:tr>
      <w:tr>
        <w:trPr>
          <w:trHeight w:val="167"/>
        </w:trPr>
        <w:tc>
          <w:tcPr>
            <w:tcW w:w="72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Company obligated, mandatorily redeemable securities of subsidiary trust holding</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solely junior subordinated debentures of the Company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79,530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110,000</w:t>
            </w:r>
          </w:p>
        </w:tc>
      </w:tr>
      <w:tr>
        <w:trPr>
          <w:trHeight w:val="334"/>
        </w:trPr>
        <w:tc>
          <w:tcPr>
            <w:tcW w:w="7260" w:type="dxa"/>
            <w:vAlign w:val="bottom"/>
          </w:tcPr>
          <w:p>
            <w:pPr>
              <w:ind w:left="180"/>
              <w:spacing w:after="0"/>
              <w:rPr>
                <w:sz w:val="20"/>
                <w:szCs w:val="20"/>
                <w:color w:val="auto"/>
              </w:rPr>
            </w:pPr>
            <w:r>
              <w:rPr>
                <w:rFonts w:ascii="Courier New" w:cs="Courier New" w:eastAsia="Courier New" w:hAnsi="Courier New"/>
                <w:sz w:val="14"/>
                <w:szCs w:val="14"/>
                <w:color w:val="auto"/>
              </w:rPr>
              <w:t>COMMITMENTS AND CONTINGENCIES (NOTE 33)</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4"/>
        </w:trPr>
        <w:tc>
          <w:tcPr>
            <w:tcW w:w="726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Preferred stock, $.01 par value; 20,000,000 shares authorized; 0 shares issued</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and outstanding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60" w:type="dxa"/>
            <w:vAlign w:val="bottom"/>
          </w:tcPr>
          <w:p>
            <w:pPr>
              <w:ind w:left="260"/>
              <w:spacing w:after="0"/>
              <w:rPr>
                <w:sz w:val="20"/>
                <w:szCs w:val="20"/>
                <w:color w:val="auto"/>
              </w:rPr>
            </w:pPr>
            <w:r>
              <w:rPr>
                <w:rFonts w:ascii="Courier New" w:cs="Courier New" w:eastAsia="Courier New" w:hAnsi="Courier New"/>
                <w:sz w:val="14"/>
                <w:szCs w:val="14"/>
                <w:color w:val="auto"/>
              </w:rPr>
              <w:t>Common stock, $.01 par value; 200,000,000 shares authorized; 67,152,363 and</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2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68,571,575 shares issued and outstanding at December 31, 2000 and</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December 31, 1999, respectively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672</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686</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Additional paid-in capital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223,163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232,340</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Retained earnings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279,194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277,002</w:t>
            </w:r>
          </w:p>
        </w:tc>
      </w:tr>
      <w:tr>
        <w:trPr>
          <w:trHeight w:val="167"/>
        </w:trPr>
        <w:tc>
          <w:tcPr>
            <w:tcW w:w="726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income, net of taxes:</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unrealized gain on securities available for sale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unrealized foreign currency translation gain (loss)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(749)</w:t>
            </w:r>
          </w:p>
        </w:tc>
      </w:tr>
      <w:tr>
        <w:trPr>
          <w:trHeight w:val="167"/>
        </w:trPr>
        <w:tc>
          <w:tcPr>
            <w:tcW w:w="72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stockholders' equity ...................................................</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503,426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509,442</w:t>
            </w:r>
          </w:p>
        </w:tc>
      </w:tr>
      <w:tr>
        <w:trPr>
          <w:trHeight w:val="167"/>
        </w:trPr>
        <w:tc>
          <w:tcPr>
            <w:tcW w:w="72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$ 2,249,420</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$ 3,281,674</w:t>
            </w:r>
          </w:p>
        </w:tc>
      </w:tr>
      <w:tr>
        <w:trPr>
          <w:trHeight w:val="167"/>
        </w:trPr>
        <w:tc>
          <w:tcPr>
            <w:tcW w:w="72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453" w:right="1440" w:bottom="1440" w:gutter="0" w:footer="0" w:header="0"/>
        </w:sectPr>
      </w:pPr>
    </w:p>
    <w:bookmarkStart w:id="91" w:name="page92"/>
    <w:bookmarkEnd w:id="91"/>
    <w:p>
      <w:pPr>
        <w:jc w:val="center"/>
        <w:ind w:right="356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8"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0" w:type="dxa"/>
            <w:vAlign w:val="bottom"/>
            <w:gridSpan w:val="5"/>
          </w:tcPr>
          <w:p>
            <w:pPr>
              <w:jc w:val="right"/>
              <w:ind w:right="80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7"/>
        </w:trPr>
        <w:tc>
          <w:tcPr>
            <w:tcW w:w="6000" w:type="dxa"/>
            <w:vAlign w:val="bottom"/>
          </w:tcPr>
          <w:p>
            <w:pPr>
              <w:spacing w:after="0"/>
              <w:rPr>
                <w:sz w:val="14"/>
                <w:szCs w:val="14"/>
                <w:color w:val="auto"/>
              </w:rPr>
            </w:pPr>
          </w:p>
        </w:tc>
        <w:tc>
          <w:tcPr>
            <w:tcW w:w="45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32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36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00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Income ........................................................</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184,816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253,224</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307,694</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Expense........................................................</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169,090</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155,542</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184,893</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Net interest income before provision for loan losses...........</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15,726</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97,682</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122,801</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Provision for loan losses......................................</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15,177</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6,710</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18,509</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549</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90,972</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104,292</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00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Servicing and other fees.......................................</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97,080</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76,018</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59,180</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Gain on interest earning assets, net...........................</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18,580</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44,298</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129,988</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trading and match funded securities, net....</w:t>
            </w:r>
          </w:p>
        </w:tc>
        <w:tc>
          <w:tcPr>
            <w:tcW w:w="5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(4,926)</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Impairment charges on securities available for sale............</w:t>
            </w:r>
          </w:p>
        </w:tc>
        <w:tc>
          <w:tcPr>
            <w:tcW w:w="5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(11,597)</w:t>
            </w:r>
          </w:p>
        </w:tc>
        <w:tc>
          <w:tcPr>
            <w:tcW w:w="32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(58,777)</w:t>
            </w: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(129,714)</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(Loss) gain on real estate owned, net..........................</w:t>
            </w:r>
          </w:p>
        </w:tc>
        <w:tc>
          <w:tcPr>
            <w:tcW w:w="5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(13,464)</w:t>
            </w:r>
          </w:p>
        </w:tc>
        <w:tc>
          <w:tcPr>
            <w:tcW w:w="32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(2,060)</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14,033</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Gain on other non-interest earning assets, net.................</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45,517</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58,693</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17,702</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Net operating gains (losses) on investments in real estate.....</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26,140</w:t>
            </w:r>
          </w:p>
        </w:tc>
        <w:tc>
          <w:tcPr>
            <w:tcW w:w="32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(1,077)</w:t>
            </w: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(1,715)</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excess of net assets acquired over purchase</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price........................................................</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14,112</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3,201</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Other income...................................................</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6,083</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24,346</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21,993</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177,525</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144,642</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111,467</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Compensation and employee benefits.............................</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83,086</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102,173</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115,556</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 and equipment........................................</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12,005</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18,501</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17,652</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Technology and communication costs.............................</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22,515</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19,647</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17,560</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Loan expenses..................................................</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13,051</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12,618</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25,373</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Net operating losses on investments in certain low-income</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housing tax credit interests.................................</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9,931</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6,291</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6,905</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Amortization and write-off of excess of purchase price over net</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assets acquired..............................................</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3,124</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4,448</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11,614</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Professional services and regulatory fees......................</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13,275</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14,205</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18,082</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Other operating expenses.......................................</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13,022</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17,185</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13,804</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170,009</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195,068</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226,546</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spacing w:after="0"/>
              <w:rPr>
                <w:sz w:val="20"/>
                <w:szCs w:val="20"/>
                <w:color w:val="auto"/>
              </w:rPr>
            </w:pPr>
            <w:r>
              <w:rPr>
                <w:rFonts w:ascii="Courier New" w:cs="Courier New" w:eastAsia="Courier New" w:hAnsi="Courier New"/>
                <w:sz w:val="14"/>
                <w:szCs w:val="14"/>
                <w:color w:val="auto"/>
              </w:rPr>
              <w:t>Distributions on Company-obligated, mandatory redeemable</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00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securities of subsidiary trust holding solely junior</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subordinated debentures of the Company.......................</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11,380</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13,111</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13,594</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Equity in losses of investments in unconsolidated entities.......</w:t>
            </w:r>
          </w:p>
        </w:tc>
        <w:tc>
          <w:tcPr>
            <w:tcW w:w="5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(5,249)</w:t>
            </w:r>
          </w:p>
        </w:tc>
        <w:tc>
          <w:tcPr>
            <w:tcW w:w="32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(12,616)</w:t>
            </w: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(7,985)</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(Loss) income  before income taxes and extraordinary gain........</w:t>
            </w:r>
          </w:p>
        </w:tc>
        <w:tc>
          <w:tcPr>
            <w:tcW w:w="5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(8,564)</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14,819</w:t>
            </w: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(32,366)</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Income tax (expense) benefit.....................................</w:t>
            </w:r>
          </w:p>
        </w:tc>
        <w:tc>
          <w:tcPr>
            <w:tcW w:w="5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(7,957)</w:t>
            </w:r>
          </w:p>
        </w:tc>
        <w:tc>
          <w:tcPr>
            <w:tcW w:w="32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(2,608)</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30,699</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Minority interest in net loss of consolidated subsidiary.........</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638</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467</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(Loss) income before extraordinary gain..........................</w:t>
            </w:r>
          </w:p>
        </w:tc>
        <w:tc>
          <w:tcPr>
            <w:tcW w:w="52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(16,521)</w:t>
            </w:r>
          </w:p>
        </w:tc>
        <w:tc>
          <w:tcPr>
            <w:tcW w:w="320" w:type="dxa"/>
            <w:vAlign w:val="bottom"/>
          </w:tcPr>
          <w:p>
            <w:pPr>
              <w:spacing w:after="0"/>
              <w:rPr>
                <w:sz w:val="24"/>
                <w:szCs w:val="2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12,849</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Extraordinary gain on repurchase of debt, net of taxes...........</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18,713</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6,983</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 income (loss)................................................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2,192</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19,832</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600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 (loss) income before extraordinary gain..................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0.20</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Extraordinary gain...........................................</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0.28</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0.11</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 income (loss)............................................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0.31</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 (loss) income before extraordinary gain..................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0.20</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Extraordinary gain...........................................</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0.28</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0.11</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 income (loss)............................................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0.31</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r>
        <w:trPr>
          <w:trHeight w:val="167"/>
        </w:trPr>
        <w:tc>
          <w:tcPr>
            <w:tcW w:w="6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00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Basic..........................................................</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67,427,662</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63,051,015</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60,736,950</w:t>
            </w:r>
          </w:p>
        </w:tc>
      </w:tr>
      <w:tr>
        <w:trPr>
          <w:trHeight w:val="167"/>
        </w:trPr>
        <w:tc>
          <w:tcPr>
            <w:tcW w:w="6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Diluted........................................................</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67,464,043</w:t>
            </w:r>
          </w:p>
        </w:tc>
        <w:tc>
          <w:tcPr>
            <w:tcW w:w="32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63,090,282</w:t>
            </w: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60,736,950</w:t>
            </w:r>
          </w:p>
        </w:tc>
      </w:tr>
    </w:tbl>
    <w:p>
      <w:pPr>
        <w:spacing w:after="0" w:line="338"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520"/>
          </w:cols>
          <w:pgMar w:left="220" w:top="453" w:right="1159" w:bottom="974" w:gutter="0" w:footer="0" w:header="0"/>
        </w:sectPr>
      </w:pPr>
    </w:p>
    <w:bookmarkStart w:id="92" w:name="page93"/>
    <w:bookmarkEnd w:id="92"/>
    <w:p>
      <w:pPr>
        <w:ind w:left="158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STATEMENTS OF COMPREHENSIVE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ind w:left="2520"/>
              <w:spacing w:after="0"/>
              <w:rPr>
                <w:sz w:val="20"/>
                <w:szCs w:val="20"/>
                <w:color w:val="auto"/>
              </w:rPr>
            </w:pPr>
            <w:r>
              <w:rPr>
                <w:rFonts w:ascii="Courier New" w:cs="Courier New" w:eastAsia="Courier New" w:hAnsi="Courier New"/>
                <w:sz w:val="14"/>
                <w:szCs w:val="14"/>
                <w:color w:val="auto"/>
              </w:rPr>
              <w:t>(DOLLARS IN THOUSANDS)</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8"/>
        </w:trPr>
        <w:tc>
          <w:tcPr>
            <w:tcW w:w="6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 the Years Ended December</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740" w:type="dxa"/>
            <w:vAlign w:val="bottom"/>
          </w:tcPr>
          <w:p>
            <w:pPr>
              <w:spacing w:after="0"/>
              <w:rPr>
                <w:sz w:val="24"/>
                <w:szCs w:val="24"/>
                <w:color w:val="auto"/>
              </w:rPr>
            </w:pPr>
          </w:p>
        </w:tc>
      </w:tr>
      <w:tr>
        <w:trPr>
          <w:trHeight w:val="167"/>
        </w:trPr>
        <w:tc>
          <w:tcPr>
            <w:tcW w:w="6340" w:type="dxa"/>
            <w:vAlign w:val="bottom"/>
          </w:tcPr>
          <w:p>
            <w:pPr>
              <w:spacing w:after="0"/>
              <w:rPr>
                <w:sz w:val="14"/>
                <w:szCs w:val="14"/>
                <w:color w:val="auto"/>
              </w:rPr>
            </w:pPr>
          </w:p>
        </w:tc>
        <w:tc>
          <w:tcPr>
            <w:tcW w:w="44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2000</w:t>
            </w:r>
          </w:p>
        </w:tc>
        <w:tc>
          <w:tcPr>
            <w:tcW w:w="480" w:type="dxa"/>
            <w:vAlign w:val="bottom"/>
          </w:tcPr>
          <w:p>
            <w:pPr>
              <w:spacing w:after="0"/>
              <w:rPr>
                <w:sz w:val="14"/>
                <w:szCs w:val="14"/>
                <w:color w:val="auto"/>
              </w:rPr>
            </w:pPr>
          </w:p>
        </w:tc>
        <w:tc>
          <w:tcPr>
            <w:tcW w:w="13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1999</w:t>
            </w:r>
          </w:p>
        </w:tc>
        <w:tc>
          <w:tcPr>
            <w:tcW w:w="36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income (loss).....................................................</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2,192</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19,832</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 net of taxes:</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Change in unrealized loss (gain) on securities available for sale</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arising during the year...........................................</w:t>
            </w:r>
          </w:p>
        </w:tc>
        <w:tc>
          <w:tcPr>
            <w:tcW w:w="6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(9,338)</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1,493</w:t>
            </w: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Less: Reclassification adjustment...................................</w:t>
            </w:r>
          </w:p>
        </w:tc>
        <w:tc>
          <w:tcPr>
            <w:tcW w:w="62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w:t>
            </w:r>
          </w:p>
        </w:tc>
        <w:tc>
          <w:tcPr>
            <w:tcW w:w="4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(4,556)</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17,578</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Net change in unrealized (gain) loss on securities available for</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ind w:left="620"/>
              <w:spacing w:after="0"/>
              <w:rPr>
                <w:sz w:val="20"/>
                <w:szCs w:val="20"/>
                <w:color w:val="auto"/>
              </w:rPr>
            </w:pPr>
            <w:r>
              <w:rPr>
                <w:rFonts w:ascii="Courier New" w:cs="Courier New" w:eastAsia="Courier New" w:hAnsi="Courier New"/>
                <w:sz w:val="14"/>
                <w:szCs w:val="14"/>
                <w:color w:val="auto"/>
              </w:rPr>
              <w:t>sale (net of a tax benefit of $122 and $7,771 for 2000 and</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 respectively)............................................</w:t>
            </w:r>
          </w:p>
        </w:tc>
        <w:tc>
          <w:tcPr>
            <w:tcW w:w="62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w:t>
            </w:r>
          </w:p>
        </w:tc>
        <w:tc>
          <w:tcPr>
            <w:tcW w:w="4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(13,894)</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19,071</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Change in unrealized foreign currency translation adjustment arising</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during the year...................................................</w:t>
            </w:r>
          </w:p>
        </w:tc>
        <w:tc>
          <w:tcPr>
            <w:tcW w:w="6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389</w:t>
            </w:r>
          </w:p>
        </w:tc>
        <w:tc>
          <w:tcPr>
            <w:tcW w:w="48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463</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(1,693)</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Less: Reclassification adjustment for losses on foreign currency</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translation adjustment included in net income.....................</w:t>
            </w:r>
          </w:p>
        </w:tc>
        <w:tc>
          <w:tcPr>
            <w:tcW w:w="6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757</w:t>
            </w:r>
          </w:p>
        </w:tc>
        <w:tc>
          <w:tcPr>
            <w:tcW w:w="48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481</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Net change in unrealized foreign currency translation loss (net of</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tax expense of $627 and $514 for 2000 and 1999, respectively).....</w:t>
            </w:r>
          </w:p>
        </w:tc>
        <w:tc>
          <w:tcPr>
            <w:tcW w:w="6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1,146</w:t>
            </w:r>
          </w:p>
        </w:tc>
        <w:tc>
          <w:tcPr>
            <w:tcW w:w="48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944</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(1,693)</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comprehensive income (loss)...................................</w:t>
            </w:r>
          </w:p>
        </w:tc>
        <w:tc>
          <w:tcPr>
            <w:tcW w:w="62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983</w:t>
            </w:r>
          </w:p>
        </w:tc>
        <w:tc>
          <w:tcPr>
            <w:tcW w:w="480" w:type="dxa"/>
            <w:vAlign w:val="bottom"/>
          </w:tcPr>
          <w:p>
            <w:pPr>
              <w:spacing w:after="0"/>
              <w:rPr>
                <w:sz w:val="24"/>
                <w:szCs w:val="2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(12,950)</w:t>
            </w:r>
          </w:p>
        </w:tc>
        <w:tc>
          <w:tcPr>
            <w:tcW w:w="3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17,378</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Comprehensive income..................................................</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3,175</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6,882</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16,178</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Disclosure of reclassification adjustment:</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Unrealized holding losses (gains) arising during the year on</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securities sold or impaired.......................................</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(7,068)</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(36,671)</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(37,390)</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Add: Adjustment for realized losses and impairment charges on</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securities available for sale included in net income (loss).......</w:t>
            </w:r>
          </w:p>
        </w:tc>
        <w:tc>
          <w:tcPr>
            <w:tcW w:w="6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7,231</w:t>
            </w:r>
          </w:p>
        </w:tc>
        <w:tc>
          <w:tcPr>
            <w:tcW w:w="48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32,115</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54,968</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Net reclassification adjustment for (gains) losses recognized in</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 (loss) in prior years (net of tax</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benefit of $122 and $2,558 for 2000 and 1999, respectively) (1)...</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(4,556)</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17,578</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Unrealized foreign currency translation adjustment arising during</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the year..........................................................</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(703)</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Add: Adjustment for realized foreign currency losses on the sale of</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the equity investment in a foreign entity and foreign subsidiary</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2000 and 1999, respectively....................................</w:t>
            </w:r>
          </w:p>
        </w:tc>
        <w:tc>
          <w:tcPr>
            <w:tcW w:w="6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888</w:t>
            </w:r>
          </w:p>
        </w:tc>
        <w:tc>
          <w:tcPr>
            <w:tcW w:w="48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1,184</w:t>
            </w:r>
          </w:p>
        </w:tc>
        <w:tc>
          <w:tcPr>
            <w:tcW w:w="3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Net reclassification adjustment for foreign currency losses</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recognized in other comprehensive income (loss) in prior years</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(net of tax benefit of $408 and $259 for 2000 and 1999,</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respectively).....................................................</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757</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481</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right="4180" w:hanging="791"/>
        <w:spacing w:after="0" w:line="258" w:lineRule="auto"/>
        <w:tabs>
          <w:tab w:leader="none" w:pos="8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2000, includes the adjustment related to the reclassification of securities available for sale to trading securities.</w:t>
      </w:r>
    </w:p>
    <w:p>
      <w:pPr>
        <w:spacing w:after="0" w:line="200" w:lineRule="exact"/>
        <w:rPr>
          <w:sz w:val="20"/>
          <w:szCs w:val="20"/>
          <w:color w:val="auto"/>
        </w:rPr>
      </w:pPr>
    </w:p>
    <w:p>
      <w:pPr>
        <w:spacing w:after="0" w:line="294"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780"/>
          </w:cols>
          <w:pgMar w:left="220" w:top="453" w:right="899" w:bottom="1440" w:gutter="0" w:footer="0" w:header="0"/>
        </w:sectPr>
      </w:pPr>
    </w:p>
    <w:bookmarkStart w:id="93" w:name="page94"/>
    <w:bookmarkEnd w:id="93"/>
    <w:p>
      <w:pPr>
        <w:jc w:val="center"/>
        <w:ind w:right="416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FOR THE YEARS ENDED DECEMBER 31, 2000, 1999 AND 1998</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2"/>
          </w:tcPr>
          <w:p>
            <w:pPr>
              <w:ind w:left="1740"/>
              <w:spacing w:after="0"/>
              <w:rPr>
                <w:sz w:val="20"/>
                <w:szCs w:val="20"/>
                <w:color w:val="auto"/>
              </w:rPr>
            </w:pPr>
            <w:r>
              <w:rPr>
                <w:rFonts w:ascii="Courier New" w:cs="Courier New" w:eastAsia="Courier New" w:hAnsi="Courier New"/>
                <w:sz w:val="14"/>
                <w:szCs w:val="14"/>
                <w:color w:val="auto"/>
              </w:rPr>
              <w:t>(DOLLARS IN THOUSANDS, EXCEPT SHARE DATA)</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4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Accumulated</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9"/>
              </w:rPr>
              <w:t>Other</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218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Additional</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Comprehensive</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Paid-in</w:t>
            </w:r>
          </w:p>
        </w:tc>
        <w:tc>
          <w:tcPr>
            <w:tcW w:w="2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Retained</w:t>
            </w:r>
          </w:p>
        </w:tc>
        <w:tc>
          <w:tcPr>
            <w:tcW w:w="30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Income,</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Shares</w:t>
            </w:r>
          </w:p>
        </w:tc>
        <w:tc>
          <w:tcPr>
            <w:tcW w:w="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Amount</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Capital</w:t>
            </w:r>
          </w:p>
        </w:tc>
        <w:tc>
          <w:tcPr>
            <w:tcW w:w="2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Earnings</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Net of Taxes</w:t>
            </w:r>
          </w:p>
        </w:tc>
        <w:tc>
          <w:tcPr>
            <w:tcW w:w="3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08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Balances at December 31, 1997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60,565,835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606</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164,751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259,349</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(5,014)</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419,692</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loss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(1,200)</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Conversion of investment in an unconsolidated</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entity to the equity method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(979)</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(979)</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Repurchase and retirement of common stock ...</w:t>
            </w:r>
          </w:p>
        </w:tc>
        <w:tc>
          <w:tcPr>
            <w:tcW w:w="1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(318,311)</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(7,769)</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(7,772)</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Issuance of common stock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320,550</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7,825</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7,828</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Repurchase of common stock options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(6,502)</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(6,502)</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Exercise of common stock options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232,283</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7,929</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7,931</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Other comprehensive income, net of taxes:</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Change in unrealized gain (loss) on</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securities available for sale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19,071</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19,071</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Change in unrealized foreign currency</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translation loss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(1,693)</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(1,693)</w:t>
            </w:r>
          </w:p>
        </w:tc>
      </w:tr>
      <w:tr>
        <w:trPr>
          <w:trHeight w:val="167"/>
        </w:trPr>
        <w:tc>
          <w:tcPr>
            <w:tcW w:w="408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Balances at December 31, 1998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60,800,357</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608</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166,234</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257,170</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12,364</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436,376</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19,832</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19,832</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Repurchase and retirement of common stock ...</w:t>
            </w:r>
          </w:p>
        </w:tc>
        <w:tc>
          <w:tcPr>
            <w:tcW w:w="1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(4,611,700)</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(30,645)</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(30,691)</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Exercise of common stock options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5,069</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Directors' compensation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6,099</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Issuance of common stock for acquisition of</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Ocwen Asset Investment Corp.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12,371,750</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96,685</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96,809</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Other comprehensive income, net of taxes:</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Change in unrealized gain (loss) on</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securities available for sale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(13,894)</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(13,894)</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Change in unrealized foreign currency</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translation loss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944</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944</w:t>
            </w:r>
          </w:p>
        </w:tc>
      </w:tr>
      <w:tr>
        <w:trPr>
          <w:trHeight w:val="167"/>
        </w:trPr>
        <w:tc>
          <w:tcPr>
            <w:tcW w:w="408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Balances at December 31, 1999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68,571,575</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686</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232,340</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277,002</w:t>
            </w:r>
          </w:p>
        </w:tc>
        <w:tc>
          <w:tcPr>
            <w:tcW w:w="3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(586)</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509,442</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2,192</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2,192</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Repurchase and retirement of common stock ...</w:t>
            </w:r>
          </w:p>
        </w:tc>
        <w:tc>
          <w:tcPr>
            <w:tcW w:w="1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(1,427,747)</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(9,233)</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(9,247)</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Directors' compensation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8,535</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Other comprehensive income, net of taxes:</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Change in unrealized gain on securities</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available for sale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Change in unrealized foreign currency</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translation loss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1,146</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1,146</w:t>
            </w:r>
          </w:p>
        </w:tc>
      </w:tr>
      <w:tr>
        <w:trPr>
          <w:trHeight w:val="167"/>
        </w:trPr>
        <w:tc>
          <w:tcPr>
            <w:tcW w:w="408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Balances at December 31, 2000 ...............</w:t>
            </w: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67,152,363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672</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223,163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279,194</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503,426</w:t>
            </w:r>
          </w:p>
        </w:tc>
      </w:tr>
      <w:tr>
        <w:trPr>
          <w:trHeight w:val="167"/>
        </w:trPr>
        <w:tc>
          <w:tcPr>
            <w:tcW w:w="408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1120"/>
          </w:cols>
          <w:pgMar w:left="220" w:top="453" w:right="559" w:bottom="1440" w:gutter="0" w:footer="0" w:header="0"/>
        </w:sectPr>
      </w:pPr>
    </w:p>
    <w:bookmarkStart w:id="94" w:name="page95"/>
    <w:bookmarkEnd w:id="94"/>
    <w:p>
      <w:pPr>
        <w:jc w:val="center"/>
        <w:ind w:right="3740"/>
        <w:spacing w:after="0"/>
        <w:rPr>
          <w:sz w:val="20"/>
          <w:szCs w:val="20"/>
          <w:color w:val="auto"/>
        </w:rPr>
      </w:pPr>
      <w:r>
        <w:rPr>
          <w:rFonts w:ascii="Courier New" w:cs="Courier New" w:eastAsia="Courier New" w:hAnsi="Courier New"/>
          <w:sz w:val="14"/>
          <w:szCs w:val="14"/>
          <w:color w:val="auto"/>
        </w:rPr>
        <w:t>OCWEN FINANCIAL COPORATION AND SUBSIDIARIES</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jc w:val="right"/>
              <w:ind w:right="2448"/>
              <w:spacing w:after="0"/>
              <w:rPr>
                <w:sz w:val="20"/>
                <w:szCs w:val="20"/>
                <w:color w:val="auto"/>
              </w:rPr>
            </w:pPr>
            <w:r>
              <w:rPr>
                <w:rFonts w:ascii="Courier New" w:cs="Courier New" w:eastAsia="Courier New" w:hAnsi="Courier New"/>
                <w:sz w:val="14"/>
                <w:szCs w:val="14"/>
                <w:color w:val="auto"/>
              </w:rPr>
              <w:t>(DOLLARS IN THOUSANDS)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68"/>
        </w:trPr>
        <w:tc>
          <w:tcPr>
            <w:tcW w:w="6960" w:type="dxa"/>
            <w:vAlign w:val="bottom"/>
          </w:tcPr>
          <w:p>
            <w:pPr>
              <w:spacing w:after="0"/>
              <w:rPr>
                <w:sz w:val="24"/>
                <w:szCs w:val="24"/>
                <w:color w:val="auto"/>
              </w:rPr>
            </w:pPr>
          </w:p>
        </w:tc>
        <w:tc>
          <w:tcPr>
            <w:tcW w:w="38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7"/>
        </w:trPr>
        <w:tc>
          <w:tcPr>
            <w:tcW w:w="6960" w:type="dxa"/>
            <w:vAlign w:val="bottom"/>
          </w:tcPr>
          <w:p>
            <w:pPr>
              <w:spacing w:after="0"/>
              <w:rPr>
                <w:sz w:val="14"/>
                <w:szCs w:val="14"/>
                <w:color w:val="auto"/>
              </w:rPr>
            </w:pPr>
          </w:p>
        </w:tc>
        <w:tc>
          <w:tcPr>
            <w:tcW w:w="38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69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9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Net income (loss)...........................................................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2,192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19,832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(1,200)</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(loss) to net cash provided (used) by</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6960" w:type="dxa"/>
            <w:vAlign w:val="bottom"/>
          </w:tcPr>
          <w:p>
            <w:pPr>
              <w:jc w:val="right"/>
              <w:ind w:right="4708"/>
              <w:spacing w:after="0"/>
              <w:rPr>
                <w:sz w:val="20"/>
                <w:szCs w:val="20"/>
                <w:color w:val="auto"/>
              </w:rPr>
            </w:pPr>
            <w:r>
              <w:rPr>
                <w:rFonts w:ascii="Courier New" w:cs="Courier New" w:eastAsia="Courier New" w:hAnsi="Courier New"/>
                <w:sz w:val="14"/>
                <w:szCs w:val="14"/>
                <w:color w:val="auto"/>
              </w:rPr>
              <w:t>operating activities: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Net cash provided by trading activities...................................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102,091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18,723</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15,824</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Proceeds from sales of loans available for sale...........................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22,598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568,490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1,659,368</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Purchases of loans available for sale.....................................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(47,129)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(370,865)</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Origination of loans available for sale...................................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(728,509)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(959,105)</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Principal payments received on loans available for sale...................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6,827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25,949</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82,728</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Premium amortization on securities, net...................................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8,493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11,074</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56,487</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Depreciation and amortization.............................................</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20,360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13,339</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47,437</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Provision for loan losses.................................................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15,177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6,710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18,509</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Provision for real estate owned...........................................</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26,674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28,008</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18,626</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Gain on sale of Ocwen UK..................................................</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(50,371)</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Gain on sale of investment in Kensington Group plc........................</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Gain on interest-earning assets, net......................................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(18,580)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(44,298)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(129,988)</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Unrealized loss on trading securities.....................................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4,926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Impairment charges on securities available for sale.......................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11,597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58,777</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129,714</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Extraordinary gain on repurchase of debt..................................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(29,704)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(8,475)</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Gain on sale of low-income housing tax credit interests...................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(6,591)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(7,366)</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Provision for loss on low-income housing tax credits held for sale........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Gain on real estate owned, net............................................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(22,515)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(36,265)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(43,839)</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Gain on sale of investment in real estate.................................</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(10,383)</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Gain on sale of real estate held for sale.................................</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(21,794)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Impairment loss on investment in real estate..............................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2,817</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1,867</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Equity in losses of unconsolidated entities...............................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5,249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12,616</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7,985</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Decrease (increase) in principal, interest and dividends receivable.......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3,127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7,762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(1,713)</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(Increase) decrease in income taxes receivable............................</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(30,261)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34,333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(34,333)</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(Decrease) increase in income taxes payable...............................</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(6,369)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6,369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(3,132)</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Decrease (increase) in deferred tax asset.................................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40,929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(53,273)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(21,827)</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Increase in advances on loans and loans serviced for others...............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(64,507)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(54,313)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(57,016)</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Increase in other assets, net.............................................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(17,359)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(19,565)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(95,493)</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Decrease in accrued expenses, interest payable and other liabilities......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(39,012)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(13,340)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(16,033)</w:t>
            </w:r>
          </w:p>
        </w:tc>
      </w:tr>
      <w:tr>
        <w:trPr>
          <w:trHeight w:val="167"/>
        </w:trPr>
        <w:tc>
          <w:tcPr>
            <w:tcW w:w="69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Net cash provided (used) by operating activities............................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5,614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(248,383)</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286,252</w:t>
            </w:r>
          </w:p>
        </w:tc>
      </w:tr>
      <w:tr>
        <w:trPr>
          <w:trHeight w:val="167"/>
        </w:trPr>
        <w:tc>
          <w:tcPr>
            <w:tcW w:w="69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(Continued on next page)</w:t>
      </w:r>
    </w:p>
    <w:p>
      <w:pPr>
        <w:spacing w:after="0" w:line="175"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780"/>
          </w:cols>
          <w:pgMar w:left="220" w:top="453" w:right="899" w:bottom="1440" w:gutter="0" w:footer="0" w:header="0"/>
        </w:sectPr>
      </w:pPr>
    </w:p>
    <w:bookmarkStart w:id="95" w:name="page96"/>
    <w:bookmarkEnd w:id="95"/>
    <w:p>
      <w:pPr>
        <w:jc w:val="center"/>
        <w:ind w:right="3740"/>
        <w:spacing w:after="0"/>
        <w:rPr>
          <w:sz w:val="20"/>
          <w:szCs w:val="20"/>
          <w:color w:val="auto"/>
        </w:rPr>
      </w:pPr>
      <w:r>
        <w:rPr>
          <w:rFonts w:ascii="Courier New" w:cs="Courier New" w:eastAsia="Courier New" w:hAnsi="Courier New"/>
          <w:sz w:val="14"/>
          <w:szCs w:val="14"/>
          <w:color w:val="auto"/>
        </w:rPr>
        <w:t>OCWEN FINANCIAL COPORATION AND SUBSIDIARIES</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CONSOLIDATED STATEMENTS OF CASH FLOWS - (CONTINUED)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6080" w:type="dxa"/>
            <w:vAlign w:val="bottom"/>
          </w:tcPr>
          <w:p>
            <w:pPr>
              <w:jc w:val="right"/>
              <w:ind w:right="2528"/>
              <w:spacing w:after="0"/>
              <w:rPr>
                <w:sz w:val="20"/>
                <w:szCs w:val="20"/>
                <w:color w:val="auto"/>
              </w:rPr>
            </w:pPr>
            <w:r>
              <w:rPr>
                <w:rFonts w:ascii="Courier New" w:cs="Courier New" w:eastAsia="Courier New" w:hAnsi="Courier New"/>
                <w:sz w:val="14"/>
                <w:szCs w:val="14"/>
                <w:color w:val="auto"/>
              </w:rPr>
              <w:t>(DOLLARS IN THOUSANDS)</w:t>
            </w: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68"/>
        </w:trPr>
        <w:tc>
          <w:tcPr>
            <w:tcW w:w="9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7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7"/>
        </w:trPr>
        <w:tc>
          <w:tcPr>
            <w:tcW w:w="9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7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9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6080" w:type="dxa"/>
            <w:vAlign w:val="bottom"/>
          </w:tcPr>
          <w:p>
            <w:pPr>
              <w:jc w:val="right"/>
              <w:ind w:right="3748"/>
              <w:spacing w:after="0"/>
              <w:rPr>
                <w:sz w:val="20"/>
                <w:szCs w:val="20"/>
                <w:color w:val="auto"/>
              </w:rPr>
            </w:pPr>
            <w:r>
              <w:rPr>
                <w:rFonts w:ascii="Courier New" w:cs="Courier New" w:eastAsia="Courier New" w:hAnsi="Courier New"/>
                <w:sz w:val="14"/>
                <w:szCs w:val="14"/>
                <w:color w:val="auto"/>
              </w:rPr>
              <w:t>FROM INVESTING ACTIVITIES:</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from sales of securities available for sale......................</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553,589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43,923</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269,828</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securities available for sale.................................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(894,038)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(589,845)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(820,455)</w:t>
            </w:r>
          </w:p>
        </w:tc>
      </w:tr>
      <w:tr>
        <w:trPr>
          <w:trHeight w:val="167"/>
        </w:trPr>
        <w:tc>
          <w:tcPr>
            <w:tcW w:w="7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Maturities of and principal payments received on securities available for</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416,004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553,136</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359,525</w:t>
            </w:r>
          </w:p>
        </w:tc>
      </w:tr>
      <w:tr>
        <w:trPr>
          <w:trHeight w:val="167"/>
        </w:trPr>
        <w:tc>
          <w:tcPr>
            <w:tcW w:w="70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sale....................................................................</w:t>
            </w: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from the sale of Ocwen UK........................................</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122,101</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from sale of investment in Kensington Group plc..................</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48,556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securities held for investment................................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Acquisition of subsidiaries...............................................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64,450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(426,096)</w:t>
            </w:r>
          </w:p>
        </w:tc>
      </w:tr>
      <w:tr>
        <w:trPr>
          <w:trHeight w:val="167"/>
        </w:trPr>
        <w:tc>
          <w:tcPr>
            <w:tcW w:w="70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Principal payments received on match funded loans.........................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26,595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11,868</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low-income housing tax credit interests.......................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(27,213)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(56,874)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(49,063)</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from sales of low-income housing tax credit interests............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27,587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44,233</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37,918</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mortgage servicing rights.....................................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(49,779)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(9,218)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(1,321)</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from sales of discount loans, net................................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252,598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275,732</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626,423</w:t>
            </w:r>
          </w:p>
        </w:tc>
      </w:tr>
      <w:tr>
        <w:trPr>
          <w:trHeight w:val="167"/>
        </w:trPr>
        <w:tc>
          <w:tcPr>
            <w:tcW w:w="70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Principal payments received on discount loans, net........................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180,048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301,826</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446,566</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discount loans, net...........................................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(175,708)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(584,328)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(938,859)</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from sale of real estate held for investment.....................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4,135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23,436</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47,644</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and capital improvements to real estate held for investment...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(34,057)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(19,115)</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from sale of real estate held for sale...........................</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232,811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Increase</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 real estate held for sale.....................................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(57,737)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from sales of loans held for investment..........................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30,709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51,691</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Principal payments received on loans held for investment..................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90,387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137,199</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227,349</w:t>
            </w:r>
          </w:p>
        </w:tc>
      </w:tr>
      <w:tr>
        <w:trPr>
          <w:trHeight w:val="167"/>
        </w:trPr>
        <w:tc>
          <w:tcPr>
            <w:tcW w:w="7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Purchases, originations and funded commitments of loans held for investment,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(55,567)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(36,991)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(188,716)</w:t>
            </w:r>
          </w:p>
        </w:tc>
      </w:tr>
      <w:tr>
        <w:trPr>
          <w:trHeight w:val="167"/>
        </w:trPr>
        <w:tc>
          <w:tcPr>
            <w:tcW w:w="70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net.....................................................................</w:t>
            </w: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Decrease</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(increase) in investment in unconsolidated entities..............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7,286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10,687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(70,190)</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from sale of real estate owned...................................</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180,473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251,621</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301,485</w:t>
            </w:r>
          </w:p>
        </w:tc>
      </w:tr>
      <w:tr>
        <w:trPr>
          <w:trHeight w:val="167"/>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6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real estate owned in connection with discount loan purchase...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(9,059)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(47,340)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(19,949)</w:t>
            </w:r>
          </w:p>
        </w:tc>
      </w:tr>
      <w:tr>
        <w:trPr>
          <w:trHeight w:val="167"/>
        </w:trPr>
        <w:tc>
          <w:tcPr>
            <w:tcW w:w="70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Additions to premises and equipment.......................................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(3,426)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(29,285)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(20,334)</w:t>
            </w:r>
          </w:p>
        </w:tc>
      </w:tr>
      <w:tr>
        <w:trPr>
          <w:trHeight w:val="167"/>
        </w:trPr>
        <w:tc>
          <w:tcPr>
            <w:tcW w:w="9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Net cash provided (used) by investing activities............................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741,762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518,767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(218,245)</w:t>
            </w:r>
          </w:p>
        </w:tc>
      </w:tr>
      <w:tr>
        <w:trPr>
          <w:trHeight w:val="167"/>
        </w:trPr>
        <w:tc>
          <w:tcPr>
            <w:tcW w:w="9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(Continued on next page)</w:t>
      </w:r>
    </w:p>
    <w:p>
      <w:pPr>
        <w:spacing w:after="0" w:line="175"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780"/>
          </w:cols>
          <w:pgMar w:left="220" w:top="453" w:right="899" w:bottom="1440" w:gutter="0" w:footer="0" w:header="0"/>
        </w:sectPr>
      </w:pPr>
    </w:p>
    <w:bookmarkStart w:id="96" w:name="page97"/>
    <w:bookmarkEnd w:id="96"/>
    <w:p>
      <w:pPr>
        <w:ind w:left="166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CONSOLIDATED STATEMENTS OF CASH FLOWS - (CONTINUED)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ind w:left="2520"/>
              <w:spacing w:after="0"/>
              <w:rPr>
                <w:sz w:val="20"/>
                <w:szCs w:val="20"/>
                <w:color w:val="auto"/>
              </w:rPr>
            </w:pPr>
            <w:r>
              <w:rPr>
                <w:rFonts w:ascii="Courier New" w:cs="Courier New" w:eastAsia="Courier New" w:hAnsi="Courier New"/>
                <w:sz w:val="14"/>
                <w:szCs w:val="14"/>
                <w:color w:val="auto"/>
              </w:rPr>
              <w:t>(DOLLARS IN THOUSANDS)</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6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6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7"/>
        </w:trPr>
        <w:tc>
          <w:tcPr>
            <w:tcW w:w="6960" w:type="dxa"/>
            <w:vAlign w:val="bottom"/>
          </w:tcPr>
          <w:p>
            <w:pPr>
              <w:spacing w:after="0"/>
              <w:rPr>
                <w:sz w:val="14"/>
                <w:szCs w:val="14"/>
                <w:color w:val="auto"/>
              </w:rPr>
            </w:pPr>
          </w:p>
        </w:tc>
        <w:tc>
          <w:tcPr>
            <w:tcW w:w="39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2000</w:t>
            </w:r>
          </w:p>
        </w:tc>
        <w:tc>
          <w:tcPr>
            <w:tcW w:w="3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696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9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(Decrease) increase in deposits............................................</w:t>
            </w:r>
          </w:p>
        </w:tc>
        <w:tc>
          <w:tcPr>
            <w:tcW w:w="5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(556,287)</w:t>
            </w:r>
          </w:p>
        </w:tc>
        <w:tc>
          <w:tcPr>
            <w:tcW w:w="3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(354,144)</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202,947</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Decrease in securities sold under agreements to repurchase.................</w:t>
            </w:r>
          </w:p>
        </w:tc>
        <w:tc>
          <w:tcPr>
            <w:tcW w:w="5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(47,365)</w:t>
            </w:r>
          </w:p>
        </w:tc>
        <w:tc>
          <w:tcPr>
            <w:tcW w:w="3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(34,059)</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(36,199)</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(Repayment of) proceeds from obligations under lines of credit, net........</w:t>
            </w:r>
          </w:p>
        </w:tc>
        <w:tc>
          <w:tcPr>
            <w:tcW w:w="5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(155,805)</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110,413</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60,993</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Repayments of bonds - match funded agreements..............................</w:t>
            </w:r>
          </w:p>
        </w:tc>
        <w:tc>
          <w:tcPr>
            <w:tcW w:w="5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(33,002)</w:t>
            </w:r>
          </w:p>
        </w:tc>
        <w:tc>
          <w:tcPr>
            <w:tcW w:w="3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(12,559)</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issuance of bonds - match funded agreements..................</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40,094</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issuance of other interest bearing obligations...............</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6,236</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Repayments and repurchases of  notes, debentures and other, net............</w:t>
            </w:r>
          </w:p>
        </w:tc>
        <w:tc>
          <w:tcPr>
            <w:tcW w:w="5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(127,649)</w:t>
            </w:r>
          </w:p>
        </w:tc>
        <w:tc>
          <w:tcPr>
            <w:tcW w:w="3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(51,223)</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(1,988)</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Exercise of common stock options...........................................</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7,931</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Issuance of shares of common stock.........................................</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Repurchase of Capital Securities...........................................</w:t>
            </w:r>
          </w:p>
        </w:tc>
        <w:tc>
          <w:tcPr>
            <w:tcW w:w="5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(18,811)</w:t>
            </w:r>
          </w:p>
        </w:tc>
        <w:tc>
          <w:tcPr>
            <w:tcW w:w="3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(9,452)</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Repurchase of common stock options.........................................</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(6,502)</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Repurchase of common stock.................................................</w:t>
            </w:r>
          </w:p>
        </w:tc>
        <w:tc>
          <w:tcPr>
            <w:tcW w:w="5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(8,996)</w:t>
            </w:r>
          </w:p>
        </w:tc>
        <w:tc>
          <w:tcPr>
            <w:tcW w:w="3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(30,691)</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(7,772)</w:t>
            </w:r>
          </w:p>
        </w:tc>
      </w:tr>
      <w:tr>
        <w:trPr>
          <w:trHeight w:val="167"/>
        </w:trPr>
        <w:tc>
          <w:tcPr>
            <w:tcW w:w="696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Net cash (used) provided by financing activities.............................</w:t>
            </w:r>
          </w:p>
        </w:tc>
        <w:tc>
          <w:tcPr>
            <w:tcW w:w="5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(947,859)</w:t>
            </w:r>
          </w:p>
        </w:tc>
        <w:tc>
          <w:tcPr>
            <w:tcW w:w="3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(335,319)</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219,466</w:t>
            </w:r>
          </w:p>
        </w:tc>
      </w:tr>
      <w:tr>
        <w:trPr>
          <w:trHeight w:val="167"/>
        </w:trPr>
        <w:tc>
          <w:tcPr>
            <w:tcW w:w="696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5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(200,483)</w:t>
            </w:r>
          </w:p>
        </w:tc>
        <w:tc>
          <w:tcPr>
            <w:tcW w:w="3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(64,935)</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287,473</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354,219</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419,154</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131,681</w:t>
            </w:r>
          </w:p>
        </w:tc>
      </w:tr>
      <w:tr>
        <w:trPr>
          <w:trHeight w:val="167"/>
        </w:trPr>
        <w:tc>
          <w:tcPr>
            <w:tcW w:w="6960" w:type="dxa"/>
            <w:vAlign w:val="bottom"/>
          </w:tcPr>
          <w:p>
            <w:pPr>
              <w:spacing w:after="0"/>
              <w:rPr>
                <w:sz w:val="14"/>
                <w:szCs w:val="14"/>
                <w:color w:val="auto"/>
              </w:rPr>
            </w:pP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153,736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354,219</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419,154</w:t>
            </w:r>
          </w:p>
        </w:tc>
      </w:tr>
      <w:tr>
        <w:trPr>
          <w:trHeight w:val="167"/>
        </w:trPr>
        <w:tc>
          <w:tcPr>
            <w:tcW w:w="6960" w:type="dxa"/>
            <w:vAlign w:val="bottom"/>
          </w:tcPr>
          <w:p>
            <w:pPr>
              <w:spacing w:after="0"/>
              <w:rPr>
                <w:sz w:val="14"/>
                <w:szCs w:val="14"/>
                <w:color w:val="auto"/>
              </w:rPr>
            </w:pP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960" w:type="dxa"/>
            <w:vAlign w:val="bottom"/>
          </w:tcPr>
          <w:p>
            <w:pPr>
              <w:spacing w:after="0"/>
              <w:rPr>
                <w:sz w:val="20"/>
                <w:szCs w:val="20"/>
                <w:color w:val="auto"/>
              </w:rPr>
            </w:pPr>
            <w:r>
              <w:rPr>
                <w:rFonts w:ascii="Courier New" w:cs="Courier New" w:eastAsia="Courier New" w:hAnsi="Courier New"/>
                <w:sz w:val="14"/>
                <w:szCs w:val="14"/>
                <w:color w:val="auto"/>
              </w:rPr>
              <w:t>RECONCILIATION OF CASH AND CASH EQUIVALENTS AT END OF PERIOD:</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Cash and amounts due from depository institutions..........................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18,749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125,799</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94,779</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Interest-earning deposits..................................................</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134,987</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116,420</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49,372</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 and repurchase agreements...............................</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112,000</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275,000</w:t>
            </w:r>
          </w:p>
        </w:tc>
      </w:tr>
      <w:tr>
        <w:trPr>
          <w:trHeight w:val="167"/>
        </w:trPr>
        <w:tc>
          <w:tcPr>
            <w:tcW w:w="6960" w:type="dxa"/>
            <w:vAlign w:val="bottom"/>
          </w:tcPr>
          <w:p>
            <w:pPr>
              <w:spacing w:after="0"/>
              <w:rPr>
                <w:sz w:val="14"/>
                <w:szCs w:val="14"/>
                <w:color w:val="auto"/>
              </w:rPr>
            </w:pP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153,736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354,219</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419,151</w:t>
            </w:r>
          </w:p>
        </w:tc>
      </w:tr>
      <w:tr>
        <w:trPr>
          <w:trHeight w:val="167"/>
        </w:trPr>
        <w:tc>
          <w:tcPr>
            <w:tcW w:w="6960" w:type="dxa"/>
            <w:vAlign w:val="bottom"/>
          </w:tcPr>
          <w:p>
            <w:pPr>
              <w:spacing w:after="0"/>
              <w:rPr>
                <w:sz w:val="14"/>
                <w:szCs w:val="14"/>
                <w:color w:val="auto"/>
              </w:rPr>
            </w:pP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960" w:type="dxa"/>
            <w:vAlign w:val="bottom"/>
          </w:tcPr>
          <w:p>
            <w:pPr>
              <w:ind w:left="100"/>
              <w:spacing w:after="0"/>
              <w:rPr>
                <w:sz w:val="20"/>
                <w:szCs w:val="20"/>
                <w:color w:val="auto"/>
              </w:rPr>
            </w:pPr>
            <w:r>
              <w:rPr>
                <w:rFonts w:ascii="Courier New" w:cs="Courier New" w:eastAsia="Courier New" w:hAnsi="Courier New"/>
                <w:sz w:val="14"/>
                <w:szCs w:val="14"/>
                <w:color w:val="auto"/>
              </w:rPr>
              <w:t>Cash paid during the period for:</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179,564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153,891</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183,424</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Income taxes...............................................................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18,829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633</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36,754</w:t>
            </w:r>
          </w:p>
        </w:tc>
      </w:tr>
      <w:tr>
        <w:trPr>
          <w:trHeight w:val="334"/>
        </w:trPr>
        <w:tc>
          <w:tcPr>
            <w:tcW w:w="6960" w:type="dxa"/>
            <w:vAlign w:val="bottom"/>
          </w:tcPr>
          <w:p>
            <w:pPr>
              <w:spacing w:after="0"/>
              <w:rPr>
                <w:sz w:val="20"/>
                <w:szCs w:val="20"/>
                <w:color w:val="auto"/>
              </w:rPr>
            </w:pPr>
            <w:r>
              <w:rPr>
                <w:rFonts w:ascii="Courier New" w:cs="Courier New" w:eastAsia="Courier New" w:hAnsi="Courier New"/>
                <w:sz w:val="14"/>
                <w:szCs w:val="14"/>
                <w:color w:val="auto"/>
              </w:rPr>
              <w:t>Supplemental schedule of non-cash investing and financing activities:</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Real estate owned acquired through foreclosure.............................</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140,764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157,111</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280,522</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Exchange of discount loans and loans available for sale for securities.....</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758,032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$ 2,125,080</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Transfer of investment in OAC from securities available for sale to</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960" w:type="dxa"/>
            <w:vAlign w:val="bottom"/>
          </w:tcPr>
          <w:p>
            <w:pPr>
              <w:ind w:left="440"/>
              <w:spacing w:after="0"/>
              <w:rPr>
                <w:sz w:val="20"/>
                <w:szCs w:val="20"/>
                <w:color w:val="auto"/>
              </w:rPr>
            </w:pPr>
            <w:r>
              <w:rPr>
                <w:rFonts w:ascii="Courier New" w:cs="Courier New" w:eastAsia="Courier New" w:hAnsi="Courier New"/>
                <w:sz w:val="14"/>
                <w:szCs w:val="14"/>
                <w:color w:val="auto"/>
              </w:rPr>
              <w:t>investment in unconsolidated entities...................................</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35,158</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Reclassification of properties from investment in real estate to real</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960" w:type="dxa"/>
            <w:vAlign w:val="bottom"/>
          </w:tcPr>
          <w:p>
            <w:pPr>
              <w:ind w:left="440"/>
              <w:spacing w:after="0"/>
              <w:rPr>
                <w:sz w:val="20"/>
                <w:szCs w:val="20"/>
                <w:color w:val="auto"/>
              </w:rPr>
            </w:pPr>
            <w:r>
              <w:rPr>
                <w:rFonts w:ascii="Courier New" w:cs="Courier New" w:eastAsia="Courier New" w:hAnsi="Courier New"/>
                <w:sz w:val="14"/>
                <w:szCs w:val="14"/>
                <w:color w:val="auto"/>
              </w:rPr>
              <w:t>estate held for sale....................................................</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174,480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Exchange of note receivable for real estate held for sale..................</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19,000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Reclassification of securities available for sale to trading securities....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496,295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Reclassification of investments in low-income housing tax credit</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960" w:type="dxa"/>
            <w:vAlign w:val="bottom"/>
          </w:tcPr>
          <w:p>
            <w:pPr>
              <w:ind w:left="440"/>
              <w:spacing w:after="0"/>
              <w:rPr>
                <w:sz w:val="20"/>
                <w:szCs w:val="20"/>
                <w:color w:val="auto"/>
              </w:rPr>
            </w:pPr>
            <w:r>
              <w:rPr>
                <w:rFonts w:ascii="Courier New" w:cs="Courier New" w:eastAsia="Courier New" w:hAnsi="Courier New"/>
                <w:sz w:val="14"/>
                <w:szCs w:val="14"/>
                <w:color w:val="auto"/>
              </w:rPr>
              <w:t>interests to low-income housing tax credit interests held for sale......</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90,496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960" w:type="dxa"/>
            <w:vAlign w:val="bottom"/>
          </w:tcPr>
          <w:p>
            <w:pPr>
              <w:spacing w:after="0"/>
              <w:rPr>
                <w:sz w:val="20"/>
                <w:szCs w:val="20"/>
                <w:color w:val="auto"/>
              </w:rPr>
            </w:pPr>
            <w:r>
              <w:rPr>
                <w:rFonts w:ascii="Courier New" w:cs="Courier New" w:eastAsia="Courier New" w:hAnsi="Courier New"/>
                <w:sz w:val="14"/>
                <w:szCs w:val="14"/>
                <w:color w:val="auto"/>
              </w:rPr>
              <w:t>Acquisition of businesses:</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Fair value of assets acquired..............................................</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(706,329)</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(449,420)</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Liabilities assumed........................................................</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599,855</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15,069</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Stock issued...............................................................</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96,809</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7,772</w:t>
            </w:r>
          </w:p>
        </w:tc>
      </w:tr>
      <w:tr>
        <w:trPr>
          <w:trHeight w:val="167"/>
        </w:trPr>
        <w:tc>
          <w:tcPr>
            <w:tcW w:w="6960" w:type="dxa"/>
            <w:vAlign w:val="bottom"/>
          </w:tcPr>
          <w:p>
            <w:pPr>
              <w:spacing w:after="0"/>
              <w:rPr>
                <w:sz w:val="14"/>
                <w:szCs w:val="14"/>
                <w:color w:val="auto"/>
              </w:rPr>
            </w:pP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Cash paid..................................................................</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(9,665)</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(426,579)</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Less cash acquired.........................................................</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74,115</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483</w:t>
            </w:r>
          </w:p>
        </w:tc>
      </w:tr>
      <w:tr>
        <w:trPr>
          <w:trHeight w:val="167"/>
        </w:trPr>
        <w:tc>
          <w:tcPr>
            <w:tcW w:w="6960" w:type="dxa"/>
            <w:vAlign w:val="bottom"/>
          </w:tcPr>
          <w:p>
            <w:pPr>
              <w:spacing w:after="0"/>
              <w:rPr>
                <w:sz w:val="14"/>
                <w:szCs w:val="14"/>
                <w:color w:val="auto"/>
              </w:rPr>
            </w:pP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Net cash acquired (paid) for assets acquired...............................</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64,450</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(426,096)</w:t>
            </w:r>
          </w:p>
        </w:tc>
      </w:tr>
      <w:tr>
        <w:trPr>
          <w:trHeight w:val="167"/>
        </w:trPr>
        <w:tc>
          <w:tcPr>
            <w:tcW w:w="6960" w:type="dxa"/>
            <w:vAlign w:val="bottom"/>
          </w:tcPr>
          <w:p>
            <w:pPr>
              <w:spacing w:after="0"/>
              <w:rPr>
                <w:sz w:val="14"/>
                <w:szCs w:val="14"/>
                <w:color w:val="auto"/>
              </w:rPr>
            </w:pP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960" w:type="dxa"/>
            <w:vAlign w:val="bottom"/>
          </w:tcPr>
          <w:p>
            <w:pPr>
              <w:spacing w:after="0"/>
              <w:rPr>
                <w:sz w:val="20"/>
                <w:szCs w:val="20"/>
                <w:color w:val="auto"/>
              </w:rPr>
            </w:pPr>
            <w:r>
              <w:rPr>
                <w:rFonts w:ascii="Courier New" w:cs="Courier New" w:eastAsia="Courier New" w:hAnsi="Courier New"/>
                <w:sz w:val="14"/>
                <w:szCs w:val="14"/>
                <w:color w:val="auto"/>
              </w:rPr>
              <w:t>Sale of subsidiary:</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Fair value of assets sold..................................................</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413,121</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Liabilities sold...........................................................</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(345,327)</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Cash sold..................................................................</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3,936</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Gain on sale...............................................................</w:t>
            </w:r>
          </w:p>
        </w:tc>
        <w:tc>
          <w:tcPr>
            <w:tcW w:w="5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50,371</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14"/>
                <w:szCs w:val="14"/>
                <w:color w:val="auto"/>
              </w:rPr>
            </w:pP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Net cash received for assets sold............................................</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122,101</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14"/>
                <w:szCs w:val="14"/>
                <w:color w:val="auto"/>
              </w:rPr>
            </w:pP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940"/>
          </w:cols>
          <w:pgMar w:left="220" w:top="453" w:right="739" w:bottom="1440" w:gutter="0" w:footer="0" w:header="0"/>
        </w:sectPr>
      </w:pPr>
    </w:p>
    <w:bookmarkStart w:id="97" w:name="page98"/>
    <w:bookmarkEnd w:id="97"/>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SUMMARY OF SIGNIFICANT ACCOUNTING POLICIES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PRINCIPLES OF CONSOLIDATION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Ocwen Financial Corporation ("OCN" or the "Company") is a financial services company whose primary business activities consist of the servicing and resolution of subperforming and nonperforming residential and commercial mortgage loans. The Company also specializes in the related development of loan servicing technology and software for the mortgage and real estate industries. The Company's consolidated financial statements include the accounts of OCN and its subsidiaries. The Company owns directly and indirectly all of the outstanding common and preferred stock of its primary subsidiaries, Ocwen Federal Bank FSB (the "Bank"), Investors Mortgage Insurance Holding Company ("IMI"), Ocwen Technology Xchange, Inc. ("OTX") and Ocwen Asset Investment Corp. ("OAC"). The Company acquired OAC on October 7, 1999. The Company's consolidated financial statements include OAC and its subsidiaries as of that date. The Company also owns 99.6% of Ocwen Financial Services, Inc. ("OFS"), with the remaining 0.4% owned by the shareholders of Admiral Home Loan. The Company sold its investment in its foreign subsidiary, Ocwen UK, on September 30, 1999. Ocwen UK's results of operations for 1999 have been included in the consolidated statements of operations through that date. All significant intercompany transactions and balances have been eliminated in consolidation.</w:t>
      </w:r>
    </w:p>
    <w:p>
      <w:pPr>
        <w:spacing w:after="0" w:line="17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The Bank is a federally chartered savings bank regulated by the Office of Thrift Supervision ("OTS").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w:t>
      </w:r>
    </w:p>
    <w:p>
      <w:pPr>
        <w:spacing w:after="0" w:line="175"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Certain amounts included in the 1999 and 1998 consolidated financial statements have been reclassified in order to conform to the 2000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purposes of reporting cash flows, cash and cash equivalents include cash on hand, interest-bearing and non-interest-bearing deposits and all highly liquid debt instruments purchased with an original maturity of three months or less. Cash flows associated with items intended as hedges of identifiable transactions or events are classified in the same category as the cash flows from the items being hedged.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HIGHLY LIQUID INVESTMENTS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Company's short-term highly liquid investments generally consist of federal funds sold and assets purchased under agreements to resell. The Company invests in these assets to maximize its return on liquid funds. At December 31, 2000, the Company had no such investments outstanding. At December 31, 1999, such investments amounted to $112,000 of federal funds sold which had an overnight maturity. The average investment in federal funds sold and assets purchased under agreements to resell amounted to $128,079 and $174,494 during 2000 and 1999, respectively.</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Bank is required by the Federal Reserve System to maintain non-interest-earning cash reserves against certain of its transaction accounts and time deposit accounts. Such reserves totaled $5,153 and $32,189 at December 31, 2000 and 1999,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Securities are reported on the Statement of Financial Condition at fair value. Fair value is determined within a range based on third party dealer quotations, where available, and internal values, subject to an internal review process.</w:t>
      </w:r>
    </w:p>
    <w:p>
      <w:pPr>
        <w:spacing w:after="0" w:line="163" w:lineRule="exact"/>
        <w:rPr>
          <w:sz w:val="20"/>
          <w:szCs w:val="20"/>
          <w:color w:val="auto"/>
        </w:rPr>
      </w:pPr>
    </w:p>
    <w:p>
      <w:pPr>
        <w:jc w:val="both"/>
        <w:ind w:right="3719" w:firstLine="781"/>
        <w:spacing w:after="0" w:line="255" w:lineRule="auto"/>
        <w:rPr>
          <w:sz w:val="20"/>
          <w:szCs w:val="20"/>
          <w:color w:val="auto"/>
        </w:rPr>
      </w:pPr>
      <w:r>
        <w:rPr>
          <w:rFonts w:ascii="Courier New" w:cs="Courier New" w:eastAsia="Courier New" w:hAnsi="Courier New"/>
          <w:sz w:val="14"/>
          <w:szCs w:val="14"/>
          <w:color w:val="auto"/>
        </w:rPr>
        <w:t>Securities acquired and sold shortly thereafter resulting from the securitization of loans available for sale are accounted for as the sale of loans and the purchase and sale of trading securities.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September 30, 2000 the Company changed its policy for securities available for sale and match funded securities to account for these securities as trading. The Company believes that this treatment more appropriately reflects the impact on its results of operations arising from changes in the fair value of securities. For these securities, changes in fair value are reported in income in the period of change. Previously, the Company accounted for its securities as available for sale, for which the unrealized gains and losses for these securities were reported as a separate component of accumulated other comprehensive income in stockholders' equity, subject to an evaluation for other-than-temporary impairment. For each security where the Company concluded that all or part of the decrease in value was other-than-temporary, such amount was charged to earnings, thereby establishing a new cost basis for the security.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453" w:right="1440" w:bottom="1440" w:gutter="0" w:footer="0" w:header="0"/>
        </w:sectPr>
      </w:pPr>
    </w:p>
    <w:bookmarkStart w:id="98" w:name="page99"/>
    <w:bookmarkEnd w:id="98"/>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AVAILABLE FOR SALE AND HELD FOR INVESTMENT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Loans originated or purchased by the Company that the Company presently does not intend to hold to maturity are designated as loans available for sale upon origination or purchase and are stated at the lower of cost, after considering deferred loan fees and costs, or aggregate market value. Unrealized losses are recorded as a reduction in earnings and are included under the caption "Gain on interest-earning assets, net" in the consolidated statements of operations. Loan origination fees and certain direct loan origination costs are deferred and included in the carrying value. Upon the sale of a loan, any unamortized deferred loan fees, net of costs, are included in the gain or loss on sale of interest earning assets. Gains and losses on disposal of such loans are computed on a specific identification basis.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Loans held for investment are stated at amortized cost, less an allowance for loan losses, discount, deferred loan fees and undisbursed loan funds. To qualify for this treatment, upon origination or purchase the Company must have both the ability and the intent to hold such loans to maturity. Loan origination fees and certain direct loan origination costs are deferred and recognized over the lives of the related loans as a yield adjustment and included in interest income using the interest method applied on a loan-by-loan basis.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Interest income is accrued as it is earned. Loans are placed on non-accrual status after being delinquent greater than 89 days or earlier if the borrower is deemed by management to be unable to continue performance. When a loan is placed on non-accrual status, interest accrued but not received is reversed. In addition, the amortization of deferred loan fees is suspended when a loan is placed on nonaccrual status. Loans are returned to accrual status only when the loan is reinstated and ultimate collectibility is no longer in doubt.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LOAN LOSSES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allowance for loan losses is maintained at a level that management, based upon an evaluation of known and inherent risks in the portfolio, considers adequate to provide for losses. Specific valuation allowances are established for impaired loans in the amount by which the carrying value, before allowance for estimated losses, exceeds the fair value of collateral less costs to dispose on an individual loan basis, except for single family residential mortgage loans and consumer loans which are generally evaluated for impairment as homogeneous pools of loans. The Company considers a loan to be impaired when, based upon current information and events, it believes that it is probable that the Company will be unable to collect on a timely basis all amounts due according to the contractual terms of the loan agreement. The Company measures these impaired loans at the fair value of the loans' underlying collateral less estimated disposal costs. Impaired loans may be left on accrual status during the period the Company is pursuing repayment of the loan. These loans are placed on non-accrual status at such time that either: (i) the loans become 90 days delinquent; or (ii) the Company determines the borrower is incapable of, or has ceased efforts toward, curing the cause of the impairment. Impairment losses are recognized through an increase in the allowance for loan losses and a corresponding charge to the provision for loan losses. When an impaired loan is either sold, transferred to real estate owned ("REO") or charged off, any related valuation allowance is removed from the allowance for loan losses. Charge-offs occur when loans, or a portion thereof, are considered uncollectible and of such little value that their continuance as bankable assets is not warranted. Management's periodic evaluation of the allowance for loan losses is based upon an analysis of the portfolio, historical loss experience, economic conditions and trends, collateral values and other relevant factors. Future adjustments to the allowance may be necessary if economic conditions and trends, collateral values and other relevant factors differ substantially from the assumptions used in making the evaluation.</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DISCOUNT LOAN PORTFOLIO</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Company acquires at a discount certain mortgage loans, for which the borrower is not current as to principal and interest payments or for which there is a reason to believe the borrower will be unable to continue to make its scheduled principal and interest payments. The Company accounts for its initial investment in a pool of loans based upon the pricing methodologies used to bid on the pool. The acquisition cost is allocated to each loan within the pool when the bid price was determined based upon an analysis of the expected future cash flows of each individual loan. The acquisition cost is accounted for in the aggregate when the bid price was determined using assumptions concerning the expected future cash flows from groups of loans within the pool. For those single family residential mortgage loans which are brought current by the borrower and certain multi-family and commercial real estate loans which are current and which the Company believes will remain current, the remaining unamortized discount is accreted into interest income as a yield adjustment using the interest method over the contractual maturity of the loan. For all other loans, interest is reported as cash is received. Gains on the repayment and discharging of loans are reported as interest income. In situations where the collateral is foreclosed upon, the loans are transferred to real estate owned upon receipt of title to the property.</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453" w:right="1440" w:bottom="473" w:gutter="0" w:footer="0" w:header="0"/>
        </w:sectPr>
      </w:pPr>
    </w:p>
    <w:bookmarkStart w:id="99" w:name="page100"/>
    <w:bookmarkEnd w:id="99"/>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OWNED</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Properties acquired through foreclosure are valued at the lower of the adjusted cost basis of the loan or fair value less estimated costs of disposal of the property after the date of foreclosure. Properties held are periodically re-evaluated to determine that they are being carried at the lower of cost or fair value less estimated costs to dispose. Sales proceeds and related costs are recognized with passage of title to the buyer and, in cases where the Company finances the sale, receipt of sufficient down payment. Rental income related to properties is reported as income as earned. Holding and maintenance costs related to properties are reported as period costs as incurred. No depreciation expense related to the properties has been recorded. Decreases in the market value of foreclosed real estate subsequent to foreclosure are recognized as a valuation allowance on a property specific basis. Subsequent increases in market value of the foreclosed real estate are reflected as reductions in the valuation allowance, but not below zero. Such changes in the valuation allowance are charged or credited to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SERVICING RIGHTS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connection with the securitization and sale of loans, the Company generally retains the rights to service such loans for investors. A servicing asset or liability and other retained interests are recognized as an allocation of the carrying amount of the assets sold between the asset sold and the servicing obligation and other retained interests based on the relative fair value of the assets sold to the interests retained. The Company also acquires mortgage servicing rights which are recorded at cost. Mortgage servicing assets are amortized in proportion to and over the period of estimated net servicing income. Estimated net servicing income is determined using the estimated future balance of the underlying mortgage loan portfolio which, absent new purchases, declines over time from prepayments and scheduled loan amortization. The Company adjusts amortization prospectively in response to changes in estimated projections of future cash flows. The Company evaluates the mortgage servicing assets for impairment based on the fair value of the servicing assets by strata. The Company stratifies the servicing assets based on legal loan-to-value, seasoning, coupon rate and delinquency rate. The Company estimates fair value by discounting servicing assets cash flows using discount and prepayment rates that it believes market participants would use. To the extent the carrying value of the servicing assets exceed fair value by strata, a valuation allowance is established, which may be adjusted in the future, as the value of the servicing assets increase or decrease.</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To date, the Company has not been required to record any servicing liability for any of its servicing contracts based on the servicing fees in the contracts.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SERVICING FEES AND ADVANCES ON LOANS SERVICED FOR OTHERS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receives fees from investors for servicing mortgage loans. Servicing fees, generally expressed as a percent of the unpaid principal balance, are collected from the borrowers' payments. Late charge income and other ancillary fees, net of amortization of servicing assets, are also included in servicing income. During any period in which the borrower is not making payments, the Company is required under certain servicing agreements to advance its own funds to meet contractual principal and interest remittance requirements for certain investors, maintain property taxes and insurance, and process foreclosures. The Company generally recovers such advances from borrowers for reinstated and performing loans and from investors for foreclosed loans. A charge to servicing income is recorded to the extent the advances are estimated to be uncollectible under provisions of the servicing contracts, taking into consideration historical loss and delinquency experience, length of delinquency and the amount of the advance.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REAL ESTATE</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Investment in real estate is recorded at cost less accumulated depreciation. The Company reviews its investment in real estate for impairment whenever events or changes in circumstances indicate that the carrying amount may not be recoverable.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453" w:right="1440" w:bottom="1440" w:gutter="0" w:footer="0" w:header="0"/>
        </w:sectPr>
      </w:pPr>
    </w:p>
    <w:bookmarkStart w:id="100" w:name="page101"/>
    <w:bookmarkEnd w:id="100"/>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Depreciation is computed on a straight-line basis over the estimated useful lives of the assets as follows:</w:t>
      </w:r>
    </w:p>
    <w:p>
      <w:pPr>
        <w:spacing w:after="0" w:line="16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12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39</w:t>
            </w: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- 40 years</w:t>
            </w: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Tenant improvements</w:t>
            </w:r>
          </w:p>
        </w:tc>
        <w:tc>
          <w:tcPr>
            <w:tcW w:w="8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Lesser</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of lease term or useful life</w:t>
            </w: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Land improvements</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20</w:t>
            </w: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Furniture, fixtures and equipment</w:t>
            </w:r>
          </w:p>
        </w:tc>
        <w:tc>
          <w:tcPr>
            <w:tcW w:w="8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5 - 10</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bl>
    <w:p>
      <w:pPr>
        <w:spacing w:after="0" w:line="17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in conjunction with its commercial loan acquisition and resolution activities, the Company acquired certain acquisition, development and construction loans in which the Company participated in the residual profits of the underlying real estate and the borrower had not contributed substantial equity to the project. As such, the Company accounted for these loans under the equity method of accounting as though it had made an investment in a real estate limited partnership.</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Company's investments in real estate partnerships are accounted for under the equity method of accounting. Under the equity method of accounting, an investment in the shares or other interests of an investee is recorded at cost of the shares or interests acquired and thereafter is periodically increased (decreased) by the investors proportionate share of earnings (losses) of the investee and decreased by the dividends or distributions received by the investor from the investee.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Expenditures for repairs and maintenance are charged to operations as incurred. Significant improvements are capitalized. The leases are classified as operating. Fees and costs incurred in the successful negotiation of leases are deferred and amortized on a straight-line basis over the terms of the respective leases. Rental income is reported on a straight-line basis over the terms of the respective leases.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HELD FOR SALE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Real estate held for sale is reported at the lower of the carrying amount or fair value less cost to sell. Real estate is classified as held for sale when the Company has committed to a plan to sell the assets, and depreciation is discontinued. Gains and losses on the sale of real estate held for sale are included in gain on other non-interest earning assets, net, in the consolidated statement of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LOW-INCOME HOUSING TAX CREDIT INTERESTS HELD FOR SALE</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Low-income housing tax credit interests held for sale are reported at the lower of cost or fair value less costs to sell. Investments in low-income housing tax credit interests are classified as held for sale when the Company has agreements to sell the interests. Gains and losses on the sale of investments in low-income housing tax credit interests are included in gain on other non-interest earning assets, net, in the consolidated statement of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LOW-INCOME HOUSING TAX CREDIT INTERESTS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Low-income housing tax credit partnerships own multi-family residential properties which have been allocated tax credits under the Internal Revenue Code of 1986, as amended (the "Internal Revenue Code"). The obligations of the partnership to sustain qualifying status of the properties covers a 15-year period; however, tax credits accrue over a 10-year period on a straight-line basis. Investments by the Company in low-income housing tax credit partnerships made on or after May 18, 1995, in which the Company invests solely as a limited partner, are accounted for using the equity method. For the Company's limited partnership investments made prior to this date, the Company records its receipt of income tax credits and other tax benefits on a level yield basis over the</w:t>
      </w:r>
    </w:p>
    <w:p>
      <w:pPr>
        <w:spacing w:after="0" w:line="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15-year obligation period and reports the tax credits and tax benefits net of amortization of its investment in the limited partnership as a reduction of income tax expense. Low-income housing tax credit partnerships in which the Company has invested as a limited partner, and through which a subsidiary acts as the general partner, are consolidated and included in the Company's consolidated financial statements. For all investments in low-income housing tax credit partnerships made after May 18, 1995, the Company capitalizes interest expense and certain direct costs incurred during the pre-operating period.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EXCESS OF COST OVER NET ASSETS ACQUIRED</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excess of purchase price over net assets of acquired businesses is stated at cost and is amortized on a straight-line basis over the estimated future periods to be benefited, not to exceed 15 years. The carrying value of cost in excess of net assets acquired is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453" w:right="1440" w:bottom="1440" w:gutter="0" w:footer="0" w:header="0"/>
        </w:sectPr>
      </w:pPr>
    </w:p>
    <w:bookmarkStart w:id="101" w:name="page102"/>
    <w:bookmarkEnd w:id="101"/>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reviewed for impairment whenever events or changes in circumstances indicate that it may not be recoverable. Additionally, the Company evaluates the amortization periods to determine whether events or circumstances warrant revised amortization periods. The results of operations of acquired companies are included in the consolidated statements of operations beginning with the acquisition date.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w:t>
      </w:r>
    </w:p>
    <w:p>
      <w:pPr>
        <w:spacing w:after="0" w:line="17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Premises and equipment are carried at cost and, except for land, are depreciated over their estimated useful lives on the straight-line method as follows:</w:t>
      </w:r>
    </w:p>
    <w:p>
      <w:pPr>
        <w:spacing w:after="0" w:line="162"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w w:val="94"/>
              </w:rPr>
              <w:t>39</w:t>
            </w:r>
          </w:p>
        </w:tc>
        <w:tc>
          <w:tcPr>
            <w:tcW w:w="2520" w:type="dxa"/>
            <w:vAlign w:val="bottom"/>
          </w:tcPr>
          <w:p>
            <w:pPr>
              <w:ind w:left="8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Land improvements</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w w:val="94"/>
              </w:rPr>
              <w:t>15</w:t>
            </w:r>
          </w:p>
        </w:tc>
        <w:tc>
          <w:tcPr>
            <w:tcW w:w="2520" w:type="dxa"/>
            <w:vAlign w:val="bottom"/>
          </w:tcPr>
          <w:p>
            <w:pPr>
              <w:ind w:left="8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5</w:t>
            </w:r>
          </w:p>
        </w:tc>
        <w:tc>
          <w:tcPr>
            <w:tcW w:w="2520" w:type="dxa"/>
            <w:vAlign w:val="bottom"/>
          </w:tcPr>
          <w:p>
            <w:pPr>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Computer hardware and software</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c>
          <w:tcPr>
            <w:tcW w:w="2520" w:type="dxa"/>
            <w:vAlign w:val="bottom"/>
          </w:tcPr>
          <w:p>
            <w:pPr>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30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Life of the lease, with maximum</w:t>
            </w:r>
          </w:p>
        </w:tc>
      </w:tr>
      <w:tr>
        <w:trPr>
          <w:trHeight w:val="167"/>
        </w:trPr>
        <w:tc>
          <w:tcPr>
            <w:tcW w:w="2940" w:type="dxa"/>
            <w:vAlign w:val="bottom"/>
          </w:tcPr>
          <w:p>
            <w:pPr>
              <w:spacing w:after="0"/>
              <w:rPr>
                <w:sz w:val="14"/>
                <w:szCs w:val="14"/>
                <w:color w:val="auto"/>
              </w:rPr>
            </w:pPr>
          </w:p>
        </w:tc>
        <w:tc>
          <w:tcPr>
            <w:tcW w:w="30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lease term of 10 years.</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SOFTWARE COSTS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Certain costs attributable to developing, modifying and enhancing its software revenue products are capitalized. Costs incurred up to the establishment of technological feasibility are expensed as research and development costs. Once the products are made available for general release to customers, the capitalized costs are amortized using the straight-line method over the estimated economic lives of the individual products. The unamortized costs by product are reduced to an amount not to exceed the future net realizable value by product at each financial statement date.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SOLD UNDER AGREEMENTS TO REPURCHASE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periodically enters into sales of securities under agreements to repurchase the same securities ("reverse repurchase agreements"). Reverse repurchase agreements are treated as financings, and the obligations to repurchase securities sold are reflected as a liability in the accompanying consolidated statements of financial condition. All securities underlying reverse repurchase agreements are reflected as assets in the accompanying consolidated statements of financial condition and are held in safekeeping by custodians.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EXCESS OF NET ASSETS ACQUIRED OVER PURCHASE PRICE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effects of the acquisition of OAC resulted in a new basis of accounting reflecting fair values of assets and liabilities at the date of acquisition. The excess of assets over the purchase price of acquired net assets resulting from the acquisition is stated at cost and is being amortized on a straight-line basis over the estimated future periods to be benefited. Management evaluates the estimate of the period to be benefited, which is currently 39 months from the date of acquisition.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FINANCIAL INSTRUMENTS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uses derivative financial instruments for the purpose of managing its exposure to adverse fluctuations in interest and foreign currency exchange rates. While these instruments are subject to fluctuations in value, such fluctuations are generally offset by the change in value of the underlying exposures being hedged. The Company does not enter into any derivative financial instruments for trading purposes. To qualify for hedge accounting, the asset or liability to be hedged must be specifically identified and expose the Company to interest rate or currency risk, and the hedging instrument must substantially reduce or alter the risk of loss from the asset or liability being hedged. If the derivative financial instrument fails or ceases to qualify for hedge accounting, it is accounted for at fair value with changes in fair value recorded in earnings in the consolidated statements of operations.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manages its exposure to interest rate movements by seeking to match asset and liability balances within maturity categories, both directly and through the use of derivative financial instruments. These derivative instruments include interest rate swaps ("swaps"), interest rate futures contracts and caps and floors that are designated and effective as hedges, as well as swaps that are designated and effective in modifying the interest rate and/or maturity characteristics of specified assets or liabilities. Gains and losses on swaps are accounted for on the accrual basis.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453" w:right="1440" w:bottom="1440" w:gutter="0" w:footer="0" w:header="0"/>
        </w:sectPr>
      </w:pPr>
    </w:p>
    <w:bookmarkStart w:id="102" w:name="page103"/>
    <w:bookmarkEnd w:id="102"/>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net interest received or paid on swaps is reflected as interest income or expense of the related hedged position. Gains and losses resulting from the termination of swaps are recognized over the shorter of the remaining contract lives of the swaps or the lives of the related hedged positions or, if the hedged positions are sold, are recognized in the current period as gains on sales of interest-earning assets, net. Gains and losses on futures contracts are deferred as an adjustment of the carrying value of the related asset or liability and amortized over the terms of the related assets or liabilities and reflected as interest income or expense of the related hedged positions. If the hedged positions are sold, any unamortized deferred gains or losses on futures contracts are recognized in the current period as gains on sales of interest-earning assets, net. Interest rate contracts are measured at fair value.</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enters into foreign currency futures contracts and foreign currency forward contracts to hedge its investments in foreign entities. The Company periodically adjusts the amount of foreign currency derivative contracts it has entered into in response to changes in its recorded investment. The discount on the currency forward contracts, representing the difference between the contracted forward rate and the spot rate at the date of inception, is amortized over the life of the currency forward contracts on a straight-line basis. The value of the currency forward contracts is calculated as the notional amount of the currency forward contracts multiplied by the difference between the spot rate at the date of inception and the spot rate at the financial statement date. The unamortized discount related to foreign currency forward contracts and the values of financial hedge instruments are reported as translation adjustments and are included as a component of accumulated other comprehensive income in stockholders' equity.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Assets and liabilities of foreign entities where the functional currency is not the U.S. dollar are translated into U.S. dollars at the current rate of exchange existing at the statement of financial condition date, and revenues and expenses are translated at average monthly rates. The resulting translation adjustments are included as a component of accumulated other comprehensive income in stockholders' equity.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Company files consolidated Federal income tax returns with its subsidiaries. Consolidated income tax is allocated among the subsidiaries participating in the consolidated returns as if each subsidiary of the Company, which has one or more subsidiaries, filed its own consolidated return, and those with no subsidiaries filed separate returns.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accounts for income taxes using the asset and liability method which requires the recognition of deferred tax liabilities and assets for the expected future tax consequences of temporary differences between the carrying amounts and the tax bases of assets and liabilities. Additionally, deferred taxes are adjusted for subsequent tax rate changes. Management conducts periodic evaluations to determine whether it is more likely than not that some or all of the deferred tax asset will not be realized. Among the factors considered in this evaluation are estimates of future earnings, the future reversal of temporary differences and the impact of tax planning strategies that can be implemented if warranted.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UNCONSOLIDATED ENTITIES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Company's investments in unconsolidated entities are accounted for under the equity method of accounting. Under the equity method of accounting, an investment in the shares or other interests of an investee is initially recorded at the cost of the shares or interests acquired and thereafter is periodically increased (decreased) by the investor's proportionate share of the earnings (losses) of the investee and decreased by the dividends or distributions received by the investor from the investee.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AND DILUTED EARNINGS PER SHARE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Basic earnings per share is calculated based upon the weighted average number of shares of common stock outstanding during the year. Diluted earnings per share is calculated based upon the weighted average number of shares of common stock outstanding and all dilutive potential common shares outstanding during the year. The computation of diluted earnings per share includes the impact of the exercise of the outstanding options to purchase common stock and assumes that the proceeds from such issuance are used to repurchase common shares at fair value. Common stock equivalents would be excluded from the diluted calculation if a net loss was incurred for the period as they would be antidilutive.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453" w:right="1440" w:bottom="1440" w:gutter="0" w:footer="0" w:header="0"/>
        </w:sectPr>
      </w:pPr>
    </w:p>
    <w:bookmarkStart w:id="103" w:name="page104"/>
    <w:bookmarkEnd w:id="103"/>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Comprehensive income is defined as the change in equity of a business enterprise during a period from transactions and other events and circumstances excluding those resulting from investments by and distributions to owners. Comprehensive income is presented beginning with net income and adding the elements of comprehensive income not included in the determination of net income to arrive at comprehensive income. Accumulated other comprehensive income is presented net of income taxes and is comprised of unrealized gains and losses on securities available for sale, and unrealized foreign currency translation gains and losses.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AND UNCERTAINTIES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the normal course of business, the Company encounters two significant types of risk: economic and regulatory. There are three main components of economic risk: credit risk, market risk and concentration of credit risk. Credit risk is the risk of default on the Company's loan portfolios and derivative financial instruments that results from a borrowers' inability or unwillingness to make contractually required payments. Market risk includes interest rate risk, foreign currency exchange rate risk, and equity price risk. The Company is exposed to interest rate risk to the degree that its interest-bearing liabilities mature or reprice at different speeds, or different bases, than its interest-earning assets. The Company is exposed to foreign currency exchange rate risk in connection with its investment in non-U.S. dollar functional currency operations and to the extent its foreign exchange positions remain unhedged. The Company is exposed to equity price risk as a result of its investments in the equity securities of other entities. Market risk also reflects the risk of declines in the valuation of loans held for sale and trading securities, and in the value of the collateral underlying loans and the value of real estate held by the Company. Concentration of credit risk refers to the risk that, if the Company extends a significant portion of its total outstanding credit to borrowers in a specific geographical area or industry or on the security of a specific form of collateral, the Company may experience disproportionately high levels of default and losses if those borrowers, or the value of such type of collateral, is adversely affected by economic or other factors that are particularly applicable to such borrowers or collateral.</w:t>
      </w:r>
    </w:p>
    <w:p>
      <w:pPr>
        <w:spacing w:after="0" w:line="176"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Bank is subject to the regulations of various government agencies. These regulations can and do change significantly from period to period. The Bank also undergoes periodic examinations by the regulatory agencies, which may subject it to further changes with respect to asset valuations, amounts of required loss allowances and operating restrictions resulting from the regulators' judgments based on information available to them at the time of their examination.</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susceptible to significant change in the near or medium term relate to the determination of the allowance for loan losses and valuation of securities.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ACCOUNTING PRONOUNCEMENTS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Financial Accounting Standards Board (FASB) has issued Statement of Financial Accounting Standards No. 133, Accounting for Derivative Instruments and Hedging Activities, as amended by FAS 137 and FAS 138 (collectively, "FAS 133"). FAS 133 is effective for all fiscal quarters of all fiscal years beginning after June 15, 2000; accordingly, the Company adopted FAS 133 on January 1, 2001.</w:t>
      </w:r>
    </w:p>
    <w:p>
      <w:pPr>
        <w:spacing w:after="0" w:line="329"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FAS 133 requires that all derivative instruments be recorded on the balance sheet at fair value. Changes in the fair value of derivatives are recorded each period in current earnings or other comprehensive income, depending on whether a derivative is designated as part of a hedge transaction and, if it is, depending on the type of hedge transaction.</w:t>
      </w:r>
    </w:p>
    <w:p>
      <w:pPr>
        <w:spacing w:after="0" w:line="162" w:lineRule="exact"/>
        <w:rPr>
          <w:sz w:val="20"/>
          <w:szCs w:val="20"/>
          <w:color w:val="auto"/>
        </w:rPr>
      </w:pPr>
    </w:p>
    <w:p>
      <w:pPr>
        <w:ind w:left="800" w:right="3539" w:hanging="444"/>
        <w:spacing w:after="0" w:line="254" w:lineRule="auto"/>
        <w:tabs>
          <w:tab w:leader="none" w:pos="8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fair-value hedge transactions in which the Company is hedging changes in fair value of an asset, liability, or firm commitment, changes in the fair value of the derivative instrument are generally offset in the income statement by changes in the hedged item's fair value.</w:t>
      </w:r>
    </w:p>
    <w:p>
      <w:pPr>
        <w:spacing w:after="0" w:line="162" w:lineRule="exact"/>
        <w:rPr>
          <w:rFonts w:ascii="Courier New" w:cs="Courier New" w:eastAsia="Courier New" w:hAnsi="Courier New"/>
          <w:sz w:val="14"/>
          <w:szCs w:val="14"/>
          <w:color w:val="auto"/>
        </w:rPr>
      </w:pPr>
    </w:p>
    <w:p>
      <w:pPr>
        <w:ind w:left="800" w:right="3379" w:hanging="444"/>
        <w:spacing w:after="0" w:line="253" w:lineRule="auto"/>
        <w:tabs>
          <w:tab w:leader="none" w:pos="8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cash-flow hedge transactions in which the Company is hedging the variability of cash flows related to a variable-rate asset, liability or a forecasted transaction, changes in the fair value of the derivative instrument are reported in other comprehensive income. The gains and losses on the derivative instrument that are reported in other comprehensive income are reclassified to earnings in the periods in which earnings are impacted by the variability of the cash flows of the hedged item.</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453" w:right="1440" w:bottom="306" w:gutter="0" w:footer="0" w:header="0"/>
        </w:sectPr>
      </w:pPr>
    </w:p>
    <w:bookmarkStart w:id="104" w:name="page105"/>
    <w:bookmarkEnd w:id="104"/>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left="800" w:right="3379" w:hanging="444"/>
        <w:spacing w:after="0" w:line="255"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hedge transactions of net investments in foreign operations, changes in fair value of the derivative instrument are recorded in the cumulative translation adjustment account within equity.</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ineffective portion of all hedges is recognized in current period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For other derivative instruments used by the Company for risk management purposes that do not meet the hedge accounting criteria and, therefore, do not qualify for hedge accounting, the derivative instruments are accounted for at fair value with changes in fair value recorded in the income statement.</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On January 1, 2001, the Company recorded a net of tax, cumulative effect adjustment of $58 (gain) in accumulated other comprehensive income to recognize at fair value the interest rate swap that is designated as a cash-flow hedging of an outstanding line of credit. The Company expects to reclassify to earnings during the next twelve months all of this transition adjustment.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Adoption of FAS 133 did not have a material impact on the Company's use of futures contracts to hedge the net investments in its foreign subsidiaries, as the FAS 133 accounting is similar to the pre-existing accounting. In addition, adoption of FAS 133 did not have an impact on the Company's other risk management instruments that do not meet the hedge criteria as these derivatives were already accounted for at fair value with changes in fair value recognized currently in earnings.</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FASB has also issued Statement of Financial Accounting Standards No. 140 ("FAS 140"), Accounting for Transfers and Servicing of Financial Assets and Extinguishments of Liabilities, as a replacement for the similarly titled FAS 125. FAS 140 is effective for transfers and servicing of financial assets and extinguishments of liabilities occurring after March 31, 2001. However, it is effective for recognition and reclassification of collateral and for disclosures relating to securitization transactions, mortgage servicing rights and collateral for fiscal years ending after December 15, 2000.</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FAS 140 provides accounting and reporting standards for transfers and servicing of financial assets and extinguishments of liabilities. The standards are based on consistent application of a financial-components approach that focuses on control. FAS 140 provides consistent standards for distinguishing transfers of financial assets that are sales from transfers that are secured borrowings.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Statement requires an entity that has securitized financial assets to disclose information about accounting policies, volume, cash flows, key assumptions made in determining fair values of retained interests and sensitivity of those fair values to changes in key assumptions. It also requires that entities that securitize assets disclose certain information about the securitized assets and any other financial assets it manages together with them, including: (a) the total principal amount outstanding, the portion that has been derecognized and the portion that continues to be recognized in each category reported in the statement of financial position, at the end of the period; (b) delinquencies at the end of the period; and (c) credit losses during the period.</w:t>
      </w:r>
    </w:p>
    <w:p>
      <w:pPr>
        <w:spacing w:after="0" w:line="164" w:lineRule="exact"/>
        <w:rPr>
          <w:sz w:val="20"/>
          <w:szCs w:val="20"/>
          <w:color w:val="auto"/>
        </w:rPr>
      </w:pPr>
    </w:p>
    <w:p>
      <w:pPr>
        <w:ind w:right="3979" w:firstLine="781"/>
        <w:spacing w:after="0" w:line="258" w:lineRule="auto"/>
        <w:rPr>
          <w:sz w:val="20"/>
          <w:szCs w:val="20"/>
          <w:color w:val="auto"/>
        </w:rPr>
      </w:pPr>
      <w:r>
        <w:rPr>
          <w:rFonts w:ascii="Courier New" w:cs="Courier New" w:eastAsia="Courier New" w:hAnsi="Courier New"/>
          <w:sz w:val="14"/>
          <w:szCs w:val="14"/>
          <w:color w:val="auto"/>
        </w:rPr>
        <w:t>As of December 31, 2000, the Company has adopted the disclosure provisions of FAS 140.</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ACQUISITION AND DISPOSITION TRANSACTIONS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On November 22, 2000, the Company sold its minority investment in Kensington Group plc ("Kensington") for proceeds, net of stamp duty and other fees, of approximately (pound)34,500 or $48,600. As a result of the transaction, the Company recorded a pretax gain on sale of $20,025.</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October 7, 1999, Ocwen Acquisition Company ("Acquisition Sub"), a Virginia corporation and an indirect wholly-owned subsidiary of OCN, merged (the "Merger") with and into OAC, a Virginia corporation, in accordance with the Agreement of Merger (the "Merger Agreement") dated as of July 25, 1999 among OAC, OCN and Acquisition Sub. In accordance with the Merger Agreement, OAC shareholders (except for OCN or its subsidiaries) received 0.71 shares of OCN stock for each outstanding share of OAC common stock. A total of 12,371,750 shares of OCN stock at a value of $96,809 were issued to OAC shareholders. Prior to the Merger, the Company, through IMI, owned 1,540,000 or 8.12% of the outstanding common stock of OAC and 1,808,733 units or 8.71% of the outstanding partnership units of Ocwen Partnership L.P. ("OPLP"). OPLP is the operating partnership subsidiary of OAC.</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453" w:right="1440" w:bottom="1440" w:gutter="0" w:footer="0" w:header="0"/>
        </w:sectPr>
      </w:pPr>
    </w:p>
    <w:bookmarkStart w:id="105" w:name="page106"/>
    <w:bookmarkEnd w:id="105"/>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Merger, which resulted in OCN acquiring the remaining interest in OAC, reflected an aggregate purchase price of $101,271, including direct costs of the acquisition. The Merger was accounted for as a purchase, and the purchase price was allocated to OAC's assets and liabilities based on their fair market values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20"/>
                <w:szCs w:val="20"/>
                <w:color w:val="auto"/>
              </w:rPr>
            </w:pPr>
            <w:r>
              <w:rPr>
                <w:rFonts w:ascii="Courier New" w:cs="Courier New" w:eastAsia="Courier New" w:hAnsi="Courier New"/>
                <w:sz w:val="14"/>
                <w:szCs w:val="14"/>
                <w:color w:val="auto"/>
              </w:rPr>
              <w:t>Purchase price</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101,271</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Fair value of</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net assets.........................................</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161,313</w:t>
            </w:r>
          </w:p>
        </w:tc>
      </w:tr>
      <w:tr>
        <w:trPr>
          <w:trHeight w:val="167"/>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Excess of net</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assets acquired over purchase price................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60,042</w:t>
            </w:r>
          </w:p>
        </w:tc>
      </w:tr>
      <w:tr>
        <w:trPr>
          <w:trHeight w:val="167"/>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Amortization of the excess of net assets acquired over the purchase price is calculated on a straight-line basis. Amortization in 2000 includes an additional of $2,330 resulting from the reduction in the estimated life of the excess of net assets acquired over the purchase price from 60 months to 39 months, effective October 1, 2000. Results of operations from OAC from the date of merger are included in OCN's consolidated statement of operations for 2000 and 1999.</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September 30, 1999, the Company sold all the shares of its wholly-owned subsidiary, Ocwen UK, to Malvern House Acquisition Limited for the pound sterling equivalent of $122,101 in cash. Ocwen UK was originally formed to acquire substantially all of the assets, and certain of the liabilities, of the United Kingdom operations of Cityscape Financial Corp., and commenced operations on April 24, 1998. As a result of the transaction, the Company recorded a pretax gain on sale of $50,371.</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June 2, 1999, OTX acquired substantially all of the assets of Synergy Software, LLC ("Synergy"), a developer of commercial and multi-family mortgage servicing systems, for $10,000 of which $5,000 has been paid and $5,000 is a holdback which will be released over time if certain performance objectives are attained. The acquisition was accounted for as a purchase. The excess of purchase price over net assets acquired related to this transaction amounted to $4,948 and is being amortized on a straight-line basis over a period of seven years. Synergy is a wholly-owned subsidiary of OTX.</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FAIR VALUE OF FINANCIAL INSTRUMENTS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majority of the Company's assets, liabilities and off-balance sheet instruments and commitments are considered financial instruments. For the majority of the Company's financial instruments, principally loans and deposits, fair values are not readily available since there are no available trading markets as characterized by current exchanges between willing parties. Accordingly, fair values can only be derived or estimated using various valuation techniques, such as computing the present value of estimated future cash flows using discount rates commensurate with the risks involved. However, the determination of estimated future cash flows is inherently subjective and imprecise. In addition, for those financial instruments with option-related features, prepayment assumptions are incorporated into the valuation techniques. It should be noted that minor changes in assumptions or estimation methodologies can have a material effect on these derived or estimated fair values.</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fair values reflected below are indicative of the interest rate environments as of December 31, 2000 and 1999, and do not take into consideration the effects of interest rate fluctuations. In different interest rate environments, fair value results can differ significantly, especially for certain fixed-rate financial instruments and non-accrual assets. In addition, the fair values presented do not attempt to estimate the value of the Company's fee generating businesses and anticipated future business activities. In other words, they do not represent the Company's value as a going concern. Furthermore, the differences between the carrying amounts and the fair values presented may not be realized.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Reasonable comparability of fair values among financial institutions is difficult due to the wide range of permitted valuation techniques and numerous estimates that must be made in the absence of secondary market prices. This lack of objective pricing standards introduces a degree of subjectivity to these derived or estimated fair values. Therefore, while disclosure of estimated fair values of financial instruments is required, readers are cautioned in using this data for purposes of evaluating the financial condition of the Company.</w:t>
      </w:r>
    </w:p>
    <w:p>
      <w:pPr>
        <w:spacing w:after="0" w:line="16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methodologies used and key assumptions made to estimate fair value, the estimated fair values determined and recorded carrying values follow:</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453" w:right="1440" w:bottom="1440" w:gutter="0" w:footer="0" w:header="0"/>
        </w:sectPr>
      </w:pPr>
    </w:p>
    <w:bookmarkStart w:id="106" w:name="page107"/>
    <w:bookmarkEnd w:id="106"/>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Cash and cash equivalents have been valued at their carrying amounts as these are reasonable estimates of fair value given the relatively short period of time between origination of the instruments and their expected realization.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adjusts its securities portfolio to fair value within a range based upon third party dealer quotations, where available, and internal values, subject to an internal review process. For those securities which do not have an available market quotation, the Company will request market values and underlying assumptions from the various securities dealers that underwrote, are currently financing the securities or have had prior experience with the type of security to be valued. When quotations are obtained from two or more dealers, the average dealer quote is generally utilized.</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LOANS AVAILABLE FOR SALE, LOANS, MATCH FUNDED LOANS AND SECURITIES, AND DISCOUNT LOANS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fair value of performing loans is estimated based upon quoted market prices for similar whole loan pools. The fair value of non-performing loans is based on estimated cash flows discounted using a rate commensurate with the risk associated with the estimated cash flows. The fair value of the match funded loans and the discount loan portfolio is estimated based upon current market yields at which recent pools of similar mortgages have traded taking into consideration the timing and amount of expected cash flows. The match funded securities are marked to fair value in the same manner as securities.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SECURITIES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Investment securities represent required holdings of specified levels of common stock issued by the Federal Home Loan Bank. These securities are subject to regulatory restrictions that limit the Company's ability to dispose of them freely and are carried at cost.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ADVANCES ON LOANS AND LOANS SERVICED FOR OTHERS</w:t>
      </w:r>
    </w:p>
    <w:p>
      <w:pPr>
        <w:spacing w:after="0" w:line="175"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Advances on loans and loans serviced for others are valued at their carrying amounts because they have no stated maturity and do not bear interest.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fair value of demand deposits, savings accounts and money market deposits is the amount payable on demand at the reporting date. The fair value of fixed-maturity certificates of deposit is estimated by discounting the required cash payments at the market rates offered for deposits with similar maturities on the respective financial statement dates.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fair value of the Company's bond-match funded loan agreements, notes and debentures and capital securities are based upon quoted market prices. The fair value of the Company's other borrowings, including securities sold under agreements to repurchase and obligations outstanding under lines of credit, approximate carrying value.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FINANCIAL INSTRUMENTS</w:t>
      </w:r>
    </w:p>
    <w:p>
      <w:pPr>
        <w:spacing w:after="0" w:line="175"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The fair values of all derivative financial instruments are based on quoted market prices.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COMMITMENTS, LETTERS OF CREDIT AND GUARANTEES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fair values of loan commitments, letters of credit and guarantees are estimated considering the difference between interest rates on the respective financial statement dates and the committed rates.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453" w:right="1440" w:bottom="1440" w:gutter="0" w:footer="0" w:header="0"/>
        </w:sectPr>
      </w:pPr>
    </w:p>
    <w:bookmarkStart w:id="107" w:name="page108"/>
    <w:bookmarkEnd w:id="107"/>
    <w:p>
      <w:pPr>
        <w:jc w:val="center"/>
        <w:ind w:right="372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4080" w:firstLine="781"/>
        <w:spacing w:after="0" w:line="258" w:lineRule="auto"/>
        <w:rPr>
          <w:sz w:val="20"/>
          <w:szCs w:val="20"/>
          <w:color w:val="auto"/>
        </w:rPr>
      </w:pPr>
      <w:r>
        <w:rPr>
          <w:rFonts w:ascii="Courier New" w:cs="Courier New" w:eastAsia="Courier New" w:hAnsi="Courier New"/>
          <w:sz w:val="14"/>
          <w:szCs w:val="14"/>
          <w:color w:val="auto"/>
        </w:rPr>
        <w:t>The carrying amounts and the estimated fair values of the Company's financial instruments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3140" w:type="dxa"/>
            <w:vAlign w:val="bottom"/>
            <w:gridSpan w:val="2"/>
          </w:tcPr>
          <w:p>
            <w:pPr>
              <w:jc w:val="right"/>
              <w:ind w:right="768"/>
              <w:spacing w:after="0"/>
              <w:rPr>
                <w:sz w:val="20"/>
                <w:szCs w:val="20"/>
                <w:color w:val="auto"/>
              </w:rPr>
            </w:pPr>
            <w:r>
              <w:rPr>
                <w:rFonts w:ascii="Courier New" w:cs="Courier New" w:eastAsia="Courier New" w:hAnsi="Courier New"/>
                <w:sz w:val="14"/>
                <w:szCs w:val="14"/>
                <w:color w:val="auto"/>
              </w:rPr>
              <w:t>December 31, 2000</w:t>
            </w:r>
          </w:p>
        </w:tc>
        <w:tc>
          <w:tcPr>
            <w:tcW w:w="27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 1999</w:t>
            </w:r>
          </w:p>
        </w:tc>
      </w:tr>
      <w:tr>
        <w:trPr>
          <w:trHeight w:val="167"/>
        </w:trPr>
        <w:tc>
          <w:tcPr>
            <w:tcW w:w="4820" w:type="dxa"/>
            <w:vAlign w:val="bottom"/>
          </w:tcPr>
          <w:p>
            <w:pPr>
              <w:spacing w:after="0"/>
              <w:rPr>
                <w:sz w:val="14"/>
                <w:szCs w:val="14"/>
                <w:color w:val="auto"/>
              </w:rPr>
            </w:pPr>
          </w:p>
        </w:tc>
        <w:tc>
          <w:tcPr>
            <w:tcW w:w="3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spacing w:after="0"/>
              <w:rPr>
                <w:sz w:val="14"/>
                <w:szCs w:val="14"/>
                <w:color w:val="auto"/>
              </w:rPr>
            </w:pPr>
          </w:p>
        </w:tc>
        <w:tc>
          <w:tcPr>
            <w:tcW w:w="18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Carrying</w:t>
            </w: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Fair</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Carrying</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Fair</w:t>
            </w:r>
          </w:p>
        </w:tc>
      </w:tr>
      <w:tr>
        <w:trPr>
          <w:trHeight w:val="167"/>
        </w:trPr>
        <w:tc>
          <w:tcPr>
            <w:tcW w:w="4820" w:type="dxa"/>
            <w:vAlign w:val="bottom"/>
          </w:tcPr>
          <w:p>
            <w:pPr>
              <w:spacing w:after="0"/>
              <w:rPr>
                <w:sz w:val="14"/>
                <w:szCs w:val="14"/>
                <w:color w:val="auto"/>
              </w:rPr>
            </w:pPr>
          </w:p>
        </w:tc>
        <w:tc>
          <w:tcPr>
            <w:tcW w:w="18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Amount</w:t>
            </w: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Value</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Amount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Value</w:t>
            </w:r>
          </w:p>
        </w:tc>
      </w:tr>
      <w:tr>
        <w:trPr>
          <w:trHeight w:val="167"/>
        </w:trPr>
        <w:tc>
          <w:tcPr>
            <w:tcW w:w="4820" w:type="dxa"/>
            <w:vAlign w:val="bottom"/>
          </w:tcPr>
          <w:p>
            <w:pPr>
              <w:spacing w:after="0"/>
              <w:rPr>
                <w:sz w:val="14"/>
                <w:szCs w:val="14"/>
                <w:color w:val="auto"/>
              </w:rPr>
            </w:pP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820" w:type="dxa"/>
            <w:vAlign w:val="bottom"/>
          </w:tcPr>
          <w:p>
            <w:pPr>
              <w:spacing w:after="0"/>
              <w:rPr>
                <w:sz w:val="20"/>
                <w:szCs w:val="20"/>
                <w:color w:val="auto"/>
              </w:rPr>
            </w:pPr>
            <w:r>
              <w:rPr>
                <w:rFonts w:ascii="Courier New" w:cs="Courier New" w:eastAsia="Courier New" w:hAnsi="Courier New"/>
                <w:sz w:val="14"/>
                <w:szCs w:val="14"/>
                <w:color w:val="auto"/>
              </w:rPr>
              <w:t>FINANCIAL ASSETS:</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Interest earning and non-interest earning cash...</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153,736</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  153,736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242,219</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242,219</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112,000</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112,000</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Trading securities...............................</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390,242</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390,242</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587,518</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587,518</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Loans available for sale.........................</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10,610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10,610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45,213</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45,213</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Investment securities............................</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13,257</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13,257</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10,965</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10,965</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Loan portfolio, net..............................</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93,414</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93,408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157,408</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157,184</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Discount loan portfolio, net.....................</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536,028</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579,909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913,229</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935,336</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Match funded loans and securities, net...........</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116,987</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109,635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157,794</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154,623</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Advances on loans and loans serviced for others..</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227,055</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227,055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162,548</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162,548</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FINANCIAL LIABILITIES:</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Deposits.........................................</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1,258,360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1,276,268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1,814,647</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1,820,700</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Securities sold under agreements to repurchase...</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47,365</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47,365</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Bond-match funded loan agreements................</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107,050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108,783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141,515</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141,557</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Obligations outstanding under lines of credit....</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32,933</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32,933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187,866</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187,866</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Notes, debentures and other interest-bearing</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820" w:type="dxa"/>
            <w:vAlign w:val="bottom"/>
          </w:tcPr>
          <w:p>
            <w:pPr>
              <w:ind w:left="360"/>
              <w:spacing w:after="0"/>
              <w:rPr>
                <w:sz w:val="20"/>
                <w:szCs w:val="20"/>
                <w:color w:val="auto"/>
              </w:rPr>
            </w:pPr>
            <w:r>
              <w:rPr>
                <w:rFonts w:ascii="Courier New" w:cs="Courier New" w:eastAsia="Courier New" w:hAnsi="Courier New"/>
                <w:sz w:val="14"/>
                <w:szCs w:val="14"/>
                <w:color w:val="auto"/>
              </w:rPr>
              <w:t>obligations....................................</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173,330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152,277</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317,573</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290,244</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Capital securities...............................</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79,530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48,911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110,000</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72,600</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DERIVATIVE FINANCIAL INSTRUMENTS:</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Interest rate swaps..............................</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1,274</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3,702</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Caps and floors..................................</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271</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1,083</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2,336</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U.S. Treasury futures............................</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Swaptions and put options........................</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726</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726</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Currency forward.................................</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(976)</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(976)</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British Pound futures............................</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(339)</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Canadian Dollar futures..........................</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(242)</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(242)</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(320)</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Loan commitments.................................</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11,259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25,985</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Letters of credit................................</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6,968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30,205</w:t>
            </w: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Guarantees.......................................</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7,035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4820" w:type="dxa"/>
            <w:vAlign w:val="bottom"/>
          </w:tcPr>
          <w:p>
            <w:pPr>
              <w:ind w:left="3400"/>
              <w:spacing w:after="0"/>
              <w:rPr>
                <w:sz w:val="20"/>
                <w:szCs w:val="20"/>
                <w:color w:val="auto"/>
              </w:rPr>
            </w:pPr>
            <w:r>
              <w:rPr>
                <w:rFonts w:ascii="Courier New" w:cs="Courier New" w:eastAsia="Courier New" w:hAnsi="Courier New"/>
                <w:sz w:val="14"/>
                <w:szCs w:val="14"/>
                <w:color w:val="auto"/>
              </w:rPr>
              <w:t>80</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680"/>
          </w:cols>
          <w:pgMar w:left="220" w:top="453" w:right="999" w:bottom="1440" w:gutter="0" w:footer="0" w:header="0"/>
        </w:sectPr>
      </w:pPr>
    </w:p>
    <w:bookmarkStart w:id="108" w:name="page109"/>
    <w:bookmarkEnd w:id="108"/>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TRADING SECURITIES</w:t>
      </w:r>
    </w:p>
    <w:p>
      <w:pPr>
        <w:spacing w:after="0" w:line="175" w:lineRule="exact"/>
        <w:rPr>
          <w:sz w:val="20"/>
          <w:szCs w:val="20"/>
          <w:color w:val="auto"/>
        </w:rPr>
      </w:pPr>
    </w:p>
    <w:p>
      <w:pPr>
        <w:ind w:right="3799" w:firstLine="781"/>
        <w:spacing w:after="0" w:line="255" w:lineRule="auto"/>
        <w:rPr>
          <w:sz w:val="20"/>
          <w:szCs w:val="20"/>
          <w:color w:val="auto"/>
        </w:rPr>
      </w:pPr>
      <w:r>
        <w:rPr>
          <w:rFonts w:ascii="Courier New" w:cs="Courier New" w:eastAsia="Courier New" w:hAnsi="Courier New"/>
          <w:sz w:val="14"/>
          <w:szCs w:val="14"/>
          <w:color w:val="auto"/>
        </w:rPr>
        <w:t>As discussed in Note 1, the Company reclassified its securities available for sale to trading on September 30, 2000. The fair value of the Company's trading securities are as follows at December 31, 2000: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Collateralized mortgage obligations (AAA-rated).................</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277,595</w:t>
            </w:r>
          </w:p>
        </w:tc>
      </w:tr>
      <w:tr>
        <w:trPr>
          <w:trHeight w:val="167"/>
        </w:trPr>
        <w:tc>
          <w:tcPr>
            <w:tcW w:w="57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Subordinates and residual securities: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700" w:type="dxa"/>
            <w:vAlign w:val="bottom"/>
          </w:tcPr>
          <w:p>
            <w:pPr>
              <w:ind w:left="260"/>
              <w:spacing w:after="0"/>
              <w:rPr>
                <w:sz w:val="20"/>
                <w:szCs w:val="20"/>
                <w:color w:val="auto"/>
              </w:rPr>
            </w:pPr>
            <w:r>
              <w:rPr>
                <w:rFonts w:ascii="Courier New" w:cs="Courier New" w:eastAsia="Courier New" w:hAnsi="Courier New"/>
                <w:sz w:val="14"/>
                <w:szCs w:val="14"/>
                <w:color w:val="auto"/>
              </w:rPr>
              <w:t>Single family residential:</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BB-rated subordinates.....................................</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4,563</w:t>
            </w:r>
          </w:p>
        </w:tc>
      </w:tr>
      <w:tr>
        <w:trPr>
          <w:trHeight w:val="167"/>
        </w:trPr>
        <w:tc>
          <w:tcPr>
            <w:tcW w:w="5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B-rated subordinates......................................</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2,911</w:t>
            </w:r>
          </w:p>
        </w:tc>
      </w:tr>
      <w:tr>
        <w:trPr>
          <w:trHeight w:val="167"/>
        </w:trPr>
        <w:tc>
          <w:tcPr>
            <w:tcW w:w="5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Unrated subordinates......................................</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9,361</w:t>
            </w:r>
          </w:p>
        </w:tc>
      </w:tr>
      <w:tr>
        <w:trPr>
          <w:trHeight w:val="167"/>
        </w:trPr>
        <w:tc>
          <w:tcPr>
            <w:tcW w:w="5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Unrated subprime residuals ...............................</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93,176</w:t>
            </w:r>
          </w:p>
        </w:tc>
      </w:tr>
      <w:tr>
        <w:trPr>
          <w:trHeight w:val="167"/>
        </w:trPr>
        <w:tc>
          <w:tcPr>
            <w:tcW w:w="57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110,011</w:t>
            </w:r>
          </w:p>
        </w:tc>
      </w:tr>
      <w:tr>
        <w:trPr>
          <w:trHeight w:val="167"/>
        </w:trPr>
        <w:tc>
          <w:tcPr>
            <w:tcW w:w="57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ind w:left="260"/>
              <w:spacing w:after="0"/>
              <w:rPr>
                <w:sz w:val="20"/>
                <w:szCs w:val="20"/>
                <w:color w:val="auto"/>
              </w:rPr>
            </w:pPr>
            <w:r>
              <w:rPr>
                <w:rFonts w:ascii="Courier New" w:cs="Courier New" w:eastAsia="Courier New" w:hAnsi="Courier New"/>
                <w:sz w:val="14"/>
                <w:szCs w:val="14"/>
                <w:color w:val="auto"/>
              </w:rPr>
              <w:t>Multi-family and commercial:</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Unrated subordinates......................................</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2,636</w:t>
            </w:r>
          </w:p>
        </w:tc>
      </w:tr>
      <w:tr>
        <w:trPr>
          <w:trHeight w:val="167"/>
        </w:trPr>
        <w:tc>
          <w:tcPr>
            <w:tcW w:w="57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112,647</w:t>
            </w:r>
          </w:p>
        </w:tc>
      </w:tr>
      <w:tr>
        <w:trPr>
          <w:trHeight w:val="167"/>
        </w:trPr>
        <w:tc>
          <w:tcPr>
            <w:tcW w:w="57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390,242</w:t>
            </w:r>
          </w:p>
        </w:tc>
      </w:tr>
      <w:tr>
        <w:trPr>
          <w:trHeight w:val="167"/>
        </w:trPr>
        <w:tc>
          <w:tcPr>
            <w:tcW w:w="57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One security in the trading securities portfolio, which had a fair value of $3,454 at December 31, 2000, is pledged as collateral to the State of New Jersey in connection with the Bank's sales of certificates of deposit over $100 to New Jersey municipalities. Collateralized mortgage obligations with a fair value of $17,702 at December 31, 2000, were pledged as collateral to the FHLB of New York for advances.</w:t>
      </w:r>
    </w:p>
    <w:p>
      <w:pPr>
        <w:spacing w:after="0" w:line="165"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At December 31, 2000, the Company held securities with an aggregate fair value of $144,805 and $68,651 that were issued by Freddie Mac and Fanniemae, respectively.</w:t>
      </w:r>
    </w:p>
    <w:p>
      <w:pPr>
        <w:spacing w:after="0" w:line="162"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A profile of the maturities of trading securities at December 31, 2000, follows. Mortgage-backed securities are included based on their weighted-average maturities, reflecting anticipated future prepayments.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7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7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Yield</w:t>
            </w:r>
          </w:p>
        </w:tc>
        <w:tc>
          <w:tcPr>
            <w:tcW w:w="108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99"/>
              </w:rPr>
              <w:t>Fair Value</w:t>
            </w:r>
          </w:p>
        </w:tc>
      </w:tr>
      <w:tr>
        <w:trPr>
          <w:trHeight w:val="167"/>
        </w:trPr>
        <w:tc>
          <w:tcPr>
            <w:tcW w:w="47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Due within one year...................................</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7.43%</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258,148</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Due after 1 through 5 years...........................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15.47</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84,799</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Due after 5 through 10 years..........................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18.49</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32,213</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Due after 10 years....................................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12.15</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15,082</w:t>
            </w:r>
          </w:p>
        </w:tc>
      </w:tr>
      <w:tr>
        <w:trPr>
          <w:trHeight w:val="167"/>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10.28</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390,242</w:t>
            </w:r>
          </w:p>
        </w:tc>
      </w:tr>
      <w:tr>
        <w:trPr>
          <w:trHeight w:val="167"/>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Unrealized loss on trading and match funded securities, net, for the year ended December 31, 2000, was comprised of the following:</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Trading securities: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reclassification from available for sale.....</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7,834</w:t>
            </w:r>
          </w:p>
        </w:tc>
      </w:tr>
      <w:tr>
        <w:trPr>
          <w:trHeight w:val="167"/>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Change in unrealized holding gains or losses....................</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(3,875)</w:t>
            </w:r>
          </w:p>
        </w:tc>
      </w:tr>
      <w:tr>
        <w:trPr>
          <w:trHeight w:val="167"/>
        </w:trPr>
        <w:tc>
          <w:tcPr>
            <w:tcW w:w="582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3,959</w:t>
            </w:r>
          </w:p>
        </w:tc>
      </w:tr>
      <w:tr>
        <w:trPr>
          <w:trHeight w:val="167"/>
        </w:trPr>
        <w:tc>
          <w:tcPr>
            <w:tcW w:w="582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Match funded securities: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reclassification from available for sale.....</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(10,240)</w:t>
            </w:r>
          </w:p>
        </w:tc>
      </w:tr>
      <w:tr>
        <w:trPr>
          <w:trHeight w:val="167"/>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Change in unrealized holding gains or losses....................</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1,355</w:t>
            </w:r>
          </w:p>
        </w:tc>
      </w:tr>
      <w:tr>
        <w:trPr>
          <w:trHeight w:val="167"/>
        </w:trPr>
        <w:tc>
          <w:tcPr>
            <w:tcW w:w="582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(8,885)</w:t>
            </w:r>
          </w:p>
        </w:tc>
      </w:tr>
      <w:tr>
        <w:trPr>
          <w:trHeight w:val="167"/>
        </w:trPr>
        <w:tc>
          <w:tcPr>
            <w:tcW w:w="582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(4,926)</w:t>
            </w:r>
          </w:p>
        </w:tc>
      </w:tr>
      <w:tr>
        <w:trPr>
          <w:trHeight w:val="167"/>
        </w:trPr>
        <w:tc>
          <w:tcPr>
            <w:tcW w:w="582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820" w:type="dxa"/>
            <w:vAlign w:val="bottom"/>
          </w:tcPr>
          <w:p>
            <w:pPr>
              <w:ind w:left="3400"/>
              <w:spacing w:after="0"/>
              <w:rPr>
                <w:sz w:val="20"/>
                <w:szCs w:val="20"/>
                <w:color w:val="auto"/>
              </w:rPr>
            </w:pPr>
            <w:r>
              <w:rPr>
                <w:rFonts w:ascii="Courier New" w:cs="Courier New" w:eastAsia="Courier New" w:hAnsi="Courier New"/>
                <w:sz w:val="14"/>
                <w:szCs w:val="14"/>
                <w:color w:val="auto"/>
              </w:rPr>
              <w:t>81</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109" w:name="page110"/>
    <w:bookmarkEnd w:id="109"/>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residual and subordinate securities classified as trading securities at December 31, 2000 include retained interests with a fair value of $43,016 from securitizations of loans completed by the Company in prior years. The Company completed no securitizations of loans during the year ended December 31, 2000.</w:t>
      </w:r>
    </w:p>
    <w:p>
      <w:pPr>
        <w:spacing w:after="0" w:line="330"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The key economic assumptions used to estimate the fair value of these retained interests as of December 31, 2000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 Average</w:t>
            </w:r>
          </w:p>
        </w:tc>
      </w:tr>
      <w:tr>
        <w:trPr>
          <w:trHeight w:val="167"/>
        </w:trPr>
        <w:tc>
          <w:tcPr>
            <w:tcW w:w="5040" w:type="dxa"/>
            <w:vAlign w:val="bottom"/>
          </w:tcPr>
          <w:p>
            <w:pPr>
              <w:spacing w:after="0"/>
              <w:rPr>
                <w:sz w:val="14"/>
                <w:szCs w:val="14"/>
                <w:color w:val="auto"/>
              </w:rPr>
            </w:pPr>
          </w:p>
        </w:tc>
        <w:tc>
          <w:tcPr>
            <w:tcW w:w="1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18.66%</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Projected prepayments..................................</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19.07%</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Projected average life.................................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2.63 years</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Projected annual loss rates............................</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3.20%</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Static pool losses.....................................</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13.75%</w:t>
            </w:r>
          </w:p>
        </w:tc>
      </w:tr>
    </w:tbl>
    <w:p>
      <w:pPr>
        <w:spacing w:after="0" w:line="171"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As of December 31, 2000, the effect on the fair value of the retained interests caused by immediate adverse changes in the assumptions shown above would be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Decrease</w:t>
            </w:r>
          </w:p>
        </w:tc>
      </w:tr>
      <w:tr>
        <w:trPr>
          <w:trHeight w:val="167"/>
        </w:trPr>
        <w:tc>
          <w:tcPr>
            <w:tcW w:w="57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1040" w:type="dxa"/>
            <w:vAlign w:val="bottom"/>
          </w:tcPr>
          <w:p>
            <w:pPr>
              <w:spacing w:after="0"/>
              <w:rPr>
                <w:sz w:val="14"/>
                <w:szCs w:val="14"/>
                <w:color w:val="auto"/>
              </w:rPr>
            </w:pPr>
          </w:p>
        </w:tc>
      </w:tr>
      <w:tr>
        <w:trPr>
          <w:trHeight w:val="167"/>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Impact of a +10% change......................................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(2,841)</w:t>
            </w:r>
          </w:p>
        </w:tc>
      </w:tr>
      <w:tr>
        <w:trPr>
          <w:trHeight w:val="167"/>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Impact of a +20% change......................................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(5,394)</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Prepayments:</w:t>
            </w:r>
          </w:p>
        </w:tc>
        <w:tc>
          <w:tcPr>
            <w:tcW w:w="1040" w:type="dxa"/>
            <w:vAlign w:val="bottom"/>
          </w:tcPr>
          <w:p>
            <w:pPr>
              <w:spacing w:after="0"/>
              <w:rPr>
                <w:sz w:val="14"/>
                <w:szCs w:val="14"/>
                <w:color w:val="auto"/>
              </w:rPr>
            </w:pPr>
          </w:p>
        </w:tc>
      </w:tr>
      <w:tr>
        <w:trPr>
          <w:trHeight w:val="167"/>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Impact of a -10% change......................................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(213)</w:t>
            </w:r>
          </w:p>
        </w:tc>
      </w:tr>
      <w:tr>
        <w:trPr>
          <w:trHeight w:val="167"/>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Impact of a -20% change......................................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(380)</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Loss rates:</w:t>
            </w:r>
          </w:p>
        </w:tc>
        <w:tc>
          <w:tcPr>
            <w:tcW w:w="1040" w:type="dxa"/>
            <w:vAlign w:val="bottom"/>
          </w:tcPr>
          <w:p>
            <w:pPr>
              <w:spacing w:after="0"/>
              <w:rPr>
                <w:sz w:val="14"/>
                <w:szCs w:val="14"/>
                <w:color w:val="auto"/>
              </w:rPr>
            </w:pPr>
          </w:p>
        </w:tc>
      </w:tr>
      <w:tr>
        <w:trPr>
          <w:trHeight w:val="167"/>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Impact of a +10% change......................................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(4,111)</w:t>
            </w:r>
          </w:p>
        </w:tc>
      </w:tr>
      <w:tr>
        <w:trPr>
          <w:trHeight w:val="167"/>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Impact of a +20% change......................................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(7,497)</w:t>
            </w:r>
          </w:p>
        </w:tc>
      </w:tr>
    </w:tbl>
    <w:p>
      <w:pPr>
        <w:spacing w:after="0" w:line="17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These sensitivities are hypothetical and are presented for illustrative purposes only. The changes in the assumptions regarding prepayments and loss rates were applied to the cash flows of the loans underlying the retained securities. Changes in assumptions regarding discount rates were applied to the cash flows of the securities. Changes in fair value based upon a change in assumptions generally cannot be extrapolated because the relationship of the change in assumption to the change in fair value may not be linear. The changes in assumptions presented in the table above were calculated without changing any other assumption. In reality, changes in one assumption may result in changes in another, which may magnify or offset the sensitivities presented. For example, changes in market interest rates may simultaneously impact prepayments, losses and the discount rate.</w:t>
      </w:r>
    </w:p>
    <w:p>
      <w:pPr>
        <w:spacing w:after="0" w:line="331" w:lineRule="exact"/>
        <w:rPr>
          <w:sz w:val="20"/>
          <w:szCs w:val="20"/>
          <w:color w:val="auto"/>
        </w:rPr>
      </w:pPr>
    </w:p>
    <w:p>
      <w:pPr>
        <w:jc w:val="both"/>
        <w:ind w:right="3379" w:firstLine="521"/>
        <w:spacing w:after="0" w:line="255" w:lineRule="auto"/>
        <w:rPr>
          <w:sz w:val="20"/>
          <w:szCs w:val="20"/>
          <w:color w:val="auto"/>
        </w:rPr>
      </w:pPr>
      <w:r>
        <w:rPr>
          <w:rFonts w:ascii="Courier New" w:cs="Courier New" w:eastAsia="Courier New" w:hAnsi="Courier New"/>
          <w:sz w:val="14"/>
          <w:szCs w:val="14"/>
          <w:color w:val="auto"/>
        </w:rPr>
        <w:t>As of and for the year ended December 31, 2000, the following information is provided regarding securitized loans and related financial assets managed by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4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unpaid principal balance of securitized loans..........</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1,943,146</w:t>
            </w:r>
          </w:p>
        </w:tc>
      </w:tr>
      <w:tr>
        <w:trPr>
          <w:trHeight w:val="167"/>
        </w:trPr>
        <w:tc>
          <w:tcPr>
            <w:tcW w:w="56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Delinquencies of securitized loans (30 days past due)..........</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471,213</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Losses,</w:t>
            </w:r>
          </w:p>
        </w:tc>
        <w:tc>
          <w:tcPr>
            <w:tcW w:w="4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of recoveries, on securitized loans................</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106,892</w:t>
            </w:r>
          </w:p>
        </w:tc>
      </w:tr>
      <w:tr>
        <w:trPr>
          <w:trHeight w:val="334"/>
        </w:trPr>
        <w:tc>
          <w:tcPr>
            <w:tcW w:w="660" w:type="dxa"/>
            <w:vAlign w:val="bottom"/>
          </w:tcPr>
          <w:p>
            <w:pPr>
              <w:spacing w:after="0"/>
              <w:rPr>
                <w:sz w:val="24"/>
                <w:szCs w:val="24"/>
                <w:color w:val="auto"/>
              </w:rPr>
            </w:pPr>
          </w:p>
        </w:tc>
        <w:tc>
          <w:tcPr>
            <w:tcW w:w="4940" w:type="dxa"/>
            <w:vAlign w:val="bottom"/>
          </w:tcPr>
          <w:p>
            <w:pPr>
              <w:jc w:val="right"/>
              <w:ind w:right="1968"/>
              <w:spacing w:after="0"/>
              <w:rPr>
                <w:sz w:val="20"/>
                <w:szCs w:val="20"/>
                <w:color w:val="auto"/>
              </w:rPr>
            </w:pPr>
            <w:r>
              <w:rPr>
                <w:rFonts w:ascii="Courier New" w:cs="Courier New" w:eastAsia="Courier New" w:hAnsi="Courier New"/>
                <w:sz w:val="14"/>
                <w:szCs w:val="14"/>
                <w:color w:val="auto"/>
              </w:rPr>
              <w:t>82</w:t>
            </w:r>
          </w:p>
        </w:tc>
        <w:tc>
          <w:tcPr>
            <w:tcW w:w="118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110" w:name="page111"/>
    <w:bookmarkEnd w:id="110"/>
    <w:p>
      <w:pPr>
        <w:jc w:val="center"/>
        <w:ind w:right="390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SECURITIES AVAILABLE FOR SALE</w:t>
      </w:r>
    </w:p>
    <w:p>
      <w:pPr>
        <w:spacing w:after="0" w:line="175" w:lineRule="exact"/>
        <w:rPr>
          <w:sz w:val="20"/>
          <w:szCs w:val="20"/>
          <w:color w:val="auto"/>
        </w:rPr>
      </w:pPr>
    </w:p>
    <w:p>
      <w:pPr>
        <w:ind w:right="3900" w:firstLine="781"/>
        <w:spacing w:after="0" w:line="254" w:lineRule="auto"/>
        <w:rPr>
          <w:sz w:val="20"/>
          <w:szCs w:val="20"/>
          <w:color w:val="auto"/>
        </w:rPr>
      </w:pPr>
      <w:r>
        <w:rPr>
          <w:rFonts w:ascii="Courier New" w:cs="Courier New" w:eastAsia="Courier New" w:hAnsi="Courier New"/>
          <w:sz w:val="14"/>
          <w:szCs w:val="14"/>
          <w:color w:val="auto"/>
        </w:rPr>
        <w:t>The Company reclassified its securities available for sale to trading on September 30, 2000. The amortized cost, fair value and gross unrealized gains and losses on the Company's securities available for sale were as follows at December 31, 1999:</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Gross</w:t>
            </w:r>
          </w:p>
        </w:tc>
        <w:tc>
          <w:tcPr>
            <w:tcW w:w="36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Gross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Amortized</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Unrealized</w:t>
            </w:r>
          </w:p>
        </w:tc>
        <w:tc>
          <w:tcPr>
            <w:tcW w:w="14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Unrealized</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Fair</w:t>
            </w:r>
          </w:p>
        </w:tc>
      </w:tr>
      <w:tr>
        <w:trPr>
          <w:trHeight w:val="167"/>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Cost</w:t>
            </w:r>
          </w:p>
        </w:tc>
        <w:tc>
          <w:tcPr>
            <w:tcW w:w="2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Gains</w:t>
            </w:r>
          </w:p>
        </w:tc>
        <w:tc>
          <w:tcPr>
            <w:tcW w:w="36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Losses</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r>
      <w:tr>
        <w:trPr>
          <w:trHeight w:val="167"/>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ind w:left="1120"/>
              <w:spacing w:after="0"/>
              <w:rPr>
                <w:sz w:val="20"/>
                <w:szCs w:val="20"/>
                <w:color w:val="auto"/>
              </w:rPr>
            </w:pPr>
            <w:r>
              <w:rPr>
                <w:rFonts w:ascii="Courier New" w:cs="Courier New" w:eastAsia="Courier New" w:hAnsi="Courier New"/>
                <w:sz w:val="6"/>
                <w:szCs w:val="6"/>
                <w:color w:val="auto"/>
                <w:w w:val="70"/>
              </w:rPr>
              <w:t>-----------</w:t>
            </w:r>
          </w:p>
        </w:tc>
        <w:tc>
          <w:tcPr>
            <w:tcW w:w="92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Mortgage-related securities Single family residential:</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340" w:type="dxa"/>
            <w:vAlign w:val="bottom"/>
          </w:tcPr>
          <w:p>
            <w:pPr>
              <w:ind w:left="360"/>
              <w:spacing w:after="0"/>
              <w:rPr>
                <w:sz w:val="20"/>
                <w:szCs w:val="20"/>
                <w:color w:val="auto"/>
              </w:rPr>
            </w:pPr>
            <w:r>
              <w:rPr>
                <w:rFonts w:ascii="Courier New" w:cs="Courier New" w:eastAsia="Courier New" w:hAnsi="Courier New"/>
                <w:sz w:val="14"/>
                <w:szCs w:val="14"/>
                <w:color w:val="auto"/>
              </w:rPr>
              <w:t>AAA-rated collateralized mortgage obligations</w:t>
            </w:r>
          </w:p>
        </w:tc>
        <w:tc>
          <w:tcPr>
            <w:tcW w:w="360" w:type="dxa"/>
            <w:vAlign w:val="bottom"/>
          </w:tcPr>
          <w:p>
            <w:pPr>
              <w:spacing w:after="0"/>
              <w:rPr>
                <w:sz w:val="14"/>
                <w:szCs w:val="14"/>
                <w:color w:val="auto"/>
              </w:rPr>
            </w:pPr>
          </w:p>
        </w:tc>
        <w:tc>
          <w:tcPr>
            <w:tcW w:w="1220" w:type="dxa"/>
            <w:vAlign w:val="bottom"/>
          </w:tcPr>
          <w:p>
            <w:pPr>
              <w:ind w:left="1120"/>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393,426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392,387</w:t>
            </w:r>
          </w:p>
        </w:tc>
      </w:tr>
      <w:tr>
        <w:trPr>
          <w:trHeight w:val="167"/>
        </w:trPr>
        <w:tc>
          <w:tcPr>
            <w:tcW w:w="470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0"/>
              </w:rPr>
              <w:t>BB-rated subordinates....................................</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4,697</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1,244</w:t>
            </w:r>
          </w:p>
        </w:tc>
        <w:tc>
          <w:tcPr>
            <w:tcW w:w="3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5,908</w:t>
            </w:r>
          </w:p>
        </w:tc>
      </w:tr>
      <w:tr>
        <w:trPr>
          <w:trHeight w:val="167"/>
        </w:trPr>
        <w:tc>
          <w:tcPr>
            <w:tcW w:w="470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0"/>
              </w:rPr>
              <w:t>B-rated subordinates.....................................</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5,380</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990</w:t>
            </w:r>
          </w:p>
        </w:tc>
        <w:tc>
          <w:tcPr>
            <w:tcW w:w="3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6,098</w:t>
            </w:r>
          </w:p>
        </w:tc>
      </w:tr>
      <w:tr>
        <w:trPr>
          <w:trHeight w:val="167"/>
        </w:trPr>
        <w:tc>
          <w:tcPr>
            <w:tcW w:w="470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0"/>
              </w:rPr>
              <w:t>Unrated subordinates.....................................</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15,790</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2,543</w:t>
            </w:r>
          </w:p>
        </w:tc>
        <w:tc>
          <w:tcPr>
            <w:tcW w:w="3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(1,046)</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17,287</w:t>
            </w:r>
          </w:p>
        </w:tc>
      </w:tr>
      <w:tr>
        <w:trPr>
          <w:trHeight w:val="167"/>
        </w:trPr>
        <w:tc>
          <w:tcPr>
            <w:tcW w:w="470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0"/>
              </w:rPr>
              <w:t>Unrated subprime residuals ..............................</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125,452</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2,126</w:t>
            </w:r>
          </w:p>
        </w:tc>
        <w:tc>
          <w:tcPr>
            <w:tcW w:w="3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(3,491)</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124,087</w:t>
            </w:r>
          </w:p>
        </w:tc>
      </w:tr>
      <w:tr>
        <w:trPr>
          <w:trHeight w:val="167"/>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ind w:left="1120"/>
              <w:spacing w:after="0"/>
              <w:rPr>
                <w:sz w:val="20"/>
                <w:szCs w:val="20"/>
                <w:color w:val="auto"/>
              </w:rPr>
            </w:pPr>
            <w:r>
              <w:rPr>
                <w:rFonts w:ascii="Courier New" w:cs="Courier New" w:eastAsia="Courier New" w:hAnsi="Courier New"/>
                <w:sz w:val="6"/>
                <w:szCs w:val="6"/>
                <w:color w:val="auto"/>
                <w:w w:val="70"/>
              </w:rPr>
              <w:t>-----------</w:t>
            </w:r>
          </w:p>
        </w:tc>
        <w:tc>
          <w:tcPr>
            <w:tcW w:w="92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544,745</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6,953</w:t>
            </w:r>
          </w:p>
        </w:tc>
        <w:tc>
          <w:tcPr>
            <w:tcW w:w="3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(5,931)</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545,767</w:t>
            </w:r>
          </w:p>
        </w:tc>
      </w:tr>
      <w:tr>
        <w:trPr>
          <w:trHeight w:val="167"/>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ind w:left="1120"/>
              <w:spacing w:after="0"/>
              <w:rPr>
                <w:sz w:val="20"/>
                <w:szCs w:val="20"/>
                <w:color w:val="auto"/>
              </w:rPr>
            </w:pPr>
            <w:r>
              <w:rPr>
                <w:rFonts w:ascii="Courier New" w:cs="Courier New" w:eastAsia="Courier New" w:hAnsi="Courier New"/>
                <w:sz w:val="6"/>
                <w:szCs w:val="6"/>
                <w:color w:val="auto"/>
                <w:w w:val="70"/>
              </w:rPr>
              <w:t>-----------</w:t>
            </w:r>
          </w:p>
        </w:tc>
        <w:tc>
          <w:tcPr>
            <w:tcW w:w="92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ind w:left="100"/>
              <w:spacing w:after="0"/>
              <w:rPr>
                <w:sz w:val="20"/>
                <w:szCs w:val="20"/>
                <w:color w:val="auto"/>
              </w:rPr>
            </w:pPr>
            <w:r>
              <w:rPr>
                <w:rFonts w:ascii="Courier New" w:cs="Courier New" w:eastAsia="Courier New" w:hAnsi="Courier New"/>
                <w:sz w:val="14"/>
                <w:szCs w:val="14"/>
                <w:color w:val="auto"/>
              </w:rPr>
              <w:t>Multi-family and commercial:</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70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0"/>
              </w:rPr>
              <w:t>B-rated subordinates.....................................</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38,234</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38,234</w:t>
            </w:r>
          </w:p>
        </w:tc>
      </w:tr>
      <w:tr>
        <w:trPr>
          <w:trHeight w:val="167"/>
        </w:trPr>
        <w:tc>
          <w:tcPr>
            <w:tcW w:w="470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0"/>
              </w:rPr>
              <w:t>Unrated subordinates.....................................</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3,503</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3,503</w:t>
            </w:r>
          </w:p>
        </w:tc>
      </w:tr>
      <w:tr>
        <w:trPr>
          <w:trHeight w:val="167"/>
        </w:trPr>
        <w:tc>
          <w:tcPr>
            <w:tcW w:w="470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0"/>
              </w:rPr>
              <w:t>Unrated interest-only....................................</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ind w:left="1120"/>
              <w:spacing w:after="0"/>
              <w:rPr>
                <w:sz w:val="20"/>
                <w:szCs w:val="20"/>
                <w:color w:val="auto"/>
              </w:rPr>
            </w:pPr>
            <w:r>
              <w:rPr>
                <w:rFonts w:ascii="Courier New" w:cs="Courier New" w:eastAsia="Courier New" w:hAnsi="Courier New"/>
                <w:sz w:val="6"/>
                <w:szCs w:val="6"/>
                <w:color w:val="auto"/>
                <w:w w:val="70"/>
              </w:rPr>
              <w:t>-----------</w:t>
            </w:r>
          </w:p>
        </w:tc>
        <w:tc>
          <w:tcPr>
            <w:tcW w:w="92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41,737</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3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41,751</w:t>
            </w:r>
          </w:p>
        </w:tc>
      </w:tr>
      <w:tr>
        <w:trPr>
          <w:trHeight w:val="167"/>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ind w:left="1120"/>
              <w:spacing w:after="0"/>
              <w:rPr>
                <w:sz w:val="20"/>
                <w:szCs w:val="20"/>
                <w:color w:val="auto"/>
              </w:rPr>
            </w:pPr>
            <w:r>
              <w:rPr>
                <w:rFonts w:ascii="Courier New" w:cs="Courier New" w:eastAsia="Courier New" w:hAnsi="Courier New"/>
                <w:sz w:val="6"/>
                <w:szCs w:val="6"/>
                <w:color w:val="auto"/>
                <w:w w:val="70"/>
              </w:rPr>
              <w:t>-----------</w:t>
            </w:r>
          </w:p>
        </w:tc>
        <w:tc>
          <w:tcPr>
            <w:tcW w:w="92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ind w:left="1120"/>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586,482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6,967</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(5,931)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587,518</w:t>
            </w:r>
          </w:p>
        </w:tc>
      </w:tr>
      <w:tr>
        <w:trPr>
          <w:trHeight w:val="167"/>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7040" w:type="dxa"/>
            <w:vAlign w:val="bottom"/>
            <w:gridSpan w:val="5"/>
          </w:tcPr>
          <w:p>
            <w:pPr>
              <w:ind w:left="800"/>
              <w:spacing w:after="0"/>
              <w:rPr>
                <w:sz w:val="20"/>
                <w:szCs w:val="20"/>
                <w:color w:val="auto"/>
              </w:rPr>
            </w:pPr>
            <w:r>
              <w:rPr>
                <w:rFonts w:ascii="Courier New" w:cs="Courier New" w:eastAsia="Courier New" w:hAnsi="Courier New"/>
                <w:sz w:val="14"/>
                <w:szCs w:val="14"/>
                <w:color w:val="auto"/>
              </w:rPr>
              <w:t>The amortized cost of mortgage-related securities at December 31, 1999</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7040" w:type="dxa"/>
            <w:vAlign w:val="bottom"/>
            <w:gridSpan w:val="5"/>
          </w:tcPr>
          <w:p>
            <w:pPr>
              <w:spacing w:after="0"/>
              <w:rPr>
                <w:sz w:val="20"/>
                <w:szCs w:val="20"/>
                <w:color w:val="auto"/>
              </w:rPr>
            </w:pPr>
            <w:r>
              <w:rPr>
                <w:rFonts w:ascii="Courier New" w:cs="Courier New" w:eastAsia="Courier New" w:hAnsi="Courier New"/>
                <w:sz w:val="14"/>
                <w:szCs w:val="14"/>
                <w:color w:val="auto"/>
              </w:rPr>
              <w:t>was net of unaccreted (discounts) and unamortized premiums of $(104,425).</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7040" w:type="dxa"/>
            <w:vAlign w:val="bottom"/>
            <w:gridSpan w:val="5"/>
          </w:tcPr>
          <w:p>
            <w:pPr>
              <w:ind w:left="800"/>
              <w:spacing w:after="0"/>
              <w:rPr>
                <w:sz w:val="20"/>
                <w:szCs w:val="20"/>
                <w:color w:val="auto"/>
              </w:rPr>
            </w:pPr>
            <w:r>
              <w:rPr>
                <w:rFonts w:ascii="Courier New" w:cs="Courier New" w:eastAsia="Courier New" w:hAnsi="Courier New"/>
                <w:sz w:val="14"/>
                <w:szCs w:val="14"/>
                <w:color w:val="auto"/>
              </w:rPr>
              <w:t>One security in the available for sale portfolio, which had a fair</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7040" w:type="dxa"/>
            <w:vAlign w:val="bottom"/>
            <w:gridSpan w:val="5"/>
          </w:tcPr>
          <w:p>
            <w:pPr>
              <w:spacing w:after="0"/>
              <w:rPr>
                <w:sz w:val="20"/>
                <w:szCs w:val="20"/>
                <w:color w:val="auto"/>
              </w:rPr>
            </w:pPr>
            <w:r>
              <w:rPr>
                <w:rFonts w:ascii="Courier New" w:cs="Courier New" w:eastAsia="Courier New" w:hAnsi="Courier New"/>
                <w:sz w:val="14"/>
                <w:szCs w:val="14"/>
                <w:color w:val="auto"/>
              </w:rPr>
              <w:t>value of $13,210 at December 31, 1999, was pledged as collateral to the State of</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40" w:type="dxa"/>
            <w:vAlign w:val="bottom"/>
            <w:gridSpan w:val="5"/>
          </w:tcPr>
          <w:p>
            <w:pPr>
              <w:spacing w:after="0"/>
              <w:rPr>
                <w:sz w:val="20"/>
                <w:szCs w:val="20"/>
                <w:color w:val="auto"/>
              </w:rPr>
            </w:pPr>
            <w:r>
              <w:rPr>
                <w:rFonts w:ascii="Courier New" w:cs="Courier New" w:eastAsia="Courier New" w:hAnsi="Courier New"/>
                <w:sz w:val="14"/>
                <w:szCs w:val="14"/>
                <w:color w:val="auto"/>
              </w:rPr>
              <w:t>New Jersey in connection with the Bank's sales of certificates of deposit over</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40" w:type="dxa"/>
            <w:vAlign w:val="bottom"/>
            <w:gridSpan w:val="5"/>
          </w:tcPr>
          <w:p>
            <w:pPr>
              <w:spacing w:after="0"/>
              <w:rPr>
                <w:sz w:val="20"/>
                <w:szCs w:val="20"/>
                <w:color w:val="auto"/>
              </w:rPr>
            </w:pPr>
            <w:r>
              <w:rPr>
                <w:rFonts w:ascii="Courier New" w:cs="Courier New" w:eastAsia="Courier New" w:hAnsi="Courier New"/>
                <w:sz w:val="14"/>
                <w:szCs w:val="14"/>
                <w:color w:val="auto"/>
              </w:rPr>
              <w:t>$100 to New Jersey municipalities. Mortgage-related securities with an amortized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40" w:type="dxa"/>
            <w:vAlign w:val="bottom"/>
            <w:gridSpan w:val="5"/>
          </w:tcPr>
          <w:p>
            <w:pPr>
              <w:spacing w:after="0"/>
              <w:rPr>
                <w:sz w:val="20"/>
                <w:szCs w:val="20"/>
                <w:color w:val="auto"/>
              </w:rPr>
            </w:pPr>
            <w:r>
              <w:rPr>
                <w:rFonts w:ascii="Courier New" w:cs="Courier New" w:eastAsia="Courier New" w:hAnsi="Courier New"/>
                <w:sz w:val="14"/>
                <w:szCs w:val="14"/>
                <w:color w:val="auto"/>
              </w:rPr>
              <w:t>cost of $108,234 and a fair value of $105,615 were posted as collateral for</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920" w:type="dxa"/>
            <w:vAlign w:val="bottom"/>
            <w:gridSpan w:val="3"/>
          </w:tcPr>
          <w:p>
            <w:pPr>
              <w:spacing w:after="0"/>
              <w:rPr>
                <w:sz w:val="20"/>
                <w:szCs w:val="20"/>
                <w:color w:val="auto"/>
              </w:rPr>
            </w:pPr>
            <w:r>
              <w:rPr>
                <w:rFonts w:ascii="Courier New" w:cs="Courier New" w:eastAsia="Courier New" w:hAnsi="Courier New"/>
                <w:sz w:val="14"/>
                <w:szCs w:val="14"/>
                <w:color w:val="auto"/>
              </w:rPr>
              <w:t>securities sold under agreements to repurchase at December 31, 1999.</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40" w:type="dxa"/>
            <w:vAlign w:val="bottom"/>
            <w:gridSpan w:val="5"/>
          </w:tcPr>
          <w:p>
            <w:pPr>
              <w:spacing w:after="0"/>
              <w:rPr>
                <w:sz w:val="20"/>
                <w:szCs w:val="20"/>
                <w:color w:val="auto"/>
              </w:rPr>
            </w:pPr>
            <w:r>
              <w:rPr>
                <w:rFonts w:ascii="Courier New" w:cs="Courier New" w:eastAsia="Courier New" w:hAnsi="Courier New"/>
                <w:sz w:val="14"/>
                <w:szCs w:val="14"/>
                <w:color w:val="auto"/>
              </w:rPr>
              <w:t>Collateralized mortgage obligations with a fair value of $16,240 at December 31,</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120" w:type="dxa"/>
            <w:vAlign w:val="bottom"/>
            <w:gridSpan w:val="4"/>
          </w:tcPr>
          <w:p>
            <w:pPr>
              <w:spacing w:after="0"/>
              <w:rPr>
                <w:sz w:val="20"/>
                <w:szCs w:val="20"/>
                <w:color w:val="auto"/>
              </w:rPr>
            </w:pPr>
            <w:r>
              <w:rPr>
                <w:rFonts w:ascii="Courier New" w:cs="Courier New" w:eastAsia="Courier New" w:hAnsi="Courier New"/>
                <w:sz w:val="14"/>
                <w:szCs w:val="14"/>
                <w:color w:val="auto"/>
              </w:rPr>
              <w:t>1999, were pledged as collateral to the FHLB of New York for advances.</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7040" w:type="dxa"/>
            <w:vAlign w:val="bottom"/>
            <w:gridSpan w:val="5"/>
          </w:tcPr>
          <w:p>
            <w:pPr>
              <w:ind w:left="800"/>
              <w:spacing w:after="0"/>
              <w:rPr>
                <w:sz w:val="20"/>
                <w:szCs w:val="20"/>
                <w:color w:val="auto"/>
              </w:rPr>
            </w:pPr>
            <w:r>
              <w:rPr>
                <w:rFonts w:ascii="Courier New" w:cs="Courier New" w:eastAsia="Courier New" w:hAnsi="Courier New"/>
                <w:sz w:val="14"/>
                <w:szCs w:val="14"/>
                <w:color w:val="auto"/>
              </w:rPr>
              <w:t>A profile of the maturities of securities available for sale at</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7040" w:type="dxa"/>
            <w:vAlign w:val="bottom"/>
            <w:gridSpan w:val="5"/>
          </w:tcPr>
          <w:p>
            <w:pPr>
              <w:spacing w:after="0"/>
              <w:rPr>
                <w:sz w:val="20"/>
                <w:szCs w:val="20"/>
                <w:color w:val="auto"/>
              </w:rPr>
            </w:pPr>
            <w:r>
              <w:rPr>
                <w:rFonts w:ascii="Courier New" w:cs="Courier New" w:eastAsia="Courier New" w:hAnsi="Courier New"/>
                <w:sz w:val="14"/>
                <w:szCs w:val="14"/>
                <w:color w:val="auto"/>
              </w:rPr>
              <w:t>December 31, 1999, follows. Mortgage-backed securities are included based on</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40" w:type="dxa"/>
            <w:vAlign w:val="bottom"/>
            <w:gridSpan w:val="5"/>
          </w:tcPr>
          <w:p>
            <w:pPr>
              <w:spacing w:after="0"/>
              <w:rPr>
                <w:sz w:val="20"/>
                <w:szCs w:val="20"/>
                <w:color w:val="auto"/>
              </w:rPr>
            </w:pPr>
            <w:r>
              <w:rPr>
                <w:rFonts w:ascii="Courier New" w:cs="Courier New" w:eastAsia="Courier New" w:hAnsi="Courier New"/>
                <w:sz w:val="14"/>
                <w:szCs w:val="14"/>
                <w:color w:val="auto"/>
              </w:rPr>
              <w:t>their weighted-average maturities, reflecting anticipated future prepayments.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4340" w:type="dxa"/>
            <w:vAlign w:val="bottom"/>
          </w:tcPr>
          <w:p>
            <w:pPr>
              <w:spacing w:after="0"/>
              <w:rPr>
                <w:sz w:val="24"/>
                <w:szCs w:val="24"/>
                <w:color w:val="auto"/>
              </w:rPr>
            </w:pPr>
          </w:p>
        </w:tc>
        <w:tc>
          <w:tcPr>
            <w:tcW w:w="1580" w:type="dxa"/>
            <w:vAlign w:val="bottom"/>
            <w:gridSpan w:val="2"/>
          </w:tcPr>
          <w:p>
            <w:pPr>
              <w:jc w:val="right"/>
              <w:ind w:right="304"/>
              <w:spacing w:after="0"/>
              <w:rPr>
                <w:sz w:val="20"/>
                <w:szCs w:val="20"/>
                <w:color w:val="auto"/>
              </w:rPr>
            </w:pPr>
            <w:r>
              <w:rPr>
                <w:rFonts w:ascii="Courier New" w:cs="Courier New" w:eastAsia="Courier New" w:hAnsi="Courier New"/>
                <w:sz w:val="14"/>
                <w:szCs w:val="14"/>
                <w:color w:val="auto"/>
              </w:rPr>
              <w:t>Amortized Cost</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Fair Value</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340" w:type="dxa"/>
            <w:vAlign w:val="bottom"/>
          </w:tcPr>
          <w:p>
            <w:pPr>
              <w:spacing w:after="0"/>
              <w:rPr>
                <w:sz w:val="14"/>
                <w:szCs w:val="14"/>
                <w:color w:val="auto"/>
              </w:rPr>
            </w:pPr>
          </w:p>
        </w:tc>
        <w:tc>
          <w:tcPr>
            <w:tcW w:w="1580" w:type="dxa"/>
            <w:vAlign w:val="bottom"/>
            <w:gridSpan w:val="2"/>
          </w:tcPr>
          <w:p>
            <w:pPr>
              <w:jc w:val="right"/>
              <w:ind w:right="304"/>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Due within one year............................</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4"/>
              <w:spacing w:after="0"/>
              <w:rPr>
                <w:sz w:val="20"/>
                <w:szCs w:val="20"/>
                <w:color w:val="auto"/>
              </w:rPr>
            </w:pPr>
            <w:r>
              <w:rPr>
                <w:rFonts w:ascii="Courier New" w:cs="Courier New" w:eastAsia="Courier New" w:hAnsi="Courier New"/>
                <w:sz w:val="14"/>
                <w:szCs w:val="14"/>
                <w:color w:val="auto"/>
                <w:w w:val="98"/>
              </w:rPr>
              <w:t>363,195</w:t>
            </w:r>
          </w:p>
        </w:tc>
        <w:tc>
          <w:tcPr>
            <w:tcW w:w="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363,672</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Due after 1 through 5 years....................</w:t>
            </w:r>
          </w:p>
        </w:tc>
        <w:tc>
          <w:tcPr>
            <w:tcW w:w="360" w:type="dxa"/>
            <w:vAlign w:val="bottom"/>
          </w:tcPr>
          <w:p>
            <w:pPr>
              <w:spacing w:after="0"/>
              <w:rPr>
                <w:sz w:val="14"/>
                <w:szCs w:val="14"/>
                <w:color w:val="auto"/>
              </w:rPr>
            </w:pPr>
          </w:p>
        </w:tc>
        <w:tc>
          <w:tcPr>
            <w:tcW w:w="1220" w:type="dxa"/>
            <w:vAlign w:val="bottom"/>
          </w:tcPr>
          <w:p>
            <w:pPr>
              <w:jc w:val="right"/>
              <w:ind w:right="564"/>
              <w:spacing w:after="0"/>
              <w:rPr>
                <w:sz w:val="20"/>
                <w:szCs w:val="20"/>
                <w:color w:val="auto"/>
              </w:rPr>
            </w:pPr>
            <w:r>
              <w:rPr>
                <w:rFonts w:ascii="Courier New" w:cs="Courier New" w:eastAsia="Courier New" w:hAnsi="Courier New"/>
                <w:sz w:val="14"/>
                <w:szCs w:val="14"/>
                <w:color w:val="auto"/>
                <w:w w:val="98"/>
              </w:rPr>
              <w:t>162,155</w:t>
            </w: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161,609</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Due after 5 through 10 years...................</w:t>
            </w:r>
          </w:p>
        </w:tc>
        <w:tc>
          <w:tcPr>
            <w:tcW w:w="360" w:type="dxa"/>
            <w:vAlign w:val="bottom"/>
          </w:tcPr>
          <w:p>
            <w:pPr>
              <w:spacing w:after="0"/>
              <w:rPr>
                <w:sz w:val="14"/>
                <w:szCs w:val="14"/>
                <w:color w:val="auto"/>
              </w:rPr>
            </w:pPr>
          </w:p>
        </w:tc>
        <w:tc>
          <w:tcPr>
            <w:tcW w:w="1220" w:type="dxa"/>
            <w:vAlign w:val="bottom"/>
          </w:tcPr>
          <w:p>
            <w:pPr>
              <w:jc w:val="right"/>
              <w:ind w:right="564"/>
              <w:spacing w:after="0"/>
              <w:rPr>
                <w:sz w:val="20"/>
                <w:szCs w:val="20"/>
                <w:color w:val="auto"/>
              </w:rPr>
            </w:pPr>
            <w:r>
              <w:rPr>
                <w:rFonts w:ascii="Courier New" w:cs="Courier New" w:eastAsia="Courier New" w:hAnsi="Courier New"/>
                <w:sz w:val="14"/>
                <w:szCs w:val="14"/>
                <w:color w:val="auto"/>
              </w:rPr>
              <w:t>41,993</w:t>
            </w: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43,045</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Due after 10 years.............................</w:t>
            </w:r>
          </w:p>
        </w:tc>
        <w:tc>
          <w:tcPr>
            <w:tcW w:w="360" w:type="dxa"/>
            <w:vAlign w:val="bottom"/>
          </w:tcPr>
          <w:p>
            <w:pPr>
              <w:spacing w:after="0"/>
              <w:rPr>
                <w:sz w:val="14"/>
                <w:szCs w:val="14"/>
                <w:color w:val="auto"/>
              </w:rPr>
            </w:pPr>
          </w:p>
        </w:tc>
        <w:tc>
          <w:tcPr>
            <w:tcW w:w="1220" w:type="dxa"/>
            <w:vAlign w:val="bottom"/>
          </w:tcPr>
          <w:p>
            <w:pPr>
              <w:jc w:val="right"/>
              <w:ind w:right="564"/>
              <w:spacing w:after="0"/>
              <w:rPr>
                <w:sz w:val="20"/>
                <w:szCs w:val="20"/>
                <w:color w:val="auto"/>
              </w:rPr>
            </w:pPr>
            <w:r>
              <w:rPr>
                <w:rFonts w:ascii="Courier New" w:cs="Courier New" w:eastAsia="Courier New" w:hAnsi="Courier New"/>
                <w:sz w:val="14"/>
                <w:szCs w:val="14"/>
                <w:color w:val="auto"/>
              </w:rPr>
              <w:t>19,139</w:t>
            </w:r>
          </w:p>
        </w:tc>
        <w:tc>
          <w:tcPr>
            <w:tcW w:w="2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19,192</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1580" w:type="dxa"/>
            <w:vAlign w:val="bottom"/>
            <w:gridSpan w:val="2"/>
          </w:tcPr>
          <w:p>
            <w:pPr>
              <w:jc w:val="right"/>
              <w:ind w:right="564"/>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64"/>
              <w:spacing w:after="0"/>
              <w:rPr>
                <w:sz w:val="20"/>
                <w:szCs w:val="20"/>
                <w:color w:val="auto"/>
              </w:rPr>
            </w:pPr>
            <w:r>
              <w:rPr>
                <w:rFonts w:ascii="Courier New" w:cs="Courier New" w:eastAsia="Courier New" w:hAnsi="Courier New"/>
                <w:sz w:val="14"/>
                <w:szCs w:val="14"/>
                <w:color w:val="auto"/>
                <w:w w:val="98"/>
              </w:rPr>
              <w:t>586,482</w:t>
            </w:r>
          </w:p>
        </w:tc>
        <w:tc>
          <w:tcPr>
            <w:tcW w:w="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587,518</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1580" w:type="dxa"/>
            <w:vAlign w:val="bottom"/>
            <w:gridSpan w:val="2"/>
          </w:tcPr>
          <w:p>
            <w:pPr>
              <w:jc w:val="right"/>
              <w:ind w:right="564"/>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4340" w:type="dxa"/>
            <w:vAlign w:val="bottom"/>
          </w:tcPr>
          <w:p>
            <w:pPr>
              <w:ind w:left="3400"/>
              <w:spacing w:after="0"/>
              <w:rPr>
                <w:sz w:val="20"/>
                <w:szCs w:val="20"/>
                <w:color w:val="auto"/>
              </w:rPr>
            </w:pPr>
            <w:r>
              <w:rPr>
                <w:rFonts w:ascii="Courier New" w:cs="Courier New" w:eastAsia="Courier New" w:hAnsi="Courier New"/>
                <w:sz w:val="14"/>
                <w:szCs w:val="14"/>
                <w:color w:val="auto"/>
              </w:rPr>
              <w:t>83</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860"/>
          </w:cols>
          <w:pgMar w:left="220" w:top="453" w:right="819" w:bottom="1440" w:gutter="0" w:footer="0" w:header="0"/>
        </w:sectPr>
      </w:pPr>
    </w:p>
    <w:bookmarkStart w:id="111" w:name="page112"/>
    <w:bookmarkEnd w:id="111"/>
    <w:p>
      <w:pPr>
        <w:jc w:val="center"/>
        <w:ind w:right="364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740" w:firstLine="781"/>
        <w:spacing w:after="0" w:line="255" w:lineRule="auto"/>
        <w:rPr>
          <w:sz w:val="20"/>
          <w:szCs w:val="20"/>
          <w:color w:val="auto"/>
        </w:rPr>
      </w:pPr>
      <w:r>
        <w:rPr>
          <w:rFonts w:ascii="Courier New" w:cs="Courier New" w:eastAsia="Courier New" w:hAnsi="Courier New"/>
          <w:sz w:val="14"/>
          <w:szCs w:val="14"/>
          <w:color w:val="auto"/>
        </w:rPr>
        <w:t>Gross realized gains and losses, proceeds on sales, premiums amortized against and discounts accreted to income were as follows during the periods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5220" w:type="dxa"/>
            <w:vAlign w:val="bottom"/>
          </w:tcPr>
          <w:p>
            <w:pPr>
              <w:spacing w:after="0"/>
              <w:rPr>
                <w:sz w:val="14"/>
                <w:szCs w:val="14"/>
                <w:color w:val="auto"/>
              </w:rPr>
            </w:pPr>
          </w:p>
        </w:tc>
        <w:tc>
          <w:tcPr>
            <w:tcW w:w="2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Nine Months Ended</w:t>
            </w:r>
          </w:p>
        </w:tc>
        <w:tc>
          <w:tcPr>
            <w:tcW w:w="178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3"/>
              </w:rPr>
              <w:t>----------------------------------</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220" w:type="dxa"/>
            <w:vAlign w:val="bottom"/>
          </w:tcPr>
          <w:p>
            <w:pPr>
              <w:spacing w:after="0"/>
              <w:rPr>
                <w:sz w:val="14"/>
                <w:szCs w:val="14"/>
                <w:color w:val="auto"/>
              </w:rPr>
            </w:pPr>
          </w:p>
        </w:tc>
        <w:tc>
          <w:tcPr>
            <w:tcW w:w="2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September 30, 2000</w:t>
            </w:r>
          </w:p>
        </w:tc>
        <w:tc>
          <w:tcPr>
            <w:tcW w:w="600" w:type="dxa"/>
            <w:vAlign w:val="bottom"/>
          </w:tcPr>
          <w:p>
            <w:pPr>
              <w:spacing w:after="0"/>
              <w:rPr>
                <w:sz w:val="14"/>
                <w:szCs w:val="14"/>
                <w:color w:val="auto"/>
              </w:rPr>
            </w:pPr>
          </w:p>
        </w:tc>
        <w:tc>
          <w:tcPr>
            <w:tcW w:w="1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220" w:type="dxa"/>
            <w:vAlign w:val="bottom"/>
          </w:tcPr>
          <w:p>
            <w:pPr>
              <w:spacing w:after="0"/>
              <w:rPr>
                <w:sz w:val="14"/>
                <w:szCs w:val="14"/>
                <w:color w:val="auto"/>
              </w:rPr>
            </w:pPr>
          </w:p>
        </w:tc>
        <w:tc>
          <w:tcPr>
            <w:tcW w:w="2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Gross realized gains..................................</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3,579</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6,567</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9,082</w:t>
            </w:r>
          </w:p>
        </w:tc>
      </w:tr>
      <w:tr>
        <w:trPr>
          <w:trHeight w:val="167"/>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Gross realized losses.................................</w:t>
            </w:r>
          </w:p>
        </w:tc>
        <w:tc>
          <w:tcPr>
            <w:tcW w:w="9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w:t>
            </w:r>
          </w:p>
        </w:tc>
        <w:tc>
          <w:tcPr>
            <w:tcW w:w="60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(1,517)</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(957)</w:t>
            </w:r>
          </w:p>
        </w:tc>
      </w:tr>
      <w:tr>
        <w:trPr>
          <w:trHeight w:val="167"/>
        </w:trPr>
        <w:tc>
          <w:tcPr>
            <w:tcW w:w="5220" w:type="dxa"/>
            <w:vAlign w:val="bottom"/>
          </w:tcPr>
          <w:p>
            <w:pPr>
              <w:spacing w:after="0"/>
              <w:rPr>
                <w:sz w:val="14"/>
                <w:szCs w:val="14"/>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Net realized gains (1)................................</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3,523</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5,050</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8,125</w:t>
            </w:r>
          </w:p>
        </w:tc>
      </w:tr>
      <w:tr>
        <w:trPr>
          <w:trHeight w:val="167"/>
        </w:trPr>
        <w:tc>
          <w:tcPr>
            <w:tcW w:w="5220" w:type="dxa"/>
            <w:vAlign w:val="bottom"/>
          </w:tcPr>
          <w:p>
            <w:pPr>
              <w:spacing w:after="0"/>
              <w:rPr>
                <w:sz w:val="14"/>
                <w:szCs w:val="14"/>
                <w:color w:val="auto"/>
              </w:rPr>
            </w:pPr>
          </w:p>
        </w:tc>
        <w:tc>
          <w:tcPr>
            <w:tcW w:w="20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Proceeds on sales.....................................</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553,589</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43,923</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269,828</w:t>
            </w:r>
          </w:p>
        </w:tc>
      </w:tr>
      <w:tr>
        <w:trPr>
          <w:trHeight w:val="167"/>
        </w:trPr>
        <w:tc>
          <w:tcPr>
            <w:tcW w:w="5220" w:type="dxa"/>
            <w:vAlign w:val="bottom"/>
          </w:tcPr>
          <w:p>
            <w:pPr>
              <w:spacing w:after="0"/>
              <w:rPr>
                <w:sz w:val="14"/>
                <w:szCs w:val="14"/>
                <w:color w:val="auto"/>
              </w:rPr>
            </w:pPr>
          </w:p>
        </w:tc>
        <w:tc>
          <w:tcPr>
            <w:tcW w:w="20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Net premium amortization..............................</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5,937</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11,074</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56,487</w:t>
            </w:r>
          </w:p>
        </w:tc>
      </w:tr>
      <w:tr>
        <w:trPr>
          <w:trHeight w:val="167"/>
        </w:trPr>
        <w:tc>
          <w:tcPr>
            <w:tcW w:w="5220" w:type="dxa"/>
            <w:vAlign w:val="bottom"/>
          </w:tcPr>
          <w:p>
            <w:pPr>
              <w:spacing w:after="0"/>
              <w:rPr>
                <w:sz w:val="14"/>
                <w:szCs w:val="14"/>
                <w:color w:val="auto"/>
              </w:rPr>
            </w:pPr>
          </w:p>
        </w:tc>
        <w:tc>
          <w:tcPr>
            <w:tcW w:w="20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740" w:hanging="431"/>
        <w:spacing w:after="0" w:line="255" w:lineRule="auto"/>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impairment charges incurred during 2000, 1999 and 1998 related to AAA-rated agency interest-only securities, subordinates and subprime residual securities.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LOANS AVAILABLE FOR SALE</w:t>
      </w:r>
    </w:p>
    <w:p>
      <w:pPr>
        <w:spacing w:after="0" w:line="175" w:lineRule="exact"/>
        <w:rPr>
          <w:sz w:val="20"/>
          <w:szCs w:val="20"/>
          <w:color w:val="auto"/>
        </w:rPr>
      </w:pPr>
    </w:p>
    <w:p>
      <w:pPr>
        <w:ind w:right="4160" w:firstLine="434"/>
        <w:spacing w:after="0" w:line="258" w:lineRule="auto"/>
        <w:rPr>
          <w:sz w:val="20"/>
          <w:szCs w:val="20"/>
          <w:color w:val="auto"/>
        </w:rPr>
      </w:pPr>
      <w:r>
        <w:rPr>
          <w:rFonts w:ascii="Courier New" w:cs="Courier New" w:eastAsia="Courier New" w:hAnsi="Courier New"/>
          <w:sz w:val="14"/>
          <w:szCs w:val="14"/>
          <w:color w:val="auto"/>
        </w:rPr>
        <w:t>The following table sets forth the composition of the Company's loans available for sale by type of loan at December 31: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Carrying Value</w:t>
            </w:r>
          </w:p>
        </w:tc>
      </w:tr>
      <w:tr>
        <w:trPr>
          <w:trHeight w:val="167"/>
        </w:trPr>
        <w:tc>
          <w:tcPr>
            <w:tcW w:w="426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68"/>
              <w:spacing w:after="0"/>
              <w:rPr>
                <w:sz w:val="20"/>
                <w:szCs w:val="20"/>
                <w:color w:val="auto"/>
              </w:rPr>
            </w:pPr>
            <w:r>
              <w:rPr>
                <w:rFonts w:ascii="Courier New" w:cs="Courier New" w:eastAsia="Courier New" w:hAnsi="Courier New"/>
                <w:sz w:val="14"/>
                <w:szCs w:val="14"/>
                <w:color w:val="auto"/>
                <w:w w:val="95"/>
              </w:rPr>
              <w:t>2000</w:t>
            </w:r>
          </w:p>
        </w:tc>
        <w:tc>
          <w:tcPr>
            <w:tcW w:w="4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26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Loan type:</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Single family residential...................</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10,559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45,084</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Consumer....................................</w:t>
            </w:r>
          </w:p>
        </w:tc>
        <w:tc>
          <w:tcPr>
            <w:tcW w:w="5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7"/>
        </w:trPr>
        <w:tc>
          <w:tcPr>
            <w:tcW w:w="426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Total loans available for sale..............</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10,610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45,213</w:t>
            </w:r>
          </w:p>
        </w:tc>
      </w:tr>
      <w:tr>
        <w:trPr>
          <w:trHeight w:val="167"/>
        </w:trPr>
        <w:tc>
          <w:tcPr>
            <w:tcW w:w="426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640" w:firstLine="781"/>
        <w:spacing w:after="0" w:line="254" w:lineRule="auto"/>
        <w:rPr>
          <w:sz w:val="20"/>
          <w:szCs w:val="20"/>
          <w:color w:val="auto"/>
        </w:rPr>
      </w:pPr>
      <w:r>
        <w:rPr>
          <w:rFonts w:ascii="Courier New" w:cs="Courier New" w:eastAsia="Courier New" w:hAnsi="Courier New"/>
          <w:sz w:val="14"/>
          <w:szCs w:val="14"/>
          <w:color w:val="auto"/>
        </w:rPr>
        <w:t>The loans available for sale portfolio is secured by mortgages on property located throughout the United States. The following table sets forth the five states in which the largest amount of properties securing the Company's loans available for sale were located at December 31, 2000: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Single family</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Residential</w:t>
            </w:r>
          </w:p>
        </w:tc>
        <w:tc>
          <w:tcPr>
            <w:tcW w:w="2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Consumer</w:t>
            </w:r>
          </w:p>
        </w:tc>
        <w:tc>
          <w:tcPr>
            <w:tcW w:w="3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78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New Jersey....................</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4,787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4,787</w:t>
            </w:r>
          </w:p>
        </w:tc>
      </w:tr>
      <w:tr>
        <w:trPr>
          <w:trHeight w:val="167"/>
        </w:trPr>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Michigan......................</w:t>
            </w:r>
          </w:p>
        </w:tc>
        <w:tc>
          <w:tcPr>
            <w:tcW w:w="7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1,420</w:t>
            </w:r>
          </w:p>
        </w:tc>
        <w:tc>
          <w:tcPr>
            <w:tcW w:w="2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1,420</w:t>
            </w:r>
          </w:p>
        </w:tc>
      </w:tr>
      <w:tr>
        <w:trPr>
          <w:trHeight w:val="167"/>
        </w:trPr>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Florida.......................</w:t>
            </w:r>
          </w:p>
        </w:tc>
        <w:tc>
          <w:tcPr>
            <w:tcW w:w="7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876</w:t>
            </w:r>
          </w:p>
        </w:tc>
        <w:tc>
          <w:tcPr>
            <w:tcW w:w="2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908</w:t>
            </w:r>
          </w:p>
        </w:tc>
      </w:tr>
      <w:tr>
        <w:trPr>
          <w:trHeight w:val="167"/>
        </w:trPr>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Ohio..........................</w:t>
            </w:r>
          </w:p>
        </w:tc>
        <w:tc>
          <w:tcPr>
            <w:tcW w:w="7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725</w:t>
            </w:r>
          </w:p>
        </w:tc>
        <w:tc>
          <w:tcPr>
            <w:tcW w:w="2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725</w:t>
            </w:r>
          </w:p>
        </w:tc>
      </w:tr>
      <w:tr>
        <w:trPr>
          <w:trHeight w:val="167"/>
        </w:trPr>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Connecticut...................</w:t>
            </w:r>
          </w:p>
        </w:tc>
        <w:tc>
          <w:tcPr>
            <w:tcW w:w="7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714</w:t>
            </w:r>
          </w:p>
        </w:tc>
        <w:tc>
          <w:tcPr>
            <w:tcW w:w="2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714</w:t>
            </w:r>
          </w:p>
        </w:tc>
      </w:tr>
      <w:tr>
        <w:trPr>
          <w:trHeight w:val="167"/>
        </w:trPr>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(1).....................</w:t>
            </w:r>
          </w:p>
        </w:tc>
        <w:tc>
          <w:tcPr>
            <w:tcW w:w="7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2,037</w:t>
            </w:r>
          </w:p>
        </w:tc>
        <w:tc>
          <w:tcPr>
            <w:tcW w:w="2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2,056</w:t>
            </w:r>
          </w:p>
        </w:tc>
      </w:tr>
      <w:tr>
        <w:trPr>
          <w:trHeight w:val="167"/>
        </w:trPr>
        <w:tc>
          <w:tcPr>
            <w:tcW w:w="278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10,559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10,610</w:t>
            </w:r>
          </w:p>
        </w:tc>
      </w:tr>
      <w:tr>
        <w:trPr>
          <w:trHeight w:val="167"/>
        </w:trPr>
        <w:tc>
          <w:tcPr>
            <w:tcW w:w="278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640" w:hanging="431"/>
        <w:spacing w:after="0" w:line="258"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properties located in 17 other states, none of which aggregated over $700 in any one state.</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600"/>
          </w:cols>
          <w:pgMar w:left="220" w:top="453" w:right="1079" w:bottom="1440" w:gutter="0" w:footer="0" w:header="0"/>
        </w:sectPr>
      </w:pPr>
    </w:p>
    <w:bookmarkStart w:id="112" w:name="page113"/>
    <w:bookmarkEnd w:id="112"/>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following table presents a summary of the Company's non-performing loans (loans which were past due 90 days or more) in the loans available for sale portfolio at December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2000</w:t>
            </w:r>
          </w:p>
        </w:tc>
        <w:tc>
          <w:tcPr>
            <w:tcW w:w="3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340" w:type="dxa"/>
            <w:vAlign w:val="bottom"/>
          </w:tcPr>
          <w:p>
            <w:pPr>
              <w:spacing w:after="0"/>
              <w:rPr>
                <w:sz w:val="14"/>
                <w:szCs w:val="14"/>
                <w:color w:val="auto"/>
              </w:rPr>
            </w:pPr>
          </w:p>
        </w:tc>
        <w:tc>
          <w:tcPr>
            <w:tcW w:w="13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Non-performing loans: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Single family ................................</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15,319</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Consumer......................................</w:t>
            </w:r>
          </w:p>
        </w:tc>
        <w:tc>
          <w:tcPr>
            <w:tcW w:w="4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r>
      <w:tr>
        <w:trPr>
          <w:trHeight w:val="167"/>
        </w:trPr>
        <w:tc>
          <w:tcPr>
            <w:tcW w:w="4340" w:type="dxa"/>
            <w:vAlign w:val="bottom"/>
          </w:tcPr>
          <w:p>
            <w:pPr>
              <w:spacing w:after="0"/>
              <w:rPr>
                <w:sz w:val="14"/>
                <w:szCs w:val="14"/>
                <w:color w:val="auto"/>
              </w:rPr>
            </w:pPr>
          </w:p>
        </w:tc>
        <w:tc>
          <w:tcPr>
            <w:tcW w:w="13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15,320</w:t>
            </w:r>
          </w:p>
        </w:tc>
      </w:tr>
      <w:tr>
        <w:trPr>
          <w:trHeight w:val="167"/>
        </w:trPr>
        <w:tc>
          <w:tcPr>
            <w:tcW w:w="4340" w:type="dxa"/>
            <w:vAlign w:val="bottom"/>
          </w:tcPr>
          <w:p>
            <w:pPr>
              <w:spacing w:after="0"/>
              <w:rPr>
                <w:sz w:val="14"/>
                <w:szCs w:val="14"/>
                <w:color w:val="auto"/>
              </w:rPr>
            </w:pPr>
          </w:p>
        </w:tc>
        <w:tc>
          <w:tcPr>
            <w:tcW w:w="13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Non-performing loans as a percentage of:</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Total loans available for sale................</w:t>
            </w:r>
          </w:p>
        </w:tc>
        <w:tc>
          <w:tcPr>
            <w:tcW w:w="4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22.68%</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33.88%</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4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0.47%</w:t>
            </w:r>
          </w:p>
        </w:tc>
      </w:tr>
    </w:tbl>
    <w:p>
      <w:pPr>
        <w:spacing w:after="0" w:line="171"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non-accrual loans had been current in accordance with their original terms, interest income for the years ended December 31, 2000 and 1999 would have been greater by approximately $308 and $1,863, respectively. No interest has been accrued on loans greater than 89 days past due.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LOAN PORTFOLIO</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The Company's loan portfolio consisted of the following at December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Carrying Value</w:t>
            </w:r>
          </w:p>
        </w:tc>
      </w:tr>
      <w:tr>
        <w:trPr>
          <w:trHeight w:val="167"/>
        </w:trPr>
        <w:tc>
          <w:tcPr>
            <w:tcW w:w="3400" w:type="dxa"/>
            <w:vAlign w:val="bottom"/>
          </w:tcPr>
          <w:p>
            <w:pPr>
              <w:spacing w:after="0"/>
              <w:rPr>
                <w:sz w:val="14"/>
                <w:szCs w:val="14"/>
                <w:color w:val="auto"/>
              </w:rPr>
            </w:pPr>
          </w:p>
        </w:tc>
        <w:tc>
          <w:tcPr>
            <w:tcW w:w="34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2000</w:t>
            </w:r>
          </w:p>
        </w:tc>
        <w:tc>
          <w:tcPr>
            <w:tcW w:w="3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400" w:type="dxa"/>
            <w:vAlign w:val="bottom"/>
          </w:tcPr>
          <w:p>
            <w:pPr>
              <w:spacing w:after="0"/>
              <w:rPr>
                <w:sz w:val="14"/>
                <w:szCs w:val="14"/>
                <w:color w:val="auto"/>
              </w:rPr>
            </w:pPr>
          </w:p>
        </w:tc>
        <w:tc>
          <w:tcPr>
            <w:tcW w:w="2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LOAN TYPE:</w:t>
            </w: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w w:val="80"/>
              </w:rPr>
              <w:t>Single family residential.........................</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4,334</w:t>
            </w:r>
          </w:p>
        </w:tc>
      </w:tr>
      <w:tr>
        <w:trPr>
          <w:trHeight w:val="167"/>
        </w:trPr>
        <w:tc>
          <w:tcPr>
            <w:tcW w:w="3400" w:type="dxa"/>
            <w:vAlign w:val="bottom"/>
          </w:tcPr>
          <w:p>
            <w:pPr>
              <w:spacing w:after="0"/>
              <w:rPr>
                <w:sz w:val="14"/>
                <w:szCs w:val="14"/>
                <w:color w:val="auto"/>
              </w:rPr>
            </w:pPr>
          </w:p>
        </w:tc>
        <w:tc>
          <w:tcPr>
            <w:tcW w:w="2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Multi-family residential:</w:t>
            </w: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9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Permanent.......................................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6,083</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23,430</w:t>
            </w:r>
          </w:p>
        </w:tc>
      </w:tr>
      <w:tr>
        <w:trPr>
          <w:trHeight w:val="167"/>
        </w:trPr>
        <w:tc>
          <w:tcPr>
            <w:tcW w:w="49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Construction....................................</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39,123</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57,526</w:t>
            </w:r>
          </w:p>
        </w:tc>
      </w:tr>
      <w:tr>
        <w:trPr>
          <w:trHeight w:val="167"/>
        </w:trPr>
        <w:tc>
          <w:tcPr>
            <w:tcW w:w="3400" w:type="dxa"/>
            <w:vAlign w:val="bottom"/>
          </w:tcPr>
          <w:p>
            <w:pPr>
              <w:spacing w:after="0"/>
              <w:rPr>
                <w:sz w:val="14"/>
                <w:szCs w:val="14"/>
                <w:color w:val="auto"/>
              </w:rPr>
            </w:pPr>
          </w:p>
        </w:tc>
        <w:tc>
          <w:tcPr>
            <w:tcW w:w="2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Total multi-family residential..................</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45,206</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80,956</w:t>
            </w:r>
          </w:p>
        </w:tc>
      </w:tr>
      <w:tr>
        <w:trPr>
          <w:trHeight w:val="167"/>
        </w:trPr>
        <w:tc>
          <w:tcPr>
            <w:tcW w:w="3400" w:type="dxa"/>
            <w:vAlign w:val="bottom"/>
          </w:tcPr>
          <w:p>
            <w:pPr>
              <w:spacing w:after="0"/>
              <w:rPr>
                <w:sz w:val="14"/>
                <w:szCs w:val="14"/>
                <w:color w:val="auto"/>
              </w:rPr>
            </w:pPr>
          </w:p>
        </w:tc>
        <w:tc>
          <w:tcPr>
            <w:tcW w:w="2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Commercial real estate:</w:t>
            </w: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9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Hotel Construction..............................</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38,153</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38,349</w:t>
            </w:r>
          </w:p>
        </w:tc>
      </w:tr>
      <w:tr>
        <w:trPr>
          <w:trHeight w:val="167"/>
        </w:trPr>
        <w:tc>
          <w:tcPr>
            <w:tcW w:w="49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Office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20,817</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64,745</w:t>
            </w:r>
          </w:p>
        </w:tc>
      </w:tr>
      <w:tr>
        <w:trPr>
          <w:trHeight w:val="167"/>
        </w:trPr>
        <w:tc>
          <w:tcPr>
            <w:tcW w:w="49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Land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2,238</w:t>
            </w:r>
          </w:p>
        </w:tc>
      </w:tr>
      <w:tr>
        <w:trPr>
          <w:trHeight w:val="167"/>
        </w:trPr>
        <w:tc>
          <w:tcPr>
            <w:tcW w:w="3400" w:type="dxa"/>
            <w:vAlign w:val="bottom"/>
          </w:tcPr>
          <w:p>
            <w:pPr>
              <w:spacing w:after="0"/>
              <w:rPr>
                <w:sz w:val="14"/>
                <w:szCs w:val="14"/>
                <w:color w:val="auto"/>
              </w:rPr>
            </w:pPr>
          </w:p>
        </w:tc>
        <w:tc>
          <w:tcPr>
            <w:tcW w:w="2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Total commercial real estate..................</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58,971</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105,332</w:t>
            </w:r>
          </w:p>
        </w:tc>
      </w:tr>
      <w:tr>
        <w:trPr>
          <w:trHeight w:val="167"/>
        </w:trPr>
        <w:tc>
          <w:tcPr>
            <w:tcW w:w="3400" w:type="dxa"/>
            <w:vAlign w:val="bottom"/>
          </w:tcPr>
          <w:p>
            <w:pPr>
              <w:spacing w:after="0"/>
              <w:rPr>
                <w:sz w:val="14"/>
                <w:szCs w:val="14"/>
                <w:color w:val="auto"/>
              </w:rPr>
            </w:pPr>
          </w:p>
        </w:tc>
        <w:tc>
          <w:tcPr>
            <w:tcW w:w="2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Other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w:t>
            </w:r>
          </w:p>
        </w:tc>
      </w:tr>
      <w:tr>
        <w:trPr>
          <w:trHeight w:val="167"/>
        </w:trPr>
        <w:tc>
          <w:tcPr>
            <w:tcW w:w="3400" w:type="dxa"/>
            <w:vAlign w:val="bottom"/>
          </w:tcPr>
          <w:p>
            <w:pPr>
              <w:spacing w:after="0"/>
              <w:rPr>
                <w:sz w:val="14"/>
                <w:szCs w:val="14"/>
                <w:color w:val="auto"/>
              </w:rPr>
            </w:pPr>
          </w:p>
        </w:tc>
        <w:tc>
          <w:tcPr>
            <w:tcW w:w="2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Total loans...................................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105,073</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190,704</w:t>
            </w:r>
          </w:p>
        </w:tc>
      </w:tr>
      <w:tr>
        <w:trPr>
          <w:trHeight w:val="167"/>
        </w:trPr>
        <w:tc>
          <w:tcPr>
            <w:tcW w:w="49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Undisbursed loan funds............................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(8,879)</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(24,654)</w:t>
            </w:r>
          </w:p>
        </w:tc>
      </w:tr>
      <w:tr>
        <w:trPr>
          <w:trHeight w:val="167"/>
        </w:trPr>
        <w:tc>
          <w:tcPr>
            <w:tcW w:w="49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Unamortized deferred fees.........................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(372)</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(1,383)</w:t>
            </w:r>
          </w:p>
        </w:tc>
      </w:tr>
      <w:tr>
        <w:trPr>
          <w:trHeight w:val="167"/>
        </w:trPr>
        <w:tc>
          <w:tcPr>
            <w:tcW w:w="49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Allowance for loan losses.........................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(2,408)</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(7,259)</w:t>
            </w:r>
          </w:p>
        </w:tc>
      </w:tr>
      <w:tr>
        <w:trPr>
          <w:trHeight w:val="167"/>
        </w:trPr>
        <w:tc>
          <w:tcPr>
            <w:tcW w:w="3400" w:type="dxa"/>
            <w:vAlign w:val="bottom"/>
          </w:tcPr>
          <w:p>
            <w:pPr>
              <w:spacing w:after="0"/>
              <w:rPr>
                <w:sz w:val="14"/>
                <w:szCs w:val="14"/>
                <w:color w:val="auto"/>
              </w:rPr>
            </w:pPr>
          </w:p>
        </w:tc>
        <w:tc>
          <w:tcPr>
            <w:tcW w:w="2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w w:val="78"/>
              </w:rPr>
              <w:t>Loans, net....................................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93,414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157,408</w:t>
            </w:r>
          </w:p>
        </w:tc>
      </w:tr>
      <w:tr>
        <w:trPr>
          <w:trHeight w:val="167"/>
        </w:trPr>
        <w:tc>
          <w:tcPr>
            <w:tcW w:w="3400" w:type="dxa"/>
            <w:vAlign w:val="bottom"/>
          </w:tcPr>
          <w:p>
            <w:pPr>
              <w:spacing w:after="0"/>
              <w:rPr>
                <w:sz w:val="14"/>
                <w:szCs w:val="14"/>
                <w:color w:val="auto"/>
              </w:rPr>
            </w:pPr>
          </w:p>
        </w:tc>
        <w:tc>
          <w:tcPr>
            <w:tcW w:w="2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4"/>
                <w:szCs w:val="24"/>
                <w:color w:val="auto"/>
              </w:rPr>
            </w:pPr>
          </w:p>
        </w:tc>
        <w:tc>
          <w:tcPr>
            <w:tcW w:w="1560" w:type="dxa"/>
            <w:vAlign w:val="bottom"/>
          </w:tcPr>
          <w:p>
            <w:pPr>
              <w:jc w:val="right"/>
              <w:ind w:right="1328"/>
              <w:spacing w:after="0"/>
              <w:rPr>
                <w:sz w:val="20"/>
                <w:szCs w:val="20"/>
                <w:color w:val="auto"/>
              </w:rPr>
            </w:pPr>
            <w:r>
              <w:rPr>
                <w:rFonts w:ascii="Courier New" w:cs="Courier New" w:eastAsia="Courier New" w:hAnsi="Courier New"/>
                <w:sz w:val="14"/>
                <w:szCs w:val="14"/>
                <w:color w:val="auto"/>
                <w:w w:val="83"/>
              </w:rPr>
              <w:t>85</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113" w:name="page114"/>
    <w:bookmarkEnd w:id="113"/>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following table presents a summary of the Company's non-performing loans, allowance for loan losses and significant ratios for its loan portfolio at and for the years ended December 31:</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2000</w:t>
            </w:r>
          </w:p>
        </w:tc>
        <w:tc>
          <w:tcPr>
            <w:tcW w:w="4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48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NON-PERFORMING LOANS: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Single family residential...................................</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982</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1,169</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Multi-family residential....................................</w:t>
            </w:r>
          </w:p>
        </w:tc>
        <w:tc>
          <w:tcPr>
            <w:tcW w:w="52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13,373</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11,037</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7,392</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Commercial real estate and other............................</w:t>
            </w:r>
          </w:p>
        </w:tc>
        <w:tc>
          <w:tcPr>
            <w:tcW w:w="52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4,581</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19,360</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w:t>
            </w:r>
          </w:p>
        </w:tc>
      </w:tr>
      <w:tr>
        <w:trPr>
          <w:trHeight w:val="167"/>
        </w:trPr>
        <w:tc>
          <w:tcPr>
            <w:tcW w:w="548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8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18,270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31,379</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9,049</w:t>
            </w:r>
          </w:p>
        </w:tc>
      </w:tr>
      <w:tr>
        <w:trPr>
          <w:trHeight w:val="167"/>
        </w:trPr>
        <w:tc>
          <w:tcPr>
            <w:tcW w:w="548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Balance, beginning of year..................................</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7,259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4,928</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3,695</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52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1,636</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891</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5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(4,855)</w:t>
            </w:r>
          </w:p>
        </w:tc>
        <w:tc>
          <w:tcPr>
            <w:tcW w:w="4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52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561</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Acquired allowance (OAC acquisition)........................</w:t>
            </w:r>
          </w:p>
        </w:tc>
        <w:tc>
          <w:tcPr>
            <w:tcW w:w="52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703</w:t>
            </w:r>
          </w:p>
        </w:tc>
        <w:tc>
          <w:tcPr>
            <w:tcW w:w="4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8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Balance, end of year........................................</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2,408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7,259</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4,928</w:t>
            </w:r>
          </w:p>
        </w:tc>
      </w:tr>
      <w:tr>
        <w:trPr>
          <w:trHeight w:val="167"/>
        </w:trPr>
        <w:tc>
          <w:tcPr>
            <w:tcW w:w="5480" w:type="dxa"/>
            <w:vAlign w:val="bottom"/>
          </w:tcPr>
          <w:p>
            <w:pPr>
              <w:spacing w:after="0"/>
              <w:rPr>
                <w:sz w:val="14"/>
                <w:szCs w:val="14"/>
                <w:color w:val="auto"/>
              </w:rPr>
            </w:pP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SIGNIFICANT RATIOS: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Non-performing loans as a percentage of:</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Total loans..............................................</w:t>
            </w:r>
          </w:p>
        </w:tc>
        <w:tc>
          <w:tcPr>
            <w:tcW w:w="5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19.07%</w:t>
            </w:r>
          </w:p>
        </w:tc>
        <w:tc>
          <w:tcPr>
            <w:tcW w:w="4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19.06%</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3.85%</w:t>
            </w: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5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0.81%</w:t>
            </w:r>
          </w:p>
        </w:tc>
        <w:tc>
          <w:tcPr>
            <w:tcW w:w="4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0.96%</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Allowance for loan losses as a percentage of:</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Total loans..............................................</w:t>
            </w:r>
          </w:p>
        </w:tc>
        <w:tc>
          <w:tcPr>
            <w:tcW w:w="5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w:t>
            </w:r>
          </w:p>
        </w:tc>
        <w:tc>
          <w:tcPr>
            <w:tcW w:w="4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4.41%</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2.09%</w:t>
            </w: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Non-performing loans.....................................</w:t>
            </w:r>
          </w:p>
        </w:tc>
        <w:tc>
          <w:tcPr>
            <w:tcW w:w="5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13.18%</w:t>
            </w:r>
          </w:p>
        </w:tc>
        <w:tc>
          <w:tcPr>
            <w:tcW w:w="4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23.13%</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54.46%</w:t>
            </w:r>
          </w:p>
        </w:tc>
      </w:tr>
    </w:tbl>
    <w:p>
      <w:pPr>
        <w:spacing w:after="0" w:line="33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non-accrual loans had been current in accordance with their original terms, interest income for the years ended December 31, 2000, 1999 and 1998, would have been greater by approximately $1,919, $1,139 and $284, respectively. No interest has been accrued on loans greater than 89 days past due.</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At December 31, 2000, the Company had five commercial loans with an aggregate carrying value of $1,877, net of allowance for loan losses of $361, which were impaired. The average carrying value of impaired loans for the year ended December 31, 2000 was $8,988. At December 31, 1999, the Company had two commercial loans with an aggregate carrying value of $1,793, net of allowance for loan losses of $1,982, which were impaired.</w:t>
      </w:r>
    </w:p>
    <w:p>
      <w:pPr>
        <w:spacing w:after="0" w:line="165"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The following table sets forth the geographic distribution of properties securing the Company's non-accrual loans in the loan portfolio at December 31, 2000: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Single Family</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Multi-family</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Commercial</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Residential</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Residential</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Real Estate</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7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Texas..............</w:t>
            </w: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5,500</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5,500</w:t>
            </w:r>
          </w:p>
        </w:tc>
      </w:tr>
      <w:tr>
        <w:trPr>
          <w:trHeight w:val="167"/>
        </w:trPr>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California.........</w:t>
            </w:r>
          </w:p>
        </w:tc>
        <w:tc>
          <w:tcPr>
            <w:tcW w:w="9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3,304</w:t>
            </w:r>
          </w:p>
        </w:tc>
        <w:tc>
          <w:tcPr>
            <w:tcW w:w="4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3,305</w:t>
            </w:r>
          </w:p>
        </w:tc>
      </w:tr>
      <w:tr>
        <w:trPr>
          <w:trHeight w:val="167"/>
        </w:trPr>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New York...........</w:t>
            </w:r>
          </w:p>
        </w:tc>
        <w:tc>
          <w:tcPr>
            <w:tcW w:w="9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2,724</w:t>
            </w:r>
          </w:p>
        </w:tc>
        <w:tc>
          <w:tcPr>
            <w:tcW w:w="4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329</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3,053</w:t>
            </w:r>
          </w:p>
        </w:tc>
      </w:tr>
      <w:tr>
        <w:trPr>
          <w:trHeight w:val="167"/>
        </w:trPr>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Florida............</w:t>
            </w:r>
          </w:p>
        </w:tc>
        <w:tc>
          <w:tcPr>
            <w:tcW w:w="9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2,850</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2,850</w:t>
            </w:r>
          </w:p>
        </w:tc>
      </w:tr>
      <w:tr>
        <w:trPr>
          <w:trHeight w:val="167"/>
        </w:trPr>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Michigan...........</w:t>
            </w:r>
          </w:p>
        </w:tc>
        <w:tc>
          <w:tcPr>
            <w:tcW w:w="9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1,040</w:t>
            </w:r>
          </w:p>
        </w:tc>
        <w:tc>
          <w:tcPr>
            <w:tcW w:w="4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1,082</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2,122</w:t>
            </w:r>
          </w:p>
        </w:tc>
      </w:tr>
      <w:tr>
        <w:trPr>
          <w:trHeight w:val="167"/>
        </w:trPr>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(1)..........</w:t>
            </w:r>
          </w:p>
        </w:tc>
        <w:tc>
          <w:tcPr>
            <w:tcW w:w="9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316</w:t>
            </w:r>
          </w:p>
        </w:tc>
        <w:tc>
          <w:tcPr>
            <w:tcW w:w="5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805</w:t>
            </w:r>
          </w:p>
        </w:tc>
        <w:tc>
          <w:tcPr>
            <w:tcW w:w="4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1,440</w:t>
            </w:r>
          </w:p>
        </w:tc>
      </w:tr>
      <w:tr>
        <w:trPr>
          <w:trHeight w:val="167"/>
        </w:trPr>
        <w:tc>
          <w:tcPr>
            <w:tcW w:w="17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w:t>
            </w: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316</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13,373</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4,581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18,270</w:t>
            </w:r>
          </w:p>
        </w:tc>
      </w:tr>
      <w:tr>
        <w:trPr>
          <w:trHeight w:val="167"/>
        </w:trPr>
        <w:tc>
          <w:tcPr>
            <w:tcW w:w="178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114" w:name="page115"/>
    <w:bookmarkEnd w:id="114"/>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loan portfolio is secured by mortgages on properties located throughout the United States. The following table sets forth the five states in which the largest amount of properties securing the Company's loans were located at December 31, 2000:</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Single Family</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Multi-family</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Commercial</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Residential</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Residential</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Real Estate</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Consumer</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New York...........</w:t>
            </w: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157</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4,237</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18,045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22,439</w:t>
            </w:r>
          </w:p>
        </w:tc>
      </w:tr>
      <w:tr>
        <w:trPr>
          <w:trHeight w:val="167"/>
        </w:trPr>
        <w:tc>
          <w:tcPr>
            <w:tcW w:w="1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California.........</w:t>
            </w:r>
          </w:p>
        </w:tc>
        <w:tc>
          <w:tcPr>
            <w:tcW w:w="9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22,083</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22,084</w:t>
            </w:r>
          </w:p>
        </w:tc>
      </w:tr>
      <w:tr>
        <w:trPr>
          <w:trHeight w:val="167"/>
        </w:trPr>
        <w:tc>
          <w:tcPr>
            <w:tcW w:w="1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Delaware...........</w:t>
            </w:r>
          </w:p>
        </w:tc>
        <w:tc>
          <w:tcPr>
            <w:tcW w:w="9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429</w:t>
            </w:r>
          </w:p>
        </w:tc>
        <w:tc>
          <w:tcPr>
            <w:tcW w:w="5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12,883</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13,312</w:t>
            </w:r>
          </w:p>
        </w:tc>
      </w:tr>
      <w:tr>
        <w:trPr>
          <w:trHeight w:val="167"/>
        </w:trPr>
        <w:tc>
          <w:tcPr>
            <w:tcW w:w="1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Virginia...........</w:t>
            </w:r>
          </w:p>
        </w:tc>
        <w:tc>
          <w:tcPr>
            <w:tcW w:w="9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7,650</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7,650</w:t>
            </w:r>
          </w:p>
        </w:tc>
      </w:tr>
      <w:tr>
        <w:trPr>
          <w:trHeight w:val="167"/>
        </w:trPr>
        <w:tc>
          <w:tcPr>
            <w:tcW w:w="1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Illinois...........</w:t>
            </w:r>
          </w:p>
        </w:tc>
        <w:tc>
          <w:tcPr>
            <w:tcW w:w="9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7,555</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7,555</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9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262</w:t>
            </w:r>
          </w:p>
        </w:tc>
        <w:tc>
          <w:tcPr>
            <w:tcW w:w="5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18,886</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12,837</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32,033</w:t>
            </w:r>
          </w:p>
        </w:tc>
      </w:tr>
      <w:tr>
        <w:trPr>
          <w:trHeight w:val="167"/>
        </w:trPr>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Total...........</w:t>
            </w: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848</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45,206</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58,971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105,073</w:t>
            </w:r>
          </w:p>
        </w:tc>
      </w:tr>
      <w:tr>
        <w:trPr>
          <w:trHeight w:val="167"/>
        </w:trPr>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right="3899" w:hanging="791"/>
        <w:spacing w:after="0" w:line="258" w:lineRule="auto"/>
        <w:tabs>
          <w:tab w:leader="none" w:pos="8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properties located in 11 other states, none of which aggregated over $7,513 in any one state.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DISCOUNT LOAN PORTFOLIO</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has acquired, through private sales and auctions, mortgage loans at a discount because the borrowers are either not current as to principal and interest payments, or there is doubt as to the borrowers' ability to pay in full the contractual principal and interest. The Company estimates the amounts it will realize through foreclosure, collection efforts or other resolution of each loan and the length of time required to complete the collection process in determining the amounts it will bid to acquire such loans.</w:t>
      </w:r>
    </w:p>
    <w:p>
      <w:pPr>
        <w:spacing w:after="0" w:line="16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The resolution alternatives applied to the discount loan portfolio are:</w:t>
      </w:r>
    </w:p>
    <w:p>
      <w:pPr>
        <w:spacing w:after="0" w:line="8" w:lineRule="exact"/>
        <w:rPr>
          <w:sz w:val="20"/>
          <w:szCs w:val="20"/>
          <w:color w:val="auto"/>
        </w:rPr>
      </w:pPr>
    </w:p>
    <w:p>
      <w:pPr>
        <w:ind w:right="3279" w:firstLine="9"/>
        <w:spacing w:after="0" w:line="253" w:lineRule="auto"/>
        <w:tabs>
          <w:tab w:leader="none" w:pos="34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brings the loan current in accordance with original or modified terms; (ii) the borrower repays the loan or a negotiated amount; (iii) the borrower agrees to a deed-in-lieu of foreclosure, in which case it is classified as real estate owned and held for sale by the Company and (iv) the Company forecloses on the loan and the property is either acquired at the foreclosure sale by a third-party or by the Company, in which case it is classified as real estate owned and held for sale. Upon receipt of title to the property, the loans are transferred to real estate owned.</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Company's discount loan portfolio consists of the following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2000</w:t>
            </w:r>
          </w:p>
        </w:tc>
        <w:tc>
          <w:tcPr>
            <w:tcW w:w="26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400" w:type="dxa"/>
            <w:vAlign w:val="bottom"/>
          </w:tcPr>
          <w:p>
            <w:pPr>
              <w:spacing w:after="0"/>
              <w:rPr>
                <w:sz w:val="14"/>
                <w:szCs w:val="14"/>
                <w:color w:val="auto"/>
              </w:rPr>
            </w:pPr>
          </w:p>
        </w:tc>
        <w:tc>
          <w:tcPr>
            <w:tcW w:w="2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w w:val="83"/>
              </w:rPr>
              <w:t>Single family residential loans.................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289,883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597,719</w:t>
            </w:r>
          </w:p>
        </w:tc>
      </w:tr>
      <w:tr>
        <w:trPr>
          <w:trHeight w:val="167"/>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Multi-family residential loans..................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105,591</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191,971</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Commercial real estate loans:</w:t>
            </w: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Office buildings...........................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77,608</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97,784</w:t>
            </w:r>
          </w:p>
        </w:tc>
      </w:tr>
      <w:tr>
        <w:trPr>
          <w:trHeight w:val="167"/>
        </w:trPr>
        <w:tc>
          <w:tcPr>
            <w:tcW w:w="4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Hotels.....................................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63,967</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75,095</w:t>
            </w:r>
          </w:p>
        </w:tc>
      </w:tr>
      <w:tr>
        <w:trPr>
          <w:trHeight w:val="167"/>
        </w:trPr>
        <w:tc>
          <w:tcPr>
            <w:tcW w:w="4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Retail properties..........................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85,924</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105,247</w:t>
            </w:r>
          </w:p>
        </w:tc>
      </w:tr>
      <w:tr>
        <w:trPr>
          <w:trHeight w:val="167"/>
        </w:trPr>
        <w:tc>
          <w:tcPr>
            <w:tcW w:w="4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Other properties...........................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36,511</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87,148</w:t>
            </w:r>
          </w:p>
        </w:tc>
      </w:tr>
      <w:tr>
        <w:trPr>
          <w:trHeight w:val="167"/>
        </w:trPr>
        <w:tc>
          <w:tcPr>
            <w:tcW w:w="3400" w:type="dxa"/>
            <w:vAlign w:val="bottom"/>
          </w:tcPr>
          <w:p>
            <w:pPr>
              <w:spacing w:after="0"/>
              <w:rPr>
                <w:sz w:val="14"/>
                <w:szCs w:val="14"/>
                <w:color w:val="auto"/>
              </w:rPr>
            </w:pPr>
          </w:p>
        </w:tc>
        <w:tc>
          <w:tcPr>
            <w:tcW w:w="2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264,010</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365,274</w:t>
            </w:r>
          </w:p>
        </w:tc>
      </w:tr>
      <w:tr>
        <w:trPr>
          <w:trHeight w:val="167"/>
        </w:trPr>
        <w:tc>
          <w:tcPr>
            <w:tcW w:w="3400" w:type="dxa"/>
            <w:vAlign w:val="bottom"/>
          </w:tcPr>
          <w:p>
            <w:pPr>
              <w:spacing w:after="0"/>
              <w:rPr>
                <w:sz w:val="14"/>
                <w:szCs w:val="14"/>
                <w:color w:val="auto"/>
              </w:rPr>
            </w:pPr>
          </w:p>
        </w:tc>
        <w:tc>
          <w:tcPr>
            <w:tcW w:w="2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Other loans.....................................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17,188</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21,615</w:t>
            </w:r>
          </w:p>
        </w:tc>
      </w:tr>
      <w:tr>
        <w:trPr>
          <w:trHeight w:val="167"/>
        </w:trPr>
        <w:tc>
          <w:tcPr>
            <w:tcW w:w="3400" w:type="dxa"/>
            <w:vAlign w:val="bottom"/>
          </w:tcPr>
          <w:p>
            <w:pPr>
              <w:spacing w:after="0"/>
              <w:rPr>
                <w:sz w:val="14"/>
                <w:szCs w:val="14"/>
                <w:color w:val="auto"/>
              </w:rPr>
            </w:pPr>
          </w:p>
        </w:tc>
        <w:tc>
          <w:tcPr>
            <w:tcW w:w="2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Total discount loans.......................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676,672</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1,176,579</w:t>
            </w:r>
          </w:p>
        </w:tc>
      </w:tr>
      <w:tr>
        <w:trPr>
          <w:trHeight w:val="167"/>
        </w:trPr>
        <w:tc>
          <w:tcPr>
            <w:tcW w:w="3400" w:type="dxa"/>
            <w:vAlign w:val="bottom"/>
          </w:tcPr>
          <w:p>
            <w:pPr>
              <w:spacing w:after="0"/>
              <w:rPr>
                <w:sz w:val="14"/>
                <w:szCs w:val="14"/>
                <w:color w:val="auto"/>
              </w:rPr>
            </w:pPr>
          </w:p>
        </w:tc>
        <w:tc>
          <w:tcPr>
            <w:tcW w:w="2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Unaccreted discount:</w:t>
            </w: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Single family residential loans............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(74,184)</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(147,630)</w:t>
            </w:r>
          </w:p>
        </w:tc>
      </w:tr>
      <w:tr>
        <w:trPr>
          <w:trHeight w:val="167"/>
        </w:trPr>
        <w:tc>
          <w:tcPr>
            <w:tcW w:w="4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Multi-family residential loans.............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(5,176)</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(37,981)</w:t>
            </w:r>
          </w:p>
        </w:tc>
      </w:tr>
      <w:tr>
        <w:trPr>
          <w:trHeight w:val="167"/>
        </w:trPr>
        <w:tc>
          <w:tcPr>
            <w:tcW w:w="4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Commercial real estate loans...............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(40,413)</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(57,604)</w:t>
            </w:r>
          </w:p>
        </w:tc>
      </w:tr>
      <w:tr>
        <w:trPr>
          <w:trHeight w:val="167"/>
        </w:trPr>
        <w:tc>
          <w:tcPr>
            <w:tcW w:w="4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Other loans................................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(954)</w:t>
            </w:r>
          </w:p>
        </w:tc>
      </w:tr>
      <w:tr>
        <w:trPr>
          <w:trHeight w:val="167"/>
        </w:trPr>
        <w:tc>
          <w:tcPr>
            <w:tcW w:w="3400" w:type="dxa"/>
            <w:vAlign w:val="bottom"/>
          </w:tcPr>
          <w:p>
            <w:pPr>
              <w:spacing w:after="0"/>
              <w:rPr>
                <w:sz w:val="14"/>
                <w:szCs w:val="14"/>
                <w:color w:val="auto"/>
              </w:rPr>
            </w:pPr>
          </w:p>
        </w:tc>
        <w:tc>
          <w:tcPr>
            <w:tcW w:w="2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(119,773)</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(244,169)</w:t>
            </w:r>
          </w:p>
        </w:tc>
      </w:tr>
      <w:tr>
        <w:trPr>
          <w:trHeight w:val="167"/>
        </w:trPr>
        <w:tc>
          <w:tcPr>
            <w:tcW w:w="3400" w:type="dxa"/>
            <w:vAlign w:val="bottom"/>
          </w:tcPr>
          <w:p>
            <w:pPr>
              <w:spacing w:after="0"/>
              <w:rPr>
                <w:sz w:val="14"/>
                <w:szCs w:val="14"/>
                <w:color w:val="auto"/>
              </w:rPr>
            </w:pPr>
          </w:p>
        </w:tc>
        <w:tc>
          <w:tcPr>
            <w:tcW w:w="2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556,899</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932,410</w:t>
            </w:r>
          </w:p>
        </w:tc>
      </w:tr>
      <w:tr>
        <w:trPr>
          <w:trHeight w:val="167"/>
        </w:trPr>
        <w:tc>
          <w:tcPr>
            <w:tcW w:w="4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Allowance for loan losses.......................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(20,871)</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(19,181)</w:t>
            </w:r>
          </w:p>
        </w:tc>
      </w:tr>
      <w:tr>
        <w:trPr>
          <w:trHeight w:val="167"/>
        </w:trPr>
        <w:tc>
          <w:tcPr>
            <w:tcW w:w="3400" w:type="dxa"/>
            <w:vAlign w:val="bottom"/>
          </w:tcPr>
          <w:p>
            <w:pPr>
              <w:spacing w:after="0"/>
              <w:rPr>
                <w:sz w:val="14"/>
                <w:szCs w:val="14"/>
                <w:color w:val="auto"/>
              </w:rPr>
            </w:pPr>
          </w:p>
        </w:tc>
        <w:tc>
          <w:tcPr>
            <w:tcW w:w="2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w w:val="83"/>
              </w:rPr>
              <w:t>Discount loans, net.............................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536,028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913,229</w:t>
            </w:r>
          </w:p>
        </w:tc>
      </w:tr>
      <w:tr>
        <w:trPr>
          <w:trHeight w:val="167"/>
        </w:trPr>
        <w:tc>
          <w:tcPr>
            <w:tcW w:w="3400" w:type="dxa"/>
            <w:vAlign w:val="bottom"/>
          </w:tcPr>
          <w:p>
            <w:pPr>
              <w:spacing w:after="0"/>
              <w:rPr>
                <w:sz w:val="14"/>
                <w:szCs w:val="14"/>
                <w:color w:val="auto"/>
              </w:rPr>
            </w:pPr>
          </w:p>
        </w:tc>
        <w:tc>
          <w:tcPr>
            <w:tcW w:w="2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4"/>
                <w:szCs w:val="24"/>
                <w:color w:val="auto"/>
              </w:rPr>
            </w:pPr>
          </w:p>
        </w:tc>
        <w:tc>
          <w:tcPr>
            <w:tcW w:w="1380" w:type="dxa"/>
            <w:vAlign w:val="bottom"/>
          </w:tcPr>
          <w:p>
            <w:pPr>
              <w:jc w:val="right"/>
              <w:ind w:right="1148"/>
              <w:spacing w:after="0"/>
              <w:rPr>
                <w:sz w:val="20"/>
                <w:szCs w:val="20"/>
                <w:color w:val="auto"/>
              </w:rPr>
            </w:pPr>
            <w:r>
              <w:rPr>
                <w:rFonts w:ascii="Courier New" w:cs="Courier New" w:eastAsia="Courier New" w:hAnsi="Courier New"/>
                <w:sz w:val="14"/>
                <w:szCs w:val="14"/>
                <w:color w:val="auto"/>
                <w:w w:val="83"/>
              </w:rPr>
              <w:t>87</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115" w:name="page116"/>
    <w:bookmarkEnd w:id="115"/>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discount loan portfolio is secured by mortgages on property located throughout the United States. The following table sets forth the five states in which the largest amount of properties securing the Company's discount loans were located at December 31, 2000: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Commercial</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Single Family</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Multi-Family</w:t>
            </w: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Real</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Estate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Residential</w:t>
            </w:r>
          </w:p>
        </w:tc>
        <w:tc>
          <w:tcPr>
            <w:tcW w:w="1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Residential</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and</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88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19,115</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3,474</w:t>
            </w: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65,768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88,357</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Michigan............</w:t>
            </w:r>
          </w:p>
        </w:tc>
        <w:tc>
          <w:tcPr>
            <w:tcW w:w="5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6,755</w:t>
            </w:r>
          </w:p>
        </w:tc>
        <w:tc>
          <w:tcPr>
            <w:tcW w:w="4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36,047</w:t>
            </w:r>
          </w:p>
        </w:tc>
        <w:tc>
          <w:tcPr>
            <w:tcW w:w="4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18,840</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61,642</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Illinois............</w:t>
            </w:r>
          </w:p>
        </w:tc>
        <w:tc>
          <w:tcPr>
            <w:tcW w:w="5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10,806</w:t>
            </w:r>
          </w:p>
        </w:tc>
        <w:tc>
          <w:tcPr>
            <w:tcW w:w="4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40,604</w:t>
            </w:r>
          </w:p>
        </w:tc>
        <w:tc>
          <w:tcPr>
            <w:tcW w:w="4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1,281</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52,691</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5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20,854</w:t>
            </w:r>
          </w:p>
        </w:tc>
        <w:tc>
          <w:tcPr>
            <w:tcW w:w="4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26,901</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47,755</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Wisconsin...........</w:t>
            </w:r>
          </w:p>
        </w:tc>
        <w:tc>
          <w:tcPr>
            <w:tcW w:w="5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1,935</w:t>
            </w:r>
          </w:p>
        </w:tc>
        <w:tc>
          <w:tcPr>
            <w:tcW w:w="4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34,515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36,450</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Other (1)...........</w:t>
            </w:r>
          </w:p>
        </w:tc>
        <w:tc>
          <w:tcPr>
            <w:tcW w:w="5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156,234</w:t>
            </w:r>
          </w:p>
        </w:tc>
        <w:tc>
          <w:tcPr>
            <w:tcW w:w="4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20,290</w:t>
            </w:r>
          </w:p>
        </w:tc>
        <w:tc>
          <w:tcPr>
            <w:tcW w:w="4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93,480</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270,004</w:t>
            </w:r>
          </w:p>
        </w:tc>
      </w:tr>
      <w:tr>
        <w:trPr>
          <w:trHeight w:val="167"/>
        </w:trPr>
        <w:tc>
          <w:tcPr>
            <w:tcW w:w="188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8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215,699</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100,415</w:t>
            </w: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240,785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556,899</w:t>
            </w:r>
          </w:p>
        </w:tc>
      </w:tr>
      <w:tr>
        <w:trPr>
          <w:trHeight w:val="167"/>
        </w:trPr>
        <w:tc>
          <w:tcPr>
            <w:tcW w:w="188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right="3899" w:hanging="791"/>
        <w:spacing w:after="0" w:line="258" w:lineRule="auto"/>
        <w:tabs>
          <w:tab w:leader="none" w:pos="80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properties located in 45 other states, none of which aggregated over $30,879 in any one state.</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table sets forth the contractual payment status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of the loans in the Company's gross discount loan portfolio:</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456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Loans without Forbearance Agreements:</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Current.........................................</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295,616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509,845</w:t>
            </w:r>
          </w:p>
        </w:tc>
      </w:tr>
      <w:tr>
        <w:trPr>
          <w:trHeight w:val="167"/>
        </w:trPr>
        <w:tc>
          <w:tcPr>
            <w:tcW w:w="4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Past due 31 days to 89 days......................</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6,295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23,438</w:t>
            </w:r>
          </w:p>
        </w:tc>
      </w:tr>
      <w:tr>
        <w:trPr>
          <w:trHeight w:val="167"/>
        </w:trPr>
        <w:tc>
          <w:tcPr>
            <w:tcW w:w="4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Past due 90 days or more.........................</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295,226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448,312</w:t>
            </w:r>
          </w:p>
        </w:tc>
      </w:tr>
      <w:tr>
        <w:trPr>
          <w:trHeight w:val="167"/>
        </w:trPr>
        <w:tc>
          <w:tcPr>
            <w:tcW w:w="4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Acquired and servicing not yet transferred.......</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87,538</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Subtotal......................................</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597,137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1,069,133</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Loans with Forbearance Agreements: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Current..........................................</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3,888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2,958</w:t>
            </w:r>
          </w:p>
        </w:tc>
      </w:tr>
      <w:tr>
        <w:trPr>
          <w:trHeight w:val="167"/>
        </w:trPr>
        <w:tc>
          <w:tcPr>
            <w:tcW w:w="4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Past due 31 days to 89 days......................</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2,090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8,904</w:t>
            </w:r>
          </w:p>
        </w:tc>
      </w:tr>
      <w:tr>
        <w:trPr>
          <w:trHeight w:val="167"/>
        </w:trPr>
        <w:tc>
          <w:tcPr>
            <w:tcW w:w="4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Past due 90 days or more (1)(2)..................</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73,557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95,584</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Subtotal......................................</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79,535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107,446</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14"/>
                <w:szCs w:val="1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676,672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$1,176,579</w:t>
            </w:r>
          </w:p>
        </w:tc>
      </w:tr>
      <w:tr>
        <w:trPr>
          <w:trHeight w:val="167"/>
        </w:trPr>
        <w:tc>
          <w:tcPr>
            <w:tcW w:w="4560" w:type="dxa"/>
            <w:vAlign w:val="bottom"/>
          </w:tcPr>
          <w:p>
            <w:pPr>
              <w:spacing w:after="0"/>
              <w:rPr>
                <w:sz w:val="14"/>
                <w:szCs w:val="14"/>
                <w:color w:val="auto"/>
              </w:rPr>
            </w:pP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right="3379" w:hanging="791"/>
        <w:spacing w:after="0" w:line="255" w:lineRule="auto"/>
        <w:tabs>
          <w:tab w:leader="none" w:pos="80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$52,997 of loans which were less than 90 days past due under the terms of the forbearance agreements at December 31, 2000, of which $50,719 were current and $2,278 were past due 31 to 89 days.</w:t>
      </w:r>
    </w:p>
    <w:p>
      <w:pPr>
        <w:spacing w:after="0" w:line="162" w:lineRule="exact"/>
        <w:rPr>
          <w:rFonts w:ascii="Courier New" w:cs="Courier New" w:eastAsia="Courier New" w:hAnsi="Courier New"/>
          <w:sz w:val="14"/>
          <w:szCs w:val="14"/>
          <w:color w:val="auto"/>
        </w:rPr>
      </w:pPr>
    </w:p>
    <w:p>
      <w:pPr>
        <w:ind w:left="800" w:right="3379" w:hanging="791"/>
        <w:spacing w:after="0" w:line="255" w:lineRule="auto"/>
        <w:tabs>
          <w:tab w:leader="none" w:pos="80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$95,218 of loans which were less than 90 days past due under the terms of the forbearance agreements at December 31, 1999, of which $67,897 were current and $27,321 were past due 31 to 89 days.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453" w:right="1440" w:bottom="1440" w:gutter="0" w:footer="0" w:header="0"/>
        </w:sectPr>
      </w:pPr>
    </w:p>
    <w:bookmarkStart w:id="116" w:name="page117"/>
    <w:bookmarkEnd w:id="116"/>
    <w:p>
      <w:pPr>
        <w:jc w:val="center"/>
        <w:ind w:right="760"/>
        <w:spacing w:after="0" w:line="254"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2000, 1999, AND 1998 (DOLLARS IN THOUSANDS, EXCEPT SHARE DATA)</w:t>
      </w:r>
    </w:p>
    <w:p>
      <w:pPr>
        <w:spacing w:after="0" w:line="330" w:lineRule="exact"/>
        <w:rPr>
          <w:sz w:val="20"/>
          <w:szCs w:val="20"/>
          <w:color w:val="auto"/>
        </w:rPr>
      </w:pPr>
    </w:p>
    <w:p>
      <w:pPr>
        <w:ind w:right="1040" w:firstLine="781"/>
        <w:spacing w:after="0" w:line="255" w:lineRule="auto"/>
        <w:rPr>
          <w:sz w:val="20"/>
          <w:szCs w:val="20"/>
          <w:color w:val="auto"/>
        </w:rPr>
      </w:pPr>
      <w:r>
        <w:rPr>
          <w:rFonts w:ascii="Courier New" w:cs="Courier New" w:eastAsia="Courier New" w:hAnsi="Courier New"/>
          <w:sz w:val="14"/>
          <w:szCs w:val="14"/>
          <w:color w:val="auto"/>
        </w:rPr>
        <w:t>The following schedule presents a summary of the Company's allowance for loan losses and significant ratios for its discount loans at and for the years ended December 31:</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3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480" w:type="dxa"/>
            <w:vAlign w:val="bottom"/>
            <w:gridSpan w:val="2"/>
          </w:tcPr>
          <w:p>
            <w:pPr>
              <w:spacing w:after="0"/>
              <w:rPr>
                <w:sz w:val="20"/>
                <w:szCs w:val="20"/>
                <w:color w:val="auto"/>
              </w:rPr>
            </w:pPr>
            <w:r>
              <w:rPr>
                <w:rFonts w:ascii="Courier New" w:cs="Courier New" w:eastAsia="Courier New" w:hAnsi="Courier New"/>
                <w:sz w:val="14"/>
                <w:szCs w:val="14"/>
                <w:color w:val="auto"/>
              </w:rPr>
              <w:t>ALLOWANCE FOR LOAN LOSSES: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60" w:type="dxa"/>
            <w:vAlign w:val="bottom"/>
          </w:tcPr>
          <w:p>
            <w:pPr>
              <w:spacing w:after="0"/>
              <w:rPr>
                <w:sz w:val="14"/>
                <w:szCs w:val="14"/>
                <w:color w:val="auto"/>
              </w:rPr>
            </w:pPr>
          </w:p>
        </w:tc>
        <w:tc>
          <w:tcPr>
            <w:tcW w:w="6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 at beginning of year......................................</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19,181</w:t>
            </w:r>
          </w:p>
        </w:tc>
      </w:tr>
      <w:tr>
        <w:trPr>
          <w:trHeight w:val="167"/>
        </w:trPr>
        <w:tc>
          <w:tcPr>
            <w:tcW w:w="360" w:type="dxa"/>
            <w:vAlign w:val="bottom"/>
          </w:tcPr>
          <w:p>
            <w:pPr>
              <w:spacing w:after="0"/>
              <w:rPr>
                <w:sz w:val="14"/>
                <w:szCs w:val="14"/>
                <w:color w:val="auto"/>
              </w:rPr>
            </w:pPr>
          </w:p>
        </w:tc>
        <w:tc>
          <w:tcPr>
            <w:tcW w:w="6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Provision for loan losses.........................................</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15,266</w:t>
            </w:r>
          </w:p>
        </w:tc>
      </w:tr>
      <w:tr>
        <w:trPr>
          <w:trHeight w:val="167"/>
        </w:trPr>
        <w:tc>
          <w:tcPr>
            <w:tcW w:w="360" w:type="dxa"/>
            <w:vAlign w:val="bottom"/>
          </w:tcPr>
          <w:p>
            <w:pPr>
              <w:spacing w:after="0"/>
              <w:rPr>
                <w:sz w:val="14"/>
                <w:szCs w:val="14"/>
                <w:color w:val="auto"/>
              </w:rPr>
            </w:pPr>
          </w:p>
        </w:tc>
        <w:tc>
          <w:tcPr>
            <w:tcW w:w="6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Charge-offs.......................................................</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(14,213)</w:t>
            </w:r>
          </w:p>
        </w:tc>
      </w:tr>
      <w:tr>
        <w:trPr>
          <w:trHeight w:val="167"/>
        </w:trPr>
        <w:tc>
          <w:tcPr>
            <w:tcW w:w="360" w:type="dxa"/>
            <w:vAlign w:val="bottom"/>
          </w:tcPr>
          <w:p>
            <w:pPr>
              <w:spacing w:after="0"/>
              <w:rPr>
                <w:sz w:val="14"/>
                <w:szCs w:val="14"/>
                <w:color w:val="auto"/>
              </w:rPr>
            </w:pPr>
          </w:p>
        </w:tc>
        <w:tc>
          <w:tcPr>
            <w:tcW w:w="6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Recoveries........................................................</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637</w:t>
            </w:r>
          </w:p>
        </w:tc>
      </w:tr>
      <w:tr>
        <w:trPr>
          <w:trHeight w:val="167"/>
        </w:trPr>
        <w:tc>
          <w:tcPr>
            <w:tcW w:w="3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6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 at end of year............................................</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20,871</w:t>
            </w:r>
          </w:p>
        </w:tc>
      </w:tr>
      <w:tr>
        <w:trPr>
          <w:trHeight w:val="167"/>
        </w:trPr>
        <w:tc>
          <w:tcPr>
            <w:tcW w:w="3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480" w:type="dxa"/>
            <w:vAlign w:val="bottom"/>
            <w:gridSpan w:val="2"/>
          </w:tcPr>
          <w:p>
            <w:pPr>
              <w:spacing w:after="0"/>
              <w:rPr>
                <w:sz w:val="20"/>
                <w:szCs w:val="20"/>
                <w:color w:val="auto"/>
              </w:rPr>
            </w:pPr>
            <w:r>
              <w:rPr>
                <w:rFonts w:ascii="Courier New" w:cs="Courier New" w:eastAsia="Courier New" w:hAnsi="Courier New"/>
                <w:sz w:val="14"/>
                <w:szCs w:val="14"/>
                <w:color w:val="auto"/>
              </w:rPr>
              <w:t>SIGNIFICANT RATIOS: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60" w:type="dxa"/>
            <w:vAlign w:val="bottom"/>
          </w:tcPr>
          <w:p>
            <w:pPr>
              <w:spacing w:after="0"/>
              <w:rPr>
                <w:sz w:val="14"/>
                <w:szCs w:val="14"/>
                <w:color w:val="auto"/>
              </w:rPr>
            </w:pPr>
          </w:p>
        </w:tc>
        <w:tc>
          <w:tcPr>
            <w:tcW w:w="6120" w:type="dxa"/>
            <w:vAlign w:val="bottom"/>
          </w:tcPr>
          <w:p>
            <w:pPr>
              <w:jc w:val="right"/>
              <w:ind w:right="1968"/>
              <w:spacing w:after="0"/>
              <w:rPr>
                <w:sz w:val="20"/>
                <w:szCs w:val="20"/>
                <w:color w:val="auto"/>
              </w:rPr>
            </w:pPr>
            <w:r>
              <w:rPr>
                <w:rFonts w:ascii="Courier New" w:cs="Courier New" w:eastAsia="Courier New" w:hAnsi="Courier New"/>
                <w:sz w:val="14"/>
                <w:szCs w:val="14"/>
                <w:color w:val="auto"/>
              </w:rPr>
              <w:t>Allowances for loan losses as a percentage of:</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6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 loans (1)...............................................</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3.75%</w:t>
            </w:r>
          </w:p>
        </w:tc>
      </w:tr>
      <w:tr>
        <w:trPr>
          <w:trHeight w:val="167"/>
        </w:trPr>
        <w:tc>
          <w:tcPr>
            <w:tcW w:w="360" w:type="dxa"/>
            <w:vAlign w:val="bottom"/>
          </w:tcPr>
          <w:p>
            <w:pPr>
              <w:spacing w:after="0"/>
              <w:rPr>
                <w:sz w:val="14"/>
                <w:szCs w:val="14"/>
                <w:color w:val="auto"/>
              </w:rPr>
            </w:pPr>
          </w:p>
        </w:tc>
        <w:tc>
          <w:tcPr>
            <w:tcW w:w="6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0.93%</w:t>
            </w:r>
          </w:p>
        </w:tc>
      </w:tr>
      <w:tr>
        <w:trPr>
          <w:trHeight w:val="167"/>
        </w:trPr>
        <w:tc>
          <w:tcPr>
            <w:tcW w:w="360" w:type="dxa"/>
            <w:vAlign w:val="bottom"/>
          </w:tcPr>
          <w:p>
            <w:pPr>
              <w:spacing w:after="0"/>
              <w:rPr>
                <w:sz w:val="14"/>
                <w:szCs w:val="14"/>
                <w:color w:val="auto"/>
              </w:rPr>
            </w:pPr>
          </w:p>
        </w:tc>
        <w:tc>
          <w:tcPr>
            <w:tcW w:w="6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charge-offs as a percentage of average discount loans.........</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w:t>
            </w:r>
          </w:p>
        </w:tc>
      </w:tr>
      <w:tr>
        <w:trPr>
          <w:trHeight w:val="501"/>
        </w:trPr>
        <w:tc>
          <w:tcPr>
            <w:tcW w:w="3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6120" w:type="dxa"/>
            <w:vAlign w:val="bottom"/>
          </w:tcPr>
          <w:p>
            <w:pPr>
              <w:jc w:val="right"/>
              <w:ind w:right="1888"/>
              <w:spacing w:after="0"/>
              <w:rPr>
                <w:sz w:val="20"/>
                <w:szCs w:val="20"/>
                <w:color w:val="auto"/>
              </w:rPr>
            </w:pPr>
            <w:r>
              <w:rPr>
                <w:rFonts w:ascii="Courier New" w:cs="Courier New" w:eastAsia="Courier New" w:hAnsi="Courier New"/>
                <w:sz w:val="14"/>
                <w:szCs w:val="14"/>
                <w:color w:val="auto"/>
              </w:rPr>
              <w:t>Total loans are net of unaccreted discount.</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0" w:lineRule="exact"/>
        <w:rPr>
          <w:sz w:val="20"/>
          <w:szCs w:val="20"/>
          <w:color w:val="auto"/>
        </w:rPr>
      </w:pPr>
    </w:p>
    <w:p>
      <w:pPr>
        <w:spacing w:after="0" w:line="305" w:lineRule="exact"/>
        <w:rPr>
          <w:sz w:val="20"/>
          <w:szCs w:val="20"/>
          <w:color w:val="auto"/>
        </w:rPr>
      </w:pPr>
    </w:p>
    <w:p>
      <w:pPr>
        <w:ind w:right="780" w:firstLine="781"/>
        <w:spacing w:after="0" w:line="253" w:lineRule="auto"/>
        <w:rPr>
          <w:sz w:val="20"/>
          <w:szCs w:val="20"/>
          <w:color w:val="auto"/>
        </w:rPr>
      </w:pPr>
      <w:r>
        <w:rPr>
          <w:rFonts w:ascii="Courier New" w:cs="Courier New" w:eastAsia="Courier New" w:hAnsi="Courier New"/>
          <w:sz w:val="14"/>
          <w:szCs w:val="14"/>
          <w:color w:val="auto"/>
        </w:rPr>
        <w:t>At December 31, 2000, the Company had six commercial discount loans with an aggregate carrying value of $19,744, net of allowance for loan losses of $1,267, which were impaired. Impaired discount loans at December 31, 2000 were primarily comprised of one loan with a carrying value of $17,896 and secured by a hotel property. The average carrying value of impaired loans for the year ended December 31, 2000 was $25,572.</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MATCH FUNDED LOANS AND SECURITIES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Match funded loans and securities are comprised of the following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740" w:type="dxa"/>
            <w:vAlign w:val="bottom"/>
          </w:tcPr>
          <w:p>
            <w:pPr>
              <w:spacing w:after="0"/>
              <w:rPr>
                <w:sz w:val="14"/>
                <w:szCs w:val="14"/>
                <w:color w:val="auto"/>
              </w:rPr>
            </w:pP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Single family residential loans (1)..................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80,834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$ 105,596</w:t>
            </w:r>
          </w:p>
        </w:tc>
      </w:tr>
      <w:tr>
        <w:trPr>
          <w:trHeight w:val="167"/>
        </w:trPr>
        <w:tc>
          <w:tcPr>
            <w:tcW w:w="4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Allowance for loan losses............................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(495)</w:t>
            </w:r>
          </w:p>
        </w:tc>
      </w:tr>
      <w:tr>
        <w:trPr>
          <w:trHeight w:val="167"/>
        </w:trPr>
        <w:tc>
          <w:tcPr>
            <w:tcW w:w="4740" w:type="dxa"/>
            <w:vAlign w:val="bottom"/>
          </w:tcPr>
          <w:p>
            <w:pPr>
              <w:spacing w:after="0"/>
              <w:rPr>
                <w:sz w:val="14"/>
                <w:szCs w:val="14"/>
                <w:color w:val="auto"/>
              </w:rPr>
            </w:pP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Match funded loans, net...........................</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80,549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105,101</w:t>
            </w:r>
          </w:p>
        </w:tc>
      </w:tr>
      <w:tr>
        <w:trPr>
          <w:trHeight w:val="167"/>
        </w:trPr>
        <w:tc>
          <w:tcPr>
            <w:tcW w:w="4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Match funded securities..............................</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36,438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52,693</w:t>
            </w:r>
          </w:p>
        </w:tc>
      </w:tr>
      <w:tr>
        <w:trPr>
          <w:trHeight w:val="167"/>
        </w:trPr>
        <w:tc>
          <w:tcPr>
            <w:tcW w:w="4740" w:type="dxa"/>
            <w:vAlign w:val="bottom"/>
          </w:tcPr>
          <w:p>
            <w:pPr>
              <w:spacing w:after="0"/>
              <w:rPr>
                <w:sz w:val="14"/>
                <w:szCs w:val="14"/>
                <w:color w:val="auto"/>
              </w:rPr>
            </w:pP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Balance at end of period.............................</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116,987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$ 157,794</w:t>
            </w:r>
          </w:p>
        </w:tc>
      </w:tr>
      <w:tr>
        <w:trPr>
          <w:trHeight w:val="167"/>
        </w:trPr>
        <w:tc>
          <w:tcPr>
            <w:tcW w:w="4740" w:type="dxa"/>
            <w:vAlign w:val="bottom"/>
          </w:tcPr>
          <w:p>
            <w:pPr>
              <w:spacing w:after="0"/>
              <w:rPr>
                <w:sz w:val="14"/>
                <w:szCs w:val="14"/>
                <w:color w:val="auto"/>
              </w:rPr>
            </w:pP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right="780" w:hanging="791"/>
        <w:spacing w:after="0" w:line="258" w:lineRule="auto"/>
        <w:tabs>
          <w:tab w:leader="none" w:pos="80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$2,831 and $1,127 of non-performing loans at December 31, 2000 and 1999, respectively.</w:t>
      </w:r>
    </w:p>
    <w:p>
      <w:pPr>
        <w:spacing w:after="0" w:line="160" w:lineRule="exact"/>
        <w:rPr>
          <w:sz w:val="20"/>
          <w:szCs w:val="20"/>
          <w:color w:val="auto"/>
        </w:rPr>
      </w:pPr>
    </w:p>
    <w:p>
      <w:pPr>
        <w:ind w:right="780" w:firstLine="781"/>
        <w:spacing w:after="0" w:line="253" w:lineRule="auto"/>
        <w:rPr>
          <w:sz w:val="20"/>
          <w:szCs w:val="20"/>
          <w:color w:val="auto"/>
        </w:rPr>
      </w:pPr>
      <w:r>
        <w:rPr>
          <w:rFonts w:ascii="Courier New" w:cs="Courier New" w:eastAsia="Courier New" w:hAnsi="Courier New"/>
          <w:sz w:val="14"/>
          <w:szCs w:val="14"/>
          <w:color w:val="auto"/>
        </w:rPr>
        <w:t>At December 31, 2000, the Company held match funded loans acquired as a result of the OAC acquisition. These loans were securitized and transferred by OAC to OAC Mortgage Residential Securities, Inc., a real estate mortgage investment conduit (the "Trust") on November 13, 1998. On that date, the Trust issued two classes of notes secured by the related group of mortgage loans. At December 31, 2000, Loan Group I consisted of approximately 548 mortgage loans with original terms of up to 30 years that are secured by first liens on single family residential properties. At that same date, Loan Group II consisted of approximately 365 mortgage loans with original terms of up to 30 years that are secured by first or second liens on single family residential properties. Upon the transfer, OAC received approximately $173,900 of proceeds. The transfer did not qualify as a sale for accounting purposes. Accordingly, the proceeds received from the transfer are reported as a liability (bonds-match funded agreements) in the Consolidated Statement of Financial Condition. See Note 19.</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21,402</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23,493</w:t>
            </w:r>
          </w:p>
        </w:tc>
      </w:tr>
      <w:tr>
        <w:trPr>
          <w:trHeight w:val="167"/>
        </w:trPr>
        <w:tc>
          <w:tcPr>
            <w:tcW w:w="1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5,434</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17,618</w:t>
            </w:r>
          </w:p>
        </w:tc>
      </w:tr>
      <w:tr>
        <w:trPr>
          <w:trHeight w:val="167"/>
        </w:trPr>
        <w:tc>
          <w:tcPr>
            <w:tcW w:w="1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(8,052)</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(20,130)</w:t>
            </w:r>
          </w:p>
        </w:tc>
      </w:tr>
      <w:tr>
        <w:trPr>
          <w:trHeight w:val="167"/>
        </w:trPr>
        <w:tc>
          <w:tcPr>
            <w:tcW w:w="1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397</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w:t>
            </w:r>
          </w:p>
        </w:tc>
      </w:tr>
      <w:tr>
        <w:trPr>
          <w:trHeight w:val="167"/>
        </w:trPr>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19,181</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21,402</w:t>
            </w:r>
          </w:p>
        </w:tc>
      </w:tr>
      <w:tr>
        <w:trPr>
          <w:trHeight w:val="167"/>
        </w:trPr>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16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2.06%</w:t>
            </w:r>
          </w:p>
        </w:tc>
        <w:tc>
          <w:tcPr>
            <w:tcW w:w="4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w:t>
            </w:r>
          </w:p>
        </w:tc>
      </w:tr>
      <w:tr>
        <w:trPr>
          <w:trHeight w:val="167"/>
        </w:trPr>
        <w:tc>
          <w:tcPr>
            <w:tcW w:w="1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0.58%</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0.65%</w:t>
            </w:r>
          </w:p>
        </w:tc>
      </w:tr>
      <w:tr>
        <w:trPr>
          <w:trHeight w:val="167"/>
        </w:trPr>
        <w:tc>
          <w:tcPr>
            <w:tcW w:w="1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(0.80)%</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r>
    </w:tbl>
    <w:p>
      <w:pPr>
        <w:sectPr>
          <w:pgSz w:w="11900" w:h="16838" w:orient="portrait"/>
          <w:cols w:equalWidth="0" w:num="2">
            <w:col w:w="7740" w:space="520"/>
            <w:col w:w="2340"/>
          </w:cols>
          <w:pgMar w:left="220" w:top="453" w:right="1079" w:bottom="1440" w:gutter="0" w:footer="0" w:header="0"/>
        </w:sectPr>
      </w:pPr>
    </w:p>
    <w:bookmarkStart w:id="117" w:name="page118"/>
    <w:bookmarkEnd w:id="117"/>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match funded loans are secured by mortgages on properties located throughout the United States. The following table sets forth the five states in which the largest amount of properties securing the Company's loans were located at December 31, 2000: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Michigan......................................................</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15,071</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8,374</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5,697</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Texas.........................................................</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5,080</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4,271</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Other (1).....................................................</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42,341</w:t>
            </w:r>
          </w:p>
        </w:tc>
      </w:tr>
      <w:tr>
        <w:trPr>
          <w:trHeight w:val="167"/>
        </w:trPr>
        <w:tc>
          <w:tcPr>
            <w:tcW w:w="55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spacing w:after="0"/>
              <w:rPr>
                <w:sz w:val="14"/>
                <w:szCs w:val="14"/>
                <w:color w:val="auto"/>
              </w:rPr>
            </w:pP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80,834</w:t>
            </w:r>
          </w:p>
        </w:tc>
      </w:tr>
      <w:tr>
        <w:trPr>
          <w:trHeight w:val="167"/>
        </w:trPr>
        <w:tc>
          <w:tcPr>
            <w:tcW w:w="55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right="3899" w:hanging="791"/>
        <w:spacing w:after="0" w:line="258" w:lineRule="auto"/>
        <w:tabs>
          <w:tab w:leader="none" w:pos="8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properties located in 41 other states, none of which aggregated over $3,420 in any one state.</w:t>
      </w:r>
    </w:p>
    <w:p>
      <w:pPr>
        <w:spacing w:after="0" w:line="16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Additionally, at December 31, 2000, the Company held match funded securities, with a fair value of $36,438 resulting from the Company's transfer of four unrated residual securities to Ocwen NIM Corp. on December 16, 1999 in exchange for $43,000 in non-recourse notes (Series 1999-OAC1). Upon the transfer, the Company received approximately $40,100 of proceeds. The transfer did not qualify as a sale for accounting purposes. Accordingly, the amount of proceeds from the transfer are reported as a liability (bonds-match funded agreements) in the Consolidated Statement of Financial Condition. See Note 19.</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following table summarizes the maturities of the match-funded securities at December 31, 2000. Maturities are based on weighted-average unpaid principal balance and reflect anticipated future prepayments based on a consensus of dealers in the market.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Entity</w:t>
            </w:r>
          </w:p>
        </w:tc>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Fair Value</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Due within one year</w:t>
            </w:r>
          </w:p>
        </w:tc>
        <w:tc>
          <w:tcPr>
            <w:tcW w:w="3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11,193</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Due after 1</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through</w:t>
            </w:r>
          </w:p>
        </w:tc>
        <w:tc>
          <w:tcPr>
            <w:tcW w:w="3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 years...................................</w:t>
            </w:r>
          </w:p>
        </w:tc>
        <w:tc>
          <w:tcPr>
            <w:tcW w:w="3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8,660</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Due after 5</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w w:val="98"/>
              </w:rPr>
              <w:t>through</w:t>
            </w:r>
          </w:p>
        </w:tc>
        <w:tc>
          <w:tcPr>
            <w:tcW w:w="3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 years..................................</w:t>
            </w:r>
          </w:p>
        </w:tc>
        <w:tc>
          <w:tcPr>
            <w:tcW w:w="3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5,717</w:t>
            </w:r>
          </w:p>
        </w:tc>
      </w:tr>
      <w:tr>
        <w:trPr>
          <w:trHeight w:val="167"/>
        </w:trPr>
        <w:tc>
          <w:tcPr>
            <w:tcW w:w="5560" w:type="dxa"/>
            <w:vAlign w:val="bottom"/>
            <w:gridSpan w:val="3"/>
          </w:tcPr>
          <w:p>
            <w:pPr>
              <w:spacing w:after="0"/>
              <w:rPr>
                <w:sz w:val="20"/>
                <w:szCs w:val="20"/>
                <w:color w:val="auto"/>
              </w:rPr>
            </w:pPr>
            <w:r>
              <w:rPr>
                <w:rFonts w:ascii="Courier New" w:cs="Courier New" w:eastAsia="Courier New" w:hAnsi="Courier New"/>
                <w:sz w:val="14"/>
                <w:szCs w:val="14"/>
                <w:color w:val="auto"/>
              </w:rPr>
              <w:t>Due after 10 years............................................</w:t>
            </w:r>
          </w:p>
        </w:tc>
        <w:tc>
          <w:tcPr>
            <w:tcW w:w="3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10,868</w:t>
            </w:r>
          </w:p>
        </w:tc>
      </w:tr>
      <w:tr>
        <w:trPr>
          <w:trHeight w:val="167"/>
        </w:trPr>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36,438</w:t>
            </w:r>
          </w:p>
        </w:tc>
      </w:tr>
      <w:tr>
        <w:trPr>
          <w:trHeight w:val="167"/>
        </w:trPr>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As disclosed in Note 4, the change in net unrealized holding gains or losses related to match funded securities are included in unrealized loss on trading and match funded securities, net, in the consolidated statement of operations.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INVESTMENT IN UNCONSOLIDATED ENTITIES</w:t>
      </w:r>
    </w:p>
    <w:p>
      <w:pPr>
        <w:sectPr>
          <w:pgSz w:w="11900" w:h="16838" w:orient="portrait"/>
          <w:cols w:equalWidth="0" w:num="1">
            <w:col w:w="10239"/>
          </w:cols>
          <w:pgMar w:left="220" w:top="453"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Kensington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Carrying Value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tabs>
          <w:tab w:leader="none" w:pos="16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680" w:val="left"/>
          <w:tab w:leader="none" w:pos="1300" w:val="left"/>
          <w:tab w:leader="none" w:pos="1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36,215</w:t>
      </w:r>
    </w:p>
    <w:p>
      <w:pPr>
        <w:spacing w:after="0" w:line="8" w:lineRule="exact"/>
        <w:rPr>
          <w:sz w:val="20"/>
          <w:szCs w:val="20"/>
          <w:color w:val="auto"/>
        </w:rPr>
      </w:pPr>
    </w:p>
    <w:p>
      <w:pPr>
        <w:ind w:left="620"/>
        <w:spacing w:after="0"/>
        <w:tabs>
          <w:tab w:leader="none" w:pos="1900" w:val="left"/>
        </w:tabs>
        <w:rPr>
          <w:sz w:val="20"/>
          <w:szCs w:val="20"/>
          <w:color w:val="auto"/>
        </w:rPr>
      </w:pPr>
      <w:r>
        <w:rPr>
          <w:rFonts w:ascii="Courier New" w:cs="Courier New" w:eastAsia="Courier New" w:hAnsi="Courier New"/>
          <w:sz w:val="14"/>
          <w:szCs w:val="14"/>
          <w:color w:val="auto"/>
        </w:rPr>
        <w:t>430</w:t>
      </w:r>
      <w:r>
        <w:rPr>
          <w:sz w:val="20"/>
          <w:szCs w:val="20"/>
          <w:color w:val="auto"/>
        </w:rPr>
        <w:tab/>
      </w:r>
      <w:r>
        <w:rPr>
          <w:rFonts w:ascii="Courier New" w:cs="Courier New" w:eastAsia="Courier New" w:hAnsi="Courier New"/>
          <w:sz w:val="14"/>
          <w:szCs w:val="14"/>
          <w:color w:val="auto"/>
        </w:rPr>
        <w:t>903</w:t>
      </w:r>
    </w:p>
    <w:p>
      <w:pPr>
        <w:spacing w:after="0" w:line="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600" w:val="left"/>
          <w:tab w:leader="none" w:pos="1300" w:val="left"/>
          <w:tab w:leader="none" w:pos="1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430</w:t>
      </w:r>
      <w:r>
        <w:rPr>
          <w:sz w:val="20"/>
          <w:szCs w:val="20"/>
          <w:color w:val="auto"/>
        </w:rPr>
        <w:tab/>
      </w:r>
      <w:r>
        <w:rPr>
          <w:rFonts w:ascii="Courier New" w:cs="Courier New" w:eastAsia="Courier New" w:hAnsi="Courier New"/>
          <w:sz w:val="14"/>
          <w:szCs w:val="14"/>
          <w:color w:val="auto"/>
        </w:rPr>
        <w:t>$</w:t>
        <w:tab/>
        <w:t>37,118</w:t>
      </w:r>
    </w:p>
    <w:p>
      <w:pPr>
        <w:spacing w:after="0" w:line="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260" w:space="340"/>
            <w:col w:w="5639"/>
          </w:cols>
          <w:pgMar w:left="220" w:top="453" w:right="1440" w:bottom="1440" w:gutter="0" w:footer="0" w:header="0"/>
          <w:type w:val="continuous"/>
        </w:sectPr>
      </w:pPr>
    </w:p>
    <w:p>
      <w:pPr>
        <w:ind w:left="800" w:right="3279" w:hanging="791"/>
        <w:spacing w:after="0" w:line="253" w:lineRule="auto"/>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disclosed in Note 2, on November 22, 2000, the Company sold its equity investment in Kensington. At the time of the sale, the Company owned approximately 38.7% of the outstanding common stock of Kensington, an originator of non-conforming residential mortgages in the U.K. The Company recorded equity in (losses) earnings of Kensington of $(5,280), $(9,154) and $439, net of goodwill amortization, during 2000, 1999 and 1998, respectively.</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453" w:right="1440" w:bottom="1440" w:gutter="0" w:footer="0" w:header="0"/>
          <w:type w:val="continuous"/>
        </w:sectPr>
      </w:pPr>
    </w:p>
    <w:bookmarkStart w:id="118" w:name="page119"/>
    <w:bookmarkEnd w:id="118"/>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REAL ESTATE OWNED</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Real estate owned consists almost entirely of properties acquired by foreclosure or deed-in-lieu thereof on loans in the Company's discount loan portfolio. Real estate owned, net of valuation allowance, is held for sale and was provided from the following loan portfolios at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December 31,</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2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2000</w:t>
            </w:r>
          </w:p>
        </w:tc>
        <w:tc>
          <w:tcPr>
            <w:tcW w:w="18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Discount loan portfolio:</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400" w:type="dxa"/>
            <w:vAlign w:val="bottom"/>
            <w:gridSpan w:val="3"/>
          </w:tcPr>
          <w:p>
            <w:pPr>
              <w:ind w:left="260"/>
              <w:spacing w:after="0"/>
              <w:rPr>
                <w:sz w:val="20"/>
                <w:szCs w:val="20"/>
                <w:color w:val="auto"/>
              </w:rPr>
            </w:pPr>
            <w:r>
              <w:rPr>
                <w:rFonts w:ascii="Courier New" w:cs="Courier New" w:eastAsia="Courier New" w:hAnsi="Courier New"/>
                <w:sz w:val="14"/>
                <w:szCs w:val="14"/>
                <w:color w:val="auto"/>
                <w:w w:val="80"/>
              </w:rPr>
              <w:t>Single family residential.....................</w:t>
            </w:r>
          </w:p>
        </w:tc>
        <w:tc>
          <w:tcPr>
            <w:tcW w:w="120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55,751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72,193</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360" w:type="dxa"/>
            <w:vAlign w:val="bottom"/>
          </w:tcPr>
          <w:p>
            <w:pPr>
              <w:ind w:left="260"/>
              <w:spacing w:after="0"/>
              <w:rPr>
                <w:sz w:val="20"/>
                <w:szCs w:val="20"/>
                <w:color w:val="auto"/>
              </w:rPr>
            </w:pPr>
            <w:r>
              <w:rPr>
                <w:rFonts w:ascii="Courier New" w:cs="Courier New" w:eastAsia="Courier New" w:hAnsi="Courier New"/>
                <w:sz w:val="14"/>
                <w:szCs w:val="14"/>
                <w:color w:val="auto"/>
              </w:rPr>
              <w:t>Multi-family residential</w:t>
            </w:r>
          </w:p>
        </w:tc>
        <w:tc>
          <w:tcPr>
            <w:tcW w:w="1040" w:type="dxa"/>
            <w:vAlign w:val="bottom"/>
            <w:gridSpan w:val="2"/>
          </w:tcPr>
          <w:p>
            <w:pPr>
              <w:spacing w:after="0"/>
              <w:rPr>
                <w:sz w:val="20"/>
                <w:szCs w:val="20"/>
                <w:color w:val="auto"/>
              </w:rPr>
            </w:pPr>
            <w:r>
              <w:rPr>
                <w:rFonts w:ascii="Courier New" w:cs="Courier New" w:eastAsia="Courier New" w:hAnsi="Courier New"/>
                <w:sz w:val="11"/>
                <w:szCs w:val="11"/>
                <w:color w:val="auto"/>
                <w:w w:val="70"/>
              </w:rPr>
              <w:t>......................</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w:t>
            </w:r>
          </w:p>
        </w:tc>
        <w:tc>
          <w:tcPr>
            <w:tcW w:w="1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2,601</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520" w:type="dxa"/>
            <w:vAlign w:val="bottom"/>
            <w:gridSpan w:val="2"/>
          </w:tcPr>
          <w:p>
            <w:pPr>
              <w:ind w:left="260"/>
              <w:spacing w:after="0"/>
              <w:rPr>
                <w:sz w:val="20"/>
                <w:szCs w:val="20"/>
                <w:color w:val="auto"/>
              </w:rPr>
            </w:pPr>
            <w:r>
              <w:rPr>
                <w:rFonts w:ascii="Courier New" w:cs="Courier New" w:eastAsia="Courier New" w:hAnsi="Courier New"/>
                <w:sz w:val="11"/>
                <w:szCs w:val="11"/>
                <w:color w:val="auto"/>
                <w:w w:val="73"/>
              </w:rPr>
              <w:t>Commercial real estate........................</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88,214</w:t>
            </w:r>
          </w:p>
        </w:tc>
        <w:tc>
          <w:tcPr>
            <w:tcW w:w="1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85,233</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Total.....................................</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144,114</w:t>
            </w:r>
          </w:p>
        </w:tc>
        <w:tc>
          <w:tcPr>
            <w:tcW w:w="1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160,027</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520" w:type="dxa"/>
            <w:vAlign w:val="bottom"/>
            <w:gridSpan w:val="2"/>
          </w:tcPr>
          <w:p>
            <w:pPr>
              <w:spacing w:after="0"/>
              <w:rPr>
                <w:sz w:val="20"/>
                <w:szCs w:val="20"/>
                <w:color w:val="auto"/>
              </w:rPr>
            </w:pPr>
            <w:r>
              <w:rPr>
                <w:rFonts w:ascii="Courier New" w:cs="Courier New" w:eastAsia="Courier New" w:hAnsi="Courier New"/>
                <w:sz w:val="12"/>
                <w:szCs w:val="12"/>
                <w:color w:val="auto"/>
                <w:w w:val="70"/>
              </w:rPr>
              <w:t>Loan portfolio...................................</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1,384</w:t>
            </w:r>
          </w:p>
        </w:tc>
        <w:tc>
          <w:tcPr>
            <w:tcW w:w="1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2,183</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520" w:type="dxa"/>
            <w:vAlign w:val="bottom"/>
            <w:gridSpan w:val="2"/>
          </w:tcPr>
          <w:p>
            <w:pPr>
              <w:spacing w:after="0"/>
              <w:rPr>
                <w:sz w:val="20"/>
                <w:szCs w:val="20"/>
                <w:color w:val="auto"/>
              </w:rPr>
            </w:pPr>
            <w:r>
              <w:rPr>
                <w:rFonts w:ascii="Courier New" w:cs="Courier New" w:eastAsia="Courier New" w:hAnsi="Courier New"/>
                <w:sz w:val="12"/>
                <w:szCs w:val="12"/>
                <w:color w:val="auto"/>
                <w:w w:val="70"/>
              </w:rPr>
              <w:t>Loans available for sale.........................</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921</w:t>
            </w:r>
          </w:p>
        </w:tc>
        <w:tc>
          <w:tcPr>
            <w:tcW w:w="1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5,296</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Total.....................................</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146,419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167,506</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7120" w:type="dxa"/>
            <w:vAlign w:val="bottom"/>
            <w:gridSpan w:val="8"/>
          </w:tcPr>
          <w:p>
            <w:pPr>
              <w:jc w:val="right"/>
              <w:ind w:right="88"/>
              <w:spacing w:after="0"/>
              <w:rPr>
                <w:sz w:val="20"/>
                <w:szCs w:val="20"/>
                <w:color w:val="auto"/>
              </w:rPr>
            </w:pPr>
            <w:r>
              <w:rPr>
                <w:rFonts w:ascii="Courier New" w:cs="Courier New" w:eastAsia="Courier New" w:hAnsi="Courier New"/>
                <w:sz w:val="14"/>
                <w:szCs w:val="14"/>
                <w:color w:val="auto"/>
              </w:rPr>
              <w:t>The following table sets forth certain geographical information by type</w:t>
            </w: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7120" w:type="dxa"/>
            <w:vAlign w:val="bottom"/>
            <w:gridSpan w:val="8"/>
          </w:tcPr>
          <w:p>
            <w:pPr>
              <w:spacing w:after="0"/>
              <w:rPr>
                <w:sz w:val="20"/>
                <w:szCs w:val="20"/>
                <w:color w:val="auto"/>
              </w:rPr>
            </w:pPr>
            <w:r>
              <w:rPr>
                <w:rFonts w:ascii="Courier New" w:cs="Courier New" w:eastAsia="Courier New" w:hAnsi="Courier New"/>
                <w:sz w:val="14"/>
                <w:szCs w:val="14"/>
                <w:color w:val="auto"/>
              </w:rPr>
              <w:t>of property at December 31, 2000 related to the Company's real estate owned:</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2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Multi-family Residential</w:t>
            </w: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360" w:type="dxa"/>
            <w:vAlign w:val="bottom"/>
          </w:tcPr>
          <w:p>
            <w:pPr>
              <w:spacing w:after="0"/>
              <w:rPr>
                <w:sz w:val="14"/>
                <w:szCs w:val="14"/>
                <w:color w:val="auto"/>
              </w:rPr>
            </w:pPr>
          </w:p>
        </w:tc>
        <w:tc>
          <w:tcPr>
            <w:tcW w:w="22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Single Family Residential</w:t>
            </w:r>
          </w:p>
        </w:tc>
        <w:tc>
          <w:tcPr>
            <w:tcW w:w="440" w:type="dxa"/>
            <w:vAlign w:val="bottom"/>
          </w:tcPr>
          <w:p>
            <w:pPr>
              <w:spacing w:after="0"/>
              <w:rPr>
                <w:sz w:val="14"/>
                <w:szCs w:val="14"/>
                <w:color w:val="auto"/>
              </w:rPr>
            </w:pPr>
          </w:p>
        </w:tc>
        <w:tc>
          <w:tcPr>
            <w:tcW w:w="208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and Commercial</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9"/>
                <w:szCs w:val="9"/>
                <w:color w:val="auto"/>
                <w:w w:val="75"/>
              </w:rPr>
              <w:t>-------------------------</w:t>
            </w:r>
          </w:p>
        </w:tc>
        <w:tc>
          <w:tcPr>
            <w:tcW w:w="1200" w:type="dxa"/>
            <w:vAlign w:val="bottom"/>
          </w:tcPr>
          <w:p>
            <w:pPr>
              <w:spacing w:after="0"/>
              <w:rPr>
                <w:sz w:val="14"/>
                <w:szCs w:val="14"/>
                <w:color w:val="auto"/>
              </w:rPr>
            </w:pPr>
          </w:p>
        </w:tc>
        <w:tc>
          <w:tcPr>
            <w:tcW w:w="252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 of</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 of</w:t>
            </w:r>
          </w:p>
        </w:tc>
        <w:tc>
          <w:tcPr>
            <w:tcW w:w="14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 of</w:t>
            </w:r>
          </w:p>
        </w:tc>
      </w:tr>
      <w:tr>
        <w:trPr>
          <w:trHeight w:val="167"/>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Amount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Properties</w:t>
            </w: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Amount</w:t>
            </w:r>
          </w:p>
        </w:tc>
        <w:tc>
          <w:tcPr>
            <w:tcW w:w="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Properties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Properties</w:t>
            </w:r>
          </w:p>
        </w:tc>
      </w:tr>
      <w:tr>
        <w:trPr>
          <w:trHeight w:val="167"/>
        </w:trPr>
        <w:tc>
          <w:tcPr>
            <w:tcW w:w="23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48,802</w:t>
            </w:r>
          </w:p>
        </w:tc>
        <w:tc>
          <w:tcPr>
            <w:tcW w:w="18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51,889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Georgia................</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15,061</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16,375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12,386</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13,783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Texas..................</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3,283</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5,762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Michigan...............</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5,619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5,619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Other (1)..............</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42,784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968</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10,207</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52,991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980</w:t>
            </w:r>
          </w:p>
        </w:tc>
      </w:tr>
      <w:tr>
        <w:trPr>
          <w:trHeight w:val="167"/>
        </w:trPr>
        <w:tc>
          <w:tcPr>
            <w:tcW w:w="236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260"/>
              <w:spacing w:after="0"/>
              <w:rPr>
                <w:sz w:val="20"/>
                <w:szCs w:val="20"/>
                <w:color w:val="auto"/>
              </w:rPr>
            </w:pPr>
            <w:r>
              <w:rPr>
                <w:rFonts w:ascii="Courier New" w:cs="Courier New" w:eastAsia="Courier New" w:hAnsi="Courier New"/>
                <w:sz w:val="14"/>
                <w:szCs w:val="14"/>
                <w:color w:val="auto"/>
              </w:rPr>
              <w:t>Total...............</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56,680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1,277</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89,739</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$ 146,419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1,298</w:t>
            </w:r>
          </w:p>
        </w:tc>
      </w:tr>
      <w:tr>
        <w:trPr>
          <w:trHeight w:val="167"/>
        </w:trPr>
        <w:tc>
          <w:tcPr>
            <w:tcW w:w="236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right="3899" w:hanging="791"/>
        <w:spacing w:after="0" w:line="258" w:lineRule="auto"/>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properties located in 43 other states, none of which aggregated over $4,939 in any one state.</w:t>
      </w:r>
    </w:p>
    <w:p>
      <w:pPr>
        <w:spacing w:after="0" w:line="200" w:lineRule="exact"/>
        <w:rPr>
          <w:sz w:val="20"/>
          <w:szCs w:val="20"/>
          <w:color w:val="auto"/>
        </w:rPr>
      </w:pPr>
    </w:p>
    <w:p>
      <w:pPr>
        <w:spacing w:after="0" w:line="294"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The following schedule presents the activity, in aggregate, in the valuation allowance on real estate owned for the years ended December 31: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440" w:type="dxa"/>
            <w:vAlign w:val="bottom"/>
          </w:tcPr>
          <w:p>
            <w:pPr>
              <w:spacing w:after="0"/>
              <w:rPr>
                <w:sz w:val="14"/>
                <w:szCs w:val="14"/>
                <w:color w:val="auto"/>
              </w:rPr>
            </w:pP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17,181</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15,325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12,346</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Provision for losses..................</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26,674</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28,008</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18,626</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Charge-offs and sales.................</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(25,713)</w:t>
            </w: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(26,152)</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(15,647)</w:t>
            </w:r>
          </w:p>
        </w:tc>
      </w:tr>
      <w:tr>
        <w:trPr>
          <w:trHeight w:val="167"/>
        </w:trPr>
        <w:tc>
          <w:tcPr>
            <w:tcW w:w="3440" w:type="dxa"/>
            <w:vAlign w:val="bottom"/>
          </w:tcPr>
          <w:p>
            <w:pPr>
              <w:spacing w:after="0"/>
              <w:rPr>
                <w:sz w:val="14"/>
                <w:szCs w:val="14"/>
                <w:color w:val="auto"/>
              </w:rPr>
            </w:pP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18,142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17,181</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15,325</w:t>
            </w:r>
          </w:p>
        </w:tc>
      </w:tr>
      <w:tr>
        <w:trPr>
          <w:trHeight w:val="167"/>
        </w:trPr>
        <w:tc>
          <w:tcPr>
            <w:tcW w:w="3440" w:type="dxa"/>
            <w:vAlign w:val="bottom"/>
          </w:tcPr>
          <w:p>
            <w:pPr>
              <w:spacing w:after="0"/>
              <w:rPr>
                <w:sz w:val="14"/>
                <w:szCs w:val="14"/>
                <w:color w:val="auto"/>
              </w:rPr>
            </w:pP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REAL ESTATE HELD FOR SALE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Company's real estate held for sale consisted of two retail shopping centers with an aggregate carrying value of $22,670 at December 31, 2000. These properties were acquired as a result of the acquisition of OAC and were previously held for investment at December 31, 1999. The Company continues to actively market the properties for sale.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453" w:right="1440" w:bottom="1440" w:gutter="0" w:footer="0" w:header="0"/>
        </w:sectPr>
      </w:pPr>
    </w:p>
    <w:bookmarkStart w:id="119" w:name="page120"/>
    <w:bookmarkEnd w:id="119"/>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INVESTMENT IN REAL ESTATE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Company's investment in real estate consisted of the following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78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Properties held for investment (1):</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Office buildings...................................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32,112</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202,607</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9,515</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33,224</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Building improvements..............................</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11,346</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17,590</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Tenant improvements and lease commissions..........</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1,744</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8,150</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Furniture and fixtures.............................</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r>
        <w:trPr>
          <w:trHeight w:val="167"/>
        </w:trPr>
        <w:tc>
          <w:tcPr>
            <w:tcW w:w="478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54,769</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261,615</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Accumulated depreciation...........................</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(2,359)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(9,011)</w:t>
            </w:r>
          </w:p>
        </w:tc>
      </w:tr>
      <w:tr>
        <w:trPr>
          <w:trHeight w:val="167"/>
        </w:trPr>
        <w:tc>
          <w:tcPr>
            <w:tcW w:w="478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52,410</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252,604</w:t>
            </w:r>
          </w:p>
        </w:tc>
      </w:tr>
      <w:tr>
        <w:trPr>
          <w:trHeight w:val="167"/>
        </w:trPr>
        <w:tc>
          <w:tcPr>
            <w:tcW w:w="478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Loans accounted for as investments in real estate (2):</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Multi-family residential...........................</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Nonresidential.....................................</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45,689</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45,786</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Properties held for lease:</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Land and land improvements ........................</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1,256</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1,256</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Building...........................................</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15,641</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14,629</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Accumulated depreciation...........................</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(855)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(248)</w:t>
            </w:r>
          </w:p>
        </w:tc>
      </w:tr>
      <w:tr>
        <w:trPr>
          <w:trHeight w:val="167"/>
        </w:trPr>
        <w:tc>
          <w:tcPr>
            <w:tcW w:w="478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16,042</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15,637</w:t>
            </w:r>
          </w:p>
        </w:tc>
      </w:tr>
      <w:tr>
        <w:trPr>
          <w:trHeight w:val="167"/>
        </w:trPr>
        <w:tc>
          <w:tcPr>
            <w:tcW w:w="478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 in real estate partnerships (3)(4).........</w:t>
            </w:r>
          </w:p>
        </w:tc>
        <w:tc>
          <w:tcPr>
            <w:tcW w:w="34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8,523</w:t>
            </w:r>
          </w:p>
        </w:tc>
        <w:tc>
          <w:tcPr>
            <w:tcW w:w="22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122,761</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268,241</w:t>
            </w:r>
          </w:p>
        </w:tc>
      </w:tr>
      <w:tr>
        <w:trPr>
          <w:trHeight w:val="167"/>
        </w:trPr>
        <w:tc>
          <w:tcPr>
            <w:tcW w:w="478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right="3279" w:hanging="791"/>
        <w:spacing w:after="0" w:line="254" w:lineRule="auto"/>
        <w:tabs>
          <w:tab w:leader="none" w:pos="8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Acquired as a result of the acquisition of OAC. The decline in balances during 2000 is due to sales and the transfer of properties from held for investment to held for sale. The Company's properties held for investment at December 31, 2000 are comprised of one commercial office building and one retail shopping center.</w:t>
      </w:r>
    </w:p>
    <w:p>
      <w:pPr>
        <w:spacing w:after="0" w:line="162"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acquisition, development and construction loans were acquired in January 2000 in which the Company participates in the expected residual profits of the underlying real estate, and the borrower has not contributed substantial equity to the project. As such, the Company has accounted for these loans under the equity method of accounting as though it had an investment in a real estate limited partnership.</w:t>
      </w:r>
    </w:p>
    <w:p>
      <w:pPr>
        <w:spacing w:after="0" w:line="165" w:lineRule="exact"/>
        <w:rPr>
          <w:rFonts w:ascii="Courier New" w:cs="Courier New" w:eastAsia="Courier New" w:hAnsi="Courier New"/>
          <w:sz w:val="14"/>
          <w:szCs w:val="14"/>
          <w:color w:val="auto"/>
        </w:rPr>
      </w:pPr>
    </w:p>
    <w:p>
      <w:pPr>
        <w:ind w:left="800" w:right="3539" w:hanging="791"/>
        <w:spacing w:after="0" w:line="258" w:lineRule="auto"/>
        <w:tabs>
          <w:tab w:leader="none" w:pos="8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interests in four limited partnerships operating as real estate ventures, consisting of multi-family type properties.</w:t>
      </w:r>
    </w:p>
    <w:p>
      <w:pPr>
        <w:spacing w:after="0" w:line="159" w:lineRule="exact"/>
        <w:rPr>
          <w:rFonts w:ascii="Courier New" w:cs="Courier New" w:eastAsia="Courier New" w:hAnsi="Courier New"/>
          <w:sz w:val="14"/>
          <w:szCs w:val="14"/>
          <w:color w:val="auto"/>
        </w:rPr>
      </w:pPr>
    </w:p>
    <w:p>
      <w:pPr>
        <w:jc w:val="both"/>
        <w:ind w:left="800" w:right="3459" w:hanging="791"/>
        <w:spacing w:after="0" w:line="255" w:lineRule="auto"/>
        <w:tabs>
          <w:tab w:leader="none" w:pos="8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1999, the Company recognized an impairment charge of $2,817 on its investment in a nonresidential real estate venture, which reduced the carrying value to $0.</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MORTGAGE SERVICING</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Under contractual servicing agreements, the Company services for other investors mortgage loans which it does not own. The total unpaid principal balance of such loans serviced for others (which is not included in the consolidated statement of financial condition) was $11,360,523 and $11,105,283 at December 31, 2000 and 1999, respectively. Related escrow funds on deposit with an unaffiliated bank in the amount of $101,461 and $56,152 at December 31, 2000 and 1999, respectively, are similarly excluded from the statement of financial condition. Domestic servicing fees and other servicing-related income on loans serviced for others, included in servicing and other fees, amounted to $78,684, $73,224 and $58,439 for the years ended December 31, 2000, 1999 and 1998, respectively. In general, these servicing agreements include guidelines and procedures for servicing the loans, remittance requirements and reporting requirements, among other provisions.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453" w:right="1440" w:bottom="1440" w:gutter="0" w:footer="0" w:header="0"/>
        </w:sectPr>
      </w:pPr>
    </w:p>
    <w:bookmarkStart w:id="120" w:name="page121"/>
    <w:bookmarkEnd w:id="120"/>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Company earns servicing and sub-servicing income on mortgage loans secured by real estate in 50 states. At December 31, 2000, the geographic distribution based on the unpaid principal balance of the loans serviced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 of Loans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r>
      <w:tr>
        <w:trPr>
          <w:trHeight w:val="167"/>
        </w:trPr>
        <w:tc>
          <w:tcPr>
            <w:tcW w:w="408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25,703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2,236,876</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12,943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827,697</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Illinois.....................................</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6,817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684,004</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Texas........................................</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10,419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612,923</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5,395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534,256</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Other (1)....................................</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103,393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6,464,767</w:t>
            </w:r>
          </w:p>
        </w:tc>
      </w:tr>
      <w:tr>
        <w:trPr>
          <w:trHeight w:val="167"/>
        </w:trPr>
        <w:tc>
          <w:tcPr>
            <w:tcW w:w="408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164,670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$ 11,360,523</w:t>
            </w:r>
          </w:p>
        </w:tc>
      </w:tr>
      <w:tr>
        <w:trPr>
          <w:trHeight w:val="167"/>
        </w:trPr>
        <w:tc>
          <w:tcPr>
            <w:tcW w:w="408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right="3639" w:hanging="791"/>
        <w:spacing w:after="0" w:line="258" w:lineRule="auto"/>
        <w:tabs>
          <w:tab w:leader="none" w:pos="8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loans in 45 other states, none of which aggregated over $402,454 in any one state.</w:t>
      </w:r>
    </w:p>
    <w:p>
      <w:pPr>
        <w:spacing w:after="0" w:line="160"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risk inherent in such concentrations is dependent upon regional and general economic conditions that affect property values.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unamortized balance of mortgage servicing assets is as follows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40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Unamortized balance.............................</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53,056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13,313</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4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(1,630)</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(1,630)</w:t>
            </w:r>
          </w:p>
        </w:tc>
      </w:tr>
      <w:tr>
        <w:trPr>
          <w:trHeight w:val="167"/>
        </w:trPr>
        <w:tc>
          <w:tcPr>
            <w:tcW w:w="440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51,426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11,683</w:t>
            </w:r>
          </w:p>
        </w:tc>
      </w:tr>
      <w:tr>
        <w:trPr>
          <w:trHeight w:val="167"/>
        </w:trPr>
        <w:tc>
          <w:tcPr>
            <w:tcW w:w="440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The following table summarizes the activity in mortgage servicing assets for the years ended December 31: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40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Balance at the beginning of year................</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11,683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7,060</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Purchases.......................................</w:t>
            </w:r>
          </w:p>
        </w:tc>
        <w:tc>
          <w:tcPr>
            <w:tcW w:w="4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49,779</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9,218</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4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(10,036)</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(4,595)</w:t>
            </w:r>
          </w:p>
        </w:tc>
      </w:tr>
      <w:tr>
        <w:trPr>
          <w:trHeight w:val="167"/>
        </w:trPr>
        <w:tc>
          <w:tcPr>
            <w:tcW w:w="440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Balance at the end of the year..................</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51,426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11,683</w:t>
            </w:r>
          </w:p>
        </w:tc>
      </w:tr>
      <w:tr>
        <w:trPr>
          <w:trHeight w:val="167"/>
        </w:trPr>
        <w:tc>
          <w:tcPr>
            <w:tcW w:w="440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unamortized servicing asset balance of $51,426 at December 31,2000 was comprised of $50,265 of purchased mortgage servicing rights and $1,161 of retained mortgage servicing rights in connection with loan securitizations completed in prior years.</w:t>
      </w:r>
    </w:p>
    <w:p>
      <w:pPr>
        <w:spacing w:after="0" w:line="163" w:lineRule="exact"/>
        <w:rPr>
          <w:sz w:val="20"/>
          <w:szCs w:val="20"/>
          <w:color w:val="auto"/>
        </w:rPr>
      </w:pPr>
    </w:p>
    <w:p>
      <w:pPr>
        <w:ind w:right="4059" w:firstLine="781"/>
        <w:spacing w:after="0" w:line="258" w:lineRule="auto"/>
        <w:rPr>
          <w:sz w:val="20"/>
          <w:szCs w:val="20"/>
          <w:color w:val="auto"/>
        </w:rPr>
      </w:pPr>
      <w:r>
        <w:rPr>
          <w:rFonts w:ascii="Courier New" w:cs="Courier New" w:eastAsia="Courier New" w:hAnsi="Courier New"/>
          <w:sz w:val="14"/>
          <w:szCs w:val="14"/>
          <w:color w:val="auto"/>
        </w:rPr>
        <w:t>Advances related to loans serviced for others consisted of the following at December 31: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2000</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1999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r>
        <w:trPr>
          <w:trHeight w:val="167"/>
        </w:trPr>
        <w:tc>
          <w:tcPr>
            <w:tcW w:w="440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6"/>
              </w:rPr>
              <w:t>----------</w:t>
            </w:r>
          </w:p>
        </w:tc>
        <w:tc>
          <w:tcPr>
            <w:tcW w:w="5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Principal and interest..........................</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95,191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58,497</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Taxes and insurance.............................</w:t>
            </w:r>
          </w:p>
        </w:tc>
        <w:tc>
          <w:tcPr>
            <w:tcW w:w="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64,159</w:t>
            </w:r>
          </w:p>
        </w:tc>
        <w:tc>
          <w:tcPr>
            <w:tcW w:w="2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41,569</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44,697</w:t>
            </w:r>
          </w:p>
        </w:tc>
        <w:tc>
          <w:tcPr>
            <w:tcW w:w="2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30,921</w:t>
            </w:r>
          </w:p>
        </w:tc>
      </w:tr>
      <w:tr>
        <w:trPr>
          <w:trHeight w:val="167"/>
        </w:trPr>
        <w:tc>
          <w:tcPr>
            <w:tcW w:w="440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6"/>
              </w:rPr>
              <w:t>----------</w:t>
            </w:r>
          </w:p>
        </w:tc>
        <w:tc>
          <w:tcPr>
            <w:tcW w:w="5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14"/>
                <w:szCs w:val="14"/>
                <w:color w:val="auto"/>
              </w:rPr>
            </w:pP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204,047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130,987</w:t>
            </w:r>
          </w:p>
        </w:tc>
      </w:tr>
      <w:tr>
        <w:trPr>
          <w:trHeight w:val="167"/>
        </w:trPr>
        <w:tc>
          <w:tcPr>
            <w:tcW w:w="4400" w:type="dxa"/>
            <w:vAlign w:val="bottom"/>
          </w:tcPr>
          <w:p>
            <w:pPr>
              <w:spacing w:after="0"/>
              <w:rPr>
                <w:sz w:val="14"/>
                <w:szCs w:val="14"/>
                <w:color w:val="auto"/>
              </w:rPr>
            </w:pPr>
          </w:p>
        </w:tc>
        <w:tc>
          <w:tcPr>
            <w:tcW w:w="1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right="3459" w:hanging="791"/>
        <w:spacing w:after="0" w:line="258" w:lineRule="auto"/>
        <w:tabs>
          <w:tab w:leader="none" w:pos="8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advances on the Company's loan portfolios of $23,008 and $31,561 at December 31, 2000 and 1999, respectively.</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239"/>
          </w:cols>
          <w:pgMar w:left="220" w:top="453" w:right="1440" w:bottom="1440" w:gutter="0" w:footer="0" w:header="0"/>
        </w:sectPr>
      </w:pPr>
    </w:p>
    <w:bookmarkStart w:id="121" w:name="page122"/>
    <w:bookmarkEnd w:id="121"/>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 LOW-INCOME HOUSING TAX CREDIT INTERESTS HELD FOR SALE</w:t>
      </w:r>
    </w:p>
    <w:p>
      <w:pPr>
        <w:spacing w:after="0" w:line="175"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The carrying value of the Company's investments in low-income housing tax credit interests held for sale are as follows at December 31: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2000</w:t>
            </w:r>
          </w:p>
        </w:tc>
        <w:tc>
          <w:tcPr>
            <w:tcW w:w="4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18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880" w:type="dxa"/>
            <w:vAlign w:val="bottom"/>
          </w:tcPr>
          <w:p>
            <w:pPr>
              <w:spacing w:after="0"/>
              <w:rPr>
                <w:sz w:val="20"/>
                <w:szCs w:val="20"/>
                <w:color w:val="auto"/>
              </w:rPr>
            </w:pPr>
            <w:r>
              <w:rPr>
                <w:rFonts w:ascii="Courier New" w:cs="Courier New" w:eastAsia="Courier New" w:hAnsi="Courier New"/>
                <w:sz w:val="14"/>
                <w:szCs w:val="14"/>
                <w:color w:val="auto"/>
              </w:rPr>
              <w:t>Investments solely as</w:t>
            </w:r>
          </w:p>
        </w:tc>
        <w:tc>
          <w:tcPr>
            <w:tcW w:w="5460" w:type="dxa"/>
            <w:vAlign w:val="bottom"/>
          </w:tcPr>
          <w:p>
            <w:pPr>
              <w:ind w:left="40"/>
              <w:spacing w:after="0"/>
              <w:rPr>
                <w:sz w:val="20"/>
                <w:szCs w:val="20"/>
                <w:color w:val="auto"/>
              </w:rPr>
            </w:pPr>
            <w:r>
              <w:rPr>
                <w:rFonts w:ascii="Courier New" w:cs="Courier New" w:eastAsia="Courier New" w:hAnsi="Courier New"/>
                <w:sz w:val="14"/>
                <w:szCs w:val="14"/>
                <w:color w:val="auto"/>
              </w:rPr>
              <w:t>a limited partner made prior to May 18, 1995................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32,229</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Investments solely as</w:t>
            </w:r>
          </w:p>
        </w:tc>
        <w:tc>
          <w:tcPr>
            <w:tcW w:w="5460" w:type="dxa"/>
            <w:vAlign w:val="bottom"/>
          </w:tcPr>
          <w:p>
            <w:pPr>
              <w:ind w:left="40"/>
              <w:spacing w:after="0"/>
              <w:rPr>
                <w:sz w:val="20"/>
                <w:szCs w:val="20"/>
                <w:color w:val="auto"/>
              </w:rPr>
            </w:pPr>
            <w:r>
              <w:rPr>
                <w:rFonts w:ascii="Courier New" w:cs="Courier New" w:eastAsia="Courier New" w:hAnsi="Courier New"/>
                <w:sz w:val="14"/>
                <w:szCs w:val="14"/>
                <w:color w:val="auto"/>
              </w:rPr>
              <w:t>a limited partner made on or after May 18, 1995.............</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8,922</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Investments both as a</w:t>
            </w:r>
          </w:p>
        </w:tc>
        <w:tc>
          <w:tcPr>
            <w:tcW w:w="5460" w:type="dxa"/>
            <w:vAlign w:val="bottom"/>
          </w:tcPr>
          <w:p>
            <w:pPr>
              <w:ind w:left="40"/>
              <w:spacing w:after="0"/>
              <w:rPr>
                <w:sz w:val="20"/>
                <w:szCs w:val="20"/>
                <w:color w:val="auto"/>
              </w:rPr>
            </w:pPr>
            <w:r>
              <w:rPr>
                <w:rFonts w:ascii="Courier New" w:cs="Courier New" w:eastAsia="Courier New" w:hAnsi="Courier New"/>
                <w:sz w:val="14"/>
                <w:szCs w:val="14"/>
                <w:color w:val="auto"/>
              </w:rPr>
              <w:t>limited and, through subsidiaries, as a general partner.....</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45,932</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87,083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During 2000, the Company entered into transactions to sell twenty-five of its low-income housing tax credit properties, together with the related tax credits. Although these transactions resulted in the transfer of tax credits and operating results for these properties to the purchasers, they did not qualify as sales for accounting purposes, primarily due to insufficient cash received at signing, as well as to certain contingencies with respect to potential repurchase requirements. As a result, the Company has reclassified these properties as held for sale and has valued them at the lower of cost or fair value less disposal costs. The Company recorded a charge to earnings during 2000 of $6,448 reflecting the expected net loss to be incurred upon completion of these transactions.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 INVESTMENTS IN LOW INCOME HOUSING TAX CREDIT INTERESTS</w:t>
      </w:r>
    </w:p>
    <w:p>
      <w:pPr>
        <w:spacing w:after="0" w:line="175"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The carrying value of the Company's investments in low-income housing tax credit interests are as follows at December 31: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4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18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880" w:type="dxa"/>
            <w:vAlign w:val="bottom"/>
          </w:tcPr>
          <w:p>
            <w:pPr>
              <w:spacing w:after="0"/>
              <w:rPr>
                <w:sz w:val="20"/>
                <w:szCs w:val="20"/>
                <w:color w:val="auto"/>
              </w:rPr>
            </w:pPr>
            <w:r>
              <w:rPr>
                <w:rFonts w:ascii="Courier New" w:cs="Courier New" w:eastAsia="Courier New" w:hAnsi="Courier New"/>
                <w:sz w:val="14"/>
                <w:szCs w:val="14"/>
                <w:color w:val="auto"/>
              </w:rPr>
              <w:t>Investments solely as</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a limited partner made prior to May 18, 1995................</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21,170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17,327</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Investments solely as</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a limited partner made on or after May 18, 1995.............</w:t>
            </w:r>
          </w:p>
        </w:tc>
        <w:tc>
          <w:tcPr>
            <w:tcW w:w="5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6,263</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59,541</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Investments both as a</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limited and, through subsidiaries, as a general partner.....</w:t>
            </w:r>
          </w:p>
        </w:tc>
        <w:tc>
          <w:tcPr>
            <w:tcW w:w="5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28,296</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74,121</w:t>
            </w:r>
          </w:p>
        </w:tc>
      </w:tr>
      <w:tr>
        <w:trPr>
          <w:trHeight w:val="167"/>
        </w:trPr>
        <w:tc>
          <w:tcPr>
            <w:tcW w:w="18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55,729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150,989</w:t>
            </w:r>
          </w:p>
        </w:tc>
      </w:tr>
      <w:tr>
        <w:trPr>
          <w:trHeight w:val="167"/>
        </w:trPr>
        <w:tc>
          <w:tcPr>
            <w:tcW w:w="18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qualified affordable housing projects underlying the Company's investments in low-income housing tax credit interests are geographically located throughout the United States. At December 31, 2000, the Company's largest single investment was $11,473, which related to a project located in New Jersey.</w:t>
      </w:r>
    </w:p>
    <w:p>
      <w:pPr>
        <w:spacing w:after="0" w:line="330"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Income on the Company's limited partnership investments made prior to May 18, 1995 is recorded under the level yield method as a reduction of income tax expense and amounted to $2,093, $2,953 and $4,651 for the years ended December 31, 2000, 1999 and 1998, respectively. For 2000, the Company also recorded additional income tax expense of $6,875 related to certain of its limited partnership investments made prior to May 18, 1995 resulting from the sale of those investments in advance of their maturity for tax credit purposes. As a result, not all of the deferred tax benefit that had been previously recorded by the Company under the level yield method could be realized, and the related accrual for the excess benefits was reversed. Had the investments accounted for under the level yield method been accounted for under the equity method, income would have been reduced by $337, $60 and $1,113 for the years ended December 31, 2000, 1999 and 1998, respectively. For limited partnership investments made after May 18, 1995, and for investments as a limited and, through subsidiaries, as a general partner, the Company recognized tax credits of $7,359, $15,289 and $13,017 for the years ended December 31, 2000, 1999 and 1998, respectively, and excluding the $6,448 provision for losses on properties sold in 2000, recorded a loss after depreciation of $3,483, $6,291 and $6,905 from operations on the underlying real estate for the years ended December 31, 2000, 1999 and 1998, respectively.</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Included in gains on other non-interest earning assets, net, for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2000, 1999 and 1998, are gains of $497, $6,591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$7,366, respectively, on the sales of certain investments in low-income housing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credit interests which had carrying values of $27,402, $41,744 and $28,887,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at time of sale.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10239"/>
          </w:cols>
          <w:pgMar w:left="220" w:top="453" w:right="1440" w:bottom="974" w:gutter="0" w:footer="0" w:header="0"/>
        </w:sectPr>
      </w:pPr>
    </w:p>
    <w:bookmarkStart w:id="122" w:name="page123"/>
    <w:bookmarkEnd w:id="122"/>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 PREMISES AND EQUIPMENT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Premises and equipment are summarized as follows at December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74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Computer hardware and software.......................</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42,759</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39,224</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19,265</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19,192</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3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10,056</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9,651</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Land and land improvements...........................</w:t>
            </w:r>
          </w:p>
        </w:tc>
        <w:tc>
          <w:tcPr>
            <w:tcW w:w="3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4,814</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4,782</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3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7,455</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6,704</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Office equipment.....................................</w:t>
            </w:r>
          </w:p>
        </w:tc>
        <w:tc>
          <w:tcPr>
            <w:tcW w:w="3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746</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2,269</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3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(41,943)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(32,784)</w:t>
            </w:r>
          </w:p>
        </w:tc>
      </w:tr>
      <w:tr>
        <w:trPr>
          <w:trHeight w:val="167"/>
        </w:trPr>
        <w:tc>
          <w:tcPr>
            <w:tcW w:w="474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43,152</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49,038</w:t>
            </w:r>
          </w:p>
        </w:tc>
      </w:tr>
      <w:tr>
        <w:trPr>
          <w:trHeight w:val="167"/>
        </w:trPr>
        <w:tc>
          <w:tcPr>
            <w:tcW w:w="474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Depreciation expense amounted to $12,248, $13,546 and $11,703 for 2000, 1999 and 1998, respectively (of which $2,353, $2,343 and $1,461 for 2000, 1999 and 1998, respectively, related to computer software). Buildings represent the Company's nationwide customer service and collection facility in Orlando, Florida, construction of which was completed during 1999.</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 DEPOSITS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Company's deposits consist of the following at December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74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Non-interest-bearing deposits........................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69,840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252,634</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NOW and money market checking accounts...............</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14,669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30,343</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Savings accounts.....................................</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1,361</w:t>
            </w:r>
          </w:p>
        </w:tc>
      </w:tr>
      <w:tr>
        <w:trPr>
          <w:trHeight w:val="167"/>
        </w:trPr>
        <w:tc>
          <w:tcPr>
            <w:tcW w:w="474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85,783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284,338</w:t>
            </w:r>
          </w:p>
        </w:tc>
      </w:tr>
      <w:tr>
        <w:trPr>
          <w:trHeight w:val="167"/>
        </w:trPr>
        <w:tc>
          <w:tcPr>
            <w:tcW w:w="474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Certificates of deposit (1)(2).......................</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1,176,566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1,536,997</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Unamortized deferred fees............................</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(6,688)</w:t>
            </w:r>
          </w:p>
        </w:tc>
      </w:tr>
      <w:tr>
        <w:trPr>
          <w:trHeight w:val="167"/>
        </w:trPr>
        <w:tc>
          <w:tcPr>
            <w:tcW w:w="474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1,172,577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1,530,309</w:t>
            </w:r>
          </w:p>
        </w:tc>
      </w:tr>
      <w:tr>
        <w:trPr>
          <w:trHeight w:val="167"/>
        </w:trPr>
        <w:tc>
          <w:tcPr>
            <w:tcW w:w="474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1,258,360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$1,814,647</w:t>
            </w:r>
          </w:p>
        </w:tc>
      </w:tr>
      <w:tr>
        <w:trPr>
          <w:trHeight w:val="167"/>
        </w:trPr>
        <w:tc>
          <w:tcPr>
            <w:tcW w:w="474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379" w:hanging="431"/>
        <w:spacing w:after="0" w:line="254" w:lineRule="auto"/>
        <w:tabs>
          <w:tab w:leader="none" w:pos="4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2000 and 1999, certificates of deposit, net of unamortized deferred fees, included $964,443 and $1,379,262, respectively, of deposits originated through national, regional and local investment banking firms which solicit deposits from their customers, all of which are non-cancellable.</w:t>
      </w:r>
    </w:p>
    <w:p>
      <w:pPr>
        <w:spacing w:after="0" w:line="162" w:lineRule="exact"/>
        <w:rPr>
          <w:rFonts w:ascii="Courier New" w:cs="Courier New" w:eastAsia="Courier New" w:hAnsi="Courier New"/>
          <w:sz w:val="14"/>
          <w:szCs w:val="14"/>
          <w:color w:val="auto"/>
        </w:rPr>
      </w:pPr>
    </w:p>
    <w:p>
      <w:pPr>
        <w:ind w:left="440" w:right="3379" w:hanging="431"/>
        <w:spacing w:after="0" w:line="253" w:lineRule="auto"/>
        <w:tabs>
          <w:tab w:leader="none" w:pos="4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2000 and 1999, certificates of deposit issued on an uninsured basis amounted to $75,417 and $155,205, respectively. Of the $75,417 of uninsured deposits at December 31, 2000, $24,781 were from political subdivisions in New Jersey and are secured or collateralized as required under state law. Non-interest bearing deposits at December 31, 2000 and 1999 included $47,697 and $230,141, respectively, of escrow balances related to principal, interest, taxes and insurance collected but not yet remitted in accordance with loan servicing agreements.</w:t>
      </w:r>
    </w:p>
    <w:p>
      <w:pPr>
        <w:spacing w:after="0" w:line="165"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The contractual remaining maturity of the Company's certificates of deposit at December 31, 2000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20"/>
                <w:szCs w:val="20"/>
                <w:color w:val="auto"/>
              </w:rPr>
            </w:pPr>
            <w:r>
              <w:rPr>
                <w:rFonts w:ascii="Courier New" w:cs="Courier New" w:eastAsia="Courier New" w:hAnsi="Courier New"/>
                <w:sz w:val="14"/>
                <w:szCs w:val="14"/>
                <w:color w:val="auto"/>
              </w:rPr>
              <w:t>Within one year.................................................</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642,342</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Within two years................................................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327,125</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Within three years..............................................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104,058</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Within four years...............................................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53,634</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Within five years...............................................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25,377</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20,041</w:t>
            </w:r>
          </w:p>
        </w:tc>
      </w:tr>
      <w:tr>
        <w:trPr>
          <w:trHeight w:val="167"/>
        </w:trPr>
        <w:tc>
          <w:tcPr>
            <w:tcW w:w="57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$ 1,172,577</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10239"/>
          </w:cols>
          <w:pgMar w:left="220" w:top="453" w:right="1440" w:bottom="1440" w:gutter="0" w:footer="0" w:header="0"/>
        </w:sectPr>
      </w:pPr>
    </w:p>
    <w:bookmarkStart w:id="123" w:name="page124"/>
    <w:bookmarkEnd w:id="123"/>
    <w:p>
      <w:pPr>
        <w:jc w:val="center"/>
        <w:ind w:right="390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4080" w:firstLine="781"/>
        <w:spacing w:after="0" w:line="253" w:lineRule="auto"/>
        <w:rPr>
          <w:sz w:val="20"/>
          <w:szCs w:val="20"/>
          <w:color w:val="auto"/>
        </w:rPr>
      </w:pPr>
      <w:r>
        <w:rPr>
          <w:rFonts w:ascii="Courier New" w:cs="Courier New" w:eastAsia="Courier New" w:hAnsi="Courier New"/>
          <w:sz w:val="14"/>
          <w:szCs w:val="14"/>
          <w:color w:val="auto"/>
        </w:rPr>
        <w:t>Deferred fees on certificates of deposits are amortized on a straight-line basis over the term of the respective certificates of deposit. Such amortization amounted to $4,419, $5,098 and $6,353 for the years ended December 31, 2000, 1999 and 1998, respectively, and is included in interest expense on deposits. Interest expense by type of deposit account is as follows for the years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2000</w:t>
            </w:r>
          </w:p>
        </w:tc>
        <w:tc>
          <w:tcPr>
            <w:tcW w:w="26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82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NOW accounts and money market checking.....</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1,434</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Savings....................................</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2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Certificates of deposit....................</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97,655</w:t>
            </w:r>
          </w:p>
        </w:tc>
        <w:tc>
          <w:tcPr>
            <w:tcW w:w="2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97,019</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115,112</w:t>
            </w:r>
          </w:p>
        </w:tc>
      </w:tr>
      <w:tr>
        <w:trPr>
          <w:trHeight w:val="167"/>
        </w:trPr>
        <w:tc>
          <w:tcPr>
            <w:tcW w:w="382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260" w:hanging="345"/>
        <w:spacing w:after="0"/>
        <w:tabs>
          <w:tab w:leader="none" w:pos="42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98,224  $   98,370  $  116,584</w:t>
      </w:r>
    </w:p>
    <w:p>
      <w:pPr>
        <w:spacing w:after="0" w:line="8" w:lineRule="exact"/>
        <w:rPr>
          <w:rFonts w:ascii="Courier New" w:cs="Courier New" w:eastAsia="Courier New" w:hAnsi="Courier New"/>
          <w:sz w:val="14"/>
          <w:szCs w:val="14"/>
          <w:color w:val="auto"/>
        </w:rPr>
      </w:pPr>
    </w:p>
    <w:p>
      <w:pPr>
        <w:ind w:left="3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p>
      <w:pPr>
        <w:ind w:right="4080" w:firstLine="781"/>
        <w:spacing w:after="0" w:line="258" w:lineRule="auto"/>
        <w:rPr>
          <w:sz w:val="20"/>
          <w:szCs w:val="20"/>
          <w:color w:val="auto"/>
        </w:rPr>
      </w:pPr>
      <w:r>
        <w:rPr>
          <w:rFonts w:ascii="Courier New" w:cs="Courier New" w:eastAsia="Courier New" w:hAnsi="Courier New"/>
          <w:sz w:val="14"/>
          <w:szCs w:val="14"/>
          <w:color w:val="auto"/>
        </w:rPr>
        <w:t>Accrued interest payable on deposits amounted to $14,955, $15,078 and $22,687 at December 31, 2000, 1999 and 1998, respectively.</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19: BONDS-MATCH FUNDED AGREEMENTS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Bonds-match funded agreements were comprised of the following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96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OAC Mortgage Residential Securities Holdings, LLC.......</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72,101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100,968</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Ocwen NIMS Corp.........................................</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34,949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40,547</w:t>
            </w:r>
          </w:p>
        </w:tc>
      </w:tr>
      <w:tr>
        <w:trPr>
          <w:trHeight w:val="167"/>
        </w:trPr>
        <w:tc>
          <w:tcPr>
            <w:tcW w:w="496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107,050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141,515</w:t>
            </w:r>
          </w:p>
        </w:tc>
      </w:tr>
      <w:tr>
        <w:trPr>
          <w:trHeight w:val="167"/>
        </w:trPr>
        <w:tc>
          <w:tcPr>
            <w:tcW w:w="496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900" w:firstLine="781"/>
        <w:spacing w:after="0" w:line="254" w:lineRule="auto"/>
        <w:rPr>
          <w:sz w:val="20"/>
          <w:szCs w:val="20"/>
          <w:color w:val="auto"/>
        </w:rPr>
      </w:pPr>
      <w:r>
        <w:rPr>
          <w:rFonts w:ascii="Courier New" w:cs="Courier New" w:eastAsia="Courier New" w:hAnsi="Courier New"/>
          <w:sz w:val="14"/>
          <w:szCs w:val="14"/>
          <w:color w:val="auto"/>
        </w:rPr>
        <w:t>At December 31, 2000 and 1999, bonds-match funded agreements had a weighted average interest rate of 8.07% and 7.84%, respectively. Accrued interest payable on bonds-match funded agreements amounted to $143 and $264 at December 31, 2000 and 1999, respectively. Interest expense on bonds-match funded agreements amounted to $11,484 and $2,101 during 2000 and 1999,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20: LINES OF CREDIT AND OTHER SHORT-TERM BORROWINGS</w:t>
      </w:r>
    </w:p>
    <w:p>
      <w:pPr>
        <w:spacing w:after="0" w:line="175" w:lineRule="exact"/>
        <w:rPr>
          <w:sz w:val="20"/>
          <w:szCs w:val="20"/>
          <w:color w:val="auto"/>
        </w:rPr>
      </w:pPr>
    </w:p>
    <w:p>
      <w:pPr>
        <w:ind w:right="3900" w:firstLine="781"/>
        <w:spacing w:after="0" w:line="258" w:lineRule="auto"/>
        <w:rPr>
          <w:sz w:val="20"/>
          <w:szCs w:val="20"/>
          <w:color w:val="auto"/>
        </w:rPr>
      </w:pPr>
      <w:r>
        <w:rPr>
          <w:rFonts w:ascii="Courier New" w:cs="Courier New" w:eastAsia="Courier New" w:hAnsi="Courier New"/>
          <w:sz w:val="14"/>
          <w:szCs w:val="14"/>
          <w:color w:val="auto"/>
        </w:rPr>
        <w:t>The Company through its subsidiaries has obtained secured lines of credit arrangements from various unaffiliated financial institutions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Balance</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Amount of</w:t>
            </w:r>
          </w:p>
        </w:tc>
        <w:tc>
          <w:tcPr>
            <w:tcW w:w="1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Committed</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Maturity</w:t>
            </w: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2100" w:type="dxa"/>
            <w:vAlign w:val="bottom"/>
          </w:tcPr>
          <w:p>
            <w:pPr>
              <w:ind w:left="700"/>
              <w:spacing w:after="0"/>
              <w:rPr>
                <w:sz w:val="20"/>
                <w:szCs w:val="20"/>
                <w:color w:val="auto"/>
              </w:rPr>
            </w:pPr>
            <w:r>
              <w:rPr>
                <w:rFonts w:ascii="Courier New" w:cs="Courier New" w:eastAsia="Courier New" w:hAnsi="Courier New"/>
                <w:sz w:val="14"/>
                <w:szCs w:val="14"/>
                <w:color w:val="auto"/>
              </w:rPr>
              <w:t>Entity</w:t>
            </w: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Outstanding</w:t>
            </w:r>
          </w:p>
        </w:tc>
        <w:tc>
          <w:tcPr>
            <w:tcW w:w="4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Facility</w:t>
            </w:r>
          </w:p>
        </w:tc>
        <w:tc>
          <w:tcPr>
            <w:tcW w:w="3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Amount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Date</w:t>
            </w:r>
          </w:p>
        </w:tc>
        <w:tc>
          <w:tcPr>
            <w:tcW w:w="27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Interest Rate(3)</w:t>
            </w:r>
          </w:p>
        </w:tc>
      </w:tr>
      <w:tr>
        <w:trPr>
          <w:trHeight w:val="167"/>
        </w:trPr>
        <w:tc>
          <w:tcPr>
            <w:tcW w:w="210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7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DECEMBER 31, 2000:</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OAC (1)..............</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32,933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200,000</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115,580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2001</w:t>
            </w:r>
          </w:p>
        </w:tc>
        <w:tc>
          <w:tcPr>
            <w:tcW w:w="2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LIBOR + 240 basis points</w:t>
            </w:r>
          </w:p>
        </w:tc>
      </w:tr>
      <w:tr>
        <w:trPr>
          <w:trHeight w:val="167"/>
        </w:trPr>
        <w:tc>
          <w:tcPr>
            <w:tcW w:w="210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OFS (2)..............</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2,041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200,000</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July 2001</w:t>
            </w:r>
          </w:p>
        </w:tc>
        <w:tc>
          <w:tcPr>
            <w:tcW w:w="2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LIBOR + 75 basis points</w:t>
            </w:r>
          </w:p>
        </w:tc>
      </w:tr>
      <w:tr>
        <w:trPr>
          <w:trHeight w:val="167"/>
        </w:trPr>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3,770</w:t>
            </w:r>
          </w:p>
        </w:tc>
        <w:tc>
          <w:tcPr>
            <w:tcW w:w="4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115,000</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May 2000</w:t>
            </w:r>
          </w:p>
        </w:tc>
        <w:tc>
          <w:tcPr>
            <w:tcW w:w="2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LIBOR + 95 - 150 basis points</w:t>
            </w:r>
          </w:p>
        </w:tc>
      </w:tr>
      <w:tr>
        <w:trPr>
          <w:trHeight w:val="167"/>
        </w:trPr>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15,227</w:t>
            </w:r>
          </w:p>
        </w:tc>
        <w:tc>
          <w:tcPr>
            <w:tcW w:w="4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May 2000</w:t>
            </w:r>
          </w:p>
        </w:tc>
        <w:tc>
          <w:tcPr>
            <w:tcW w:w="2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LIBOR + 137.5 basis points</w:t>
            </w:r>
          </w:p>
        </w:tc>
      </w:tr>
      <w:tr>
        <w:trPr>
          <w:trHeight w:val="167"/>
        </w:trPr>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7,658</w:t>
            </w:r>
          </w:p>
        </w:tc>
        <w:tc>
          <w:tcPr>
            <w:tcW w:w="4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25,000</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May 2000</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LIBOR + 175</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basis points</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OAC (1)..............</w:t>
            </w:r>
          </w:p>
        </w:tc>
        <w:tc>
          <w:tcPr>
            <w:tcW w:w="380" w:type="dxa"/>
            <w:vAlign w:val="bottom"/>
          </w:tcPr>
          <w:p>
            <w:pPr>
              <w:spacing w:after="0"/>
              <w:rPr>
                <w:sz w:val="24"/>
                <w:szCs w:val="24"/>
                <w:color w:val="auto"/>
              </w:rPr>
            </w:pP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84,170</w:t>
            </w:r>
          </w:p>
        </w:tc>
        <w:tc>
          <w:tcPr>
            <w:tcW w:w="420" w:type="dxa"/>
            <w:vAlign w:val="bottom"/>
          </w:tcPr>
          <w:p>
            <w:pPr>
              <w:spacing w:after="0"/>
              <w:rPr>
                <w:sz w:val="24"/>
                <w:szCs w:val="2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200,000</w:t>
            </w:r>
          </w:p>
        </w:tc>
        <w:tc>
          <w:tcPr>
            <w:tcW w:w="3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2001</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LIBOR + 175</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basis points</w:t>
            </w:r>
          </w:p>
        </w:tc>
      </w:tr>
      <w:tr>
        <w:trPr>
          <w:trHeight w:val="167"/>
        </w:trPr>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75,000</w:t>
            </w:r>
          </w:p>
        </w:tc>
        <w:tc>
          <w:tcPr>
            <w:tcW w:w="4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April 2001</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LIBOR + 175</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basis points</w:t>
            </w:r>
          </w:p>
        </w:tc>
      </w:tr>
    </w:tbl>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hanging="348"/>
        <w:spacing w:after="0"/>
        <w:tabs>
          <w:tab w:leader="none" w:pos="270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187,866</w:t>
      </w:r>
    </w:p>
    <w:p>
      <w:pPr>
        <w:spacing w:after="0" w:line="8" w:lineRule="exact"/>
        <w:rPr>
          <w:rFonts w:ascii="Courier New" w:cs="Courier New" w:eastAsia="Courier New" w:hAnsi="Courier New"/>
          <w:sz w:val="14"/>
          <w:szCs w:val="14"/>
          <w:color w:val="auto"/>
        </w:rPr>
      </w:pPr>
    </w:p>
    <w:p>
      <w:pPr>
        <w:ind w:left="2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Collateralized by commercial loans and investments in real estate.</w:t>
      </w:r>
    </w:p>
    <w:p>
      <w:pPr>
        <w:spacing w:after="0" w:line="175" w:lineRule="exact"/>
        <w:rPr>
          <w:rFonts w:ascii="Courier New" w:cs="Courier New" w:eastAsia="Courier New" w:hAnsi="Courier New"/>
          <w:sz w:val="14"/>
          <w:szCs w:val="14"/>
          <w:color w:val="auto"/>
        </w:rPr>
      </w:pPr>
    </w:p>
    <w:p>
      <w:pPr>
        <w:ind w:left="800" w:right="4000" w:hanging="791"/>
        <w:spacing w:after="0" w:line="255" w:lineRule="auto"/>
        <w:tabs>
          <w:tab w:leader="none" w:pos="8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lines were used to fund subprime mortgage loan originations, generally advanced at a rate of 80% to 98% of the principal balance of the mortgage loan and are secured by such mortgage loans.</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LIBOR was 6.57% and 5.82% at December 31, 2000 and 1999, respectively.</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10860"/>
          </w:cols>
          <w:pgMar w:left="220" w:top="453" w:right="819" w:bottom="1440" w:gutter="0" w:footer="0" w:header="0"/>
        </w:sectPr>
      </w:pPr>
    </w:p>
    <w:bookmarkStart w:id="124" w:name="page125"/>
    <w:bookmarkEnd w:id="124"/>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 maximum month end amount of borrowings under lines of credit was $184,750 and $458,606 for the years ended December 31, 2000 and 1999, respectively.</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Accrued interest payable on obligations outstanding under lines of credit amounted to $0 and $200 at December 31, 2000 and 1999, respectively. Interest expense on obligations outstanding under lines of credits amounted to $13,881, $16,318 and $34,587 during 2000, 1999 and 1998, respectively.</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In addition to the above listed lines of credit, the Company, through the Bank, has the capacity to borrow from the Federal Home Bank of New York ("FHLB") up to an aggregate of $41,275, at the prevailing market rate. This facility matures in March 2001. At December 31, 2000, there were no advances outstanding from the FHLB. The maximum month end amount of advances from the FHLB was $0 and $50,000 during the years ended December 31, 2000 and 1999, respectively.</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also has contractual relationships with twelve brokerage firms and the FHLB under which it can obtain funds under reverse repurchase agreements. At December 31, 2000, there were no reverse repurchase agreements outstanding. The maximum month end amount of borrowings through reverse repurchase agreements was $421,050 and $152,269 during the years ended December 31, 2000 and 1999, respectively.</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21: NOTES, DEBENTURES AND OTHER INTEREST-BEARING OBLIGATIONS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Notes, debentures and other interest-bearing obligations mature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4740" w:type="dxa"/>
            <w:vAlign w:val="bottom"/>
          </w:tcPr>
          <w:p>
            <w:pPr>
              <w:spacing w:after="0"/>
              <w:rPr>
                <w:sz w:val="14"/>
                <w:szCs w:val="14"/>
                <w:color w:val="auto"/>
              </w:rPr>
            </w:pPr>
          </w:p>
        </w:tc>
        <w:tc>
          <w:tcPr>
            <w:tcW w:w="2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32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74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11.875% Notes due October 1..........................</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100,050</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103,850</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Loan due May 24 (LIBOR plus 250 basis points)........</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6,235</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6,236</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12% Subordinated Debentures due June 15..............</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67,000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67,000</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11.5% Notes due July 1...............................</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140,487</w:t>
            </w:r>
          </w:p>
        </w:tc>
      </w:tr>
      <w:tr>
        <w:trPr>
          <w:trHeight w:val="167"/>
        </w:trPr>
        <w:tc>
          <w:tcPr>
            <w:tcW w:w="474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173,330</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317,573</w:t>
            </w:r>
          </w:p>
        </w:tc>
      </w:tr>
      <w:tr>
        <w:trPr>
          <w:trHeight w:val="167"/>
        </w:trPr>
        <w:tc>
          <w:tcPr>
            <w:tcW w:w="474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11.875% Notes due October 1, 2003, ("the Notes") were issued by the Company in the original amount of $125,000 with interest payable semiannually on April 1 and October 1. The Notes are unsecured general obligations of the Company and are subordinated in right of payment to the claims of creditors of the Company's subsidiaries.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may not be redeemed prior to October 1, 2001, except as described below. On or after such date, the Notes may be redeemed at any time at the option of the Company, in whole or in part, at the following redemption prices (expressed as a percentage of the principal amount) plus accrued and unpaid interest, if redeemed during the twelve-month period beginning October 1 of the years indicated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18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Redemption Price</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8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105.938%</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8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102.969%</w:t>
            </w:r>
          </w:p>
        </w:tc>
      </w:tr>
    </w:tbl>
    <w:p>
      <w:pPr>
        <w:spacing w:after="0" w:line="171"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During 2000 and 1999, the Company repurchased $3,800 and $21,150, respectively, of its Notes in the open market, resulting in an extraordinary gain of $439 ($276 net of taxes) and $1,322 ($1,090 net of taxes), respectively.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indenture governing the Notes requires the Company to maintain, at all times when the Notes are not rated in an investment grade category by one or more nationally recognized statistical rating organizations, unencumbered liquid assets with a value equal to 100% of the required interest payments due on the Notes on the next two succeeding semiannual interest payment dates. The Company maintained an investment in cash and cash equivalents of $12,057 and $15,054 at December 31, 2000 and 1999, respectively, that is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97</w:t>
      </w:r>
    </w:p>
    <w:p>
      <w:pPr>
        <w:sectPr>
          <w:pgSz w:w="11900" w:h="16838" w:orient="portrait"/>
          <w:cols w:equalWidth="0" w:num="1">
            <w:col w:w="10239"/>
          </w:cols>
          <w:pgMar w:left="220" w:top="453" w:right="1440" w:bottom="1440" w:gutter="0" w:footer="0" w:header="0"/>
        </w:sectPr>
      </w:pPr>
    </w:p>
    <w:bookmarkStart w:id="125" w:name="page126"/>
    <w:bookmarkEnd w:id="125"/>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restricted for purposes of meeting this liquidity requirement. The indenture further provides that the Company shall not sell, transfer or otherwise dispose of shares of common stock of the Bank or permit the Bank to issue, sell or otherwise dispose of shares of its common stock unless in either case the Bank remains a wholly-owned subsidiary of the Company.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connection with the issuance of the Notes, the Company incurred certain costs which have been capitalized and are being amortized on a straight-line basis over the life of the Notes. The unamortized balance of these issuance costs amounted to $2,140 and $3,030 at December 31, 2000 and 1999, respectively, and is included in other assets. Accrued interest payable on the Notes amounted to $2,970 and $3,083 at December 31, 2000 and 1999, respectively. Interest expense amounted to $12,293, $14,656 and $14,844 during 2000, 1999 and 1998, respectively.</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12% Subordinated Debentures due 2005 (the "Debentures") were issued by the Bank in the original amount of $100,000 with interest payable semiannually on June 15 and December 15. The Debentures are unsecured general obligations of the Bank and are subordinated in right of payment to all existing and future senior debt.</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Debentures may be redeemed at any time at the option of the Bank, in whole or in part, together with accrued and unpaid interest, if any, on not less than 30 nor more than 60 days notice at the following redemption prices (expressed as a percentage of the principal amount), if redeemed during the twelve-month period beginning June 15 of the years indicated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4380" w:type="dxa"/>
            <w:vAlign w:val="bottom"/>
          </w:tcPr>
          <w:p>
            <w:pPr>
              <w:spacing w:after="0"/>
              <w:rPr>
                <w:sz w:val="14"/>
                <w:szCs w:val="14"/>
                <w:color w:val="auto"/>
              </w:rPr>
            </w:pP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Redemption Price</w:t>
            </w:r>
          </w:p>
        </w:tc>
      </w:tr>
      <w:tr>
        <w:trPr>
          <w:trHeight w:val="167"/>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4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105.333%</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4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104.000%</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4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102.667%</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4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101.333%</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4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and thereafter.................................</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r>
    </w:tbl>
    <w:p>
      <w:pPr>
        <w:spacing w:after="0" w:line="33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connection with the issuance of the Debentures, the Bank incurred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costs which have been capitalized and are being amortized on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straight-line basis over the expected life of the Debentures. The unamortized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of these issuance costs amounted to $1,043 and $1,468 at December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and 1999, respectively, and is included in other assets. Accrued 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payable on the Debentures amounted to $335 and $335 at December 31, 2000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respectively. Interest expense on the Debentures amounted to $8,040,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$11,412 and $12,000 during 2000, 1999 and 1998, respectively. During 1999,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repurchased $33,000 of its Debentures in the open market, resulting in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gain of $1,605 ($1,323 net of taxes). There were no repurchases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2000.</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a result of the acquisition of OAC in October 1999, the Company assumed the 11.5% Redeemable Notes ("the Redeemable Notes") due 2005 which were issued by OAC during 1998 in the original amount of $150,000. During 2000, the Company repurchased in the open market $44,930 of the outstanding balance of its Redeemable Notes. These repurchases resulted in extraordinary gains of $8,073 ($5,086 net of taxes). Additionally, on December 21, 2000, the Company acquired $98,025 in aggregate principal outstanding of its Redeemable Notes pursuant to its tender offer and consent solicitation dated November 14, 2000. This repurchase resulted in an extraordinary gain of $9,452 ($5,955 net of taxes). Accrued interest payable on the Redeemable Notes amounted to $3 and $8,223 at December 31, 2000 and 1999, respectively. Interest expense on the Redeemable Notes amounted to $13,680 and $4,226 during 2000 and 1999, respectively.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22: CAPITAL SECURITIES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August 1997, Ocwen Capital Trust ("OCT") issued $125,000 of 10-7/8% Capital Securities (the "Capital Securities"). Proceeds from issuance of the Capital Securities were invested in 10-7/8% Junior Subordinated Debentures issued by the Company. The Junior Subordinated Debentures, which represent the sole assets of OCT, will mature on August 1, 2027. During 2000 and 1999, OCT repurchased $30,470 and $15,000, respectively, of its Capital Securities in the open market, resulting in extraordinary gains of $11,740 ($7,396 net of taxes) and $5,548 ($4,570 net of taxes), respectively.</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Holders of the Capital Securities are entitled to receive cumulative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distributions accruing from the date of original issuance and payable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semiannually in arrears on February 1 and August 1 of each year, commencing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1998, at an annual rate of 10-7/8% of the liquidation amount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per Capital Security. Payment of distributions out of moneys held by OCT,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payments on liquidation of OCT or the redemption of Capital Securities,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guaranteed by the Company to the extent OCT has funds available. If the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98</w:t>
      </w:r>
    </w:p>
    <w:p>
      <w:pPr>
        <w:sectPr>
          <w:pgSz w:w="11900" w:h="16838" w:orient="portrait"/>
          <w:cols w:equalWidth="0" w:num="1">
            <w:col w:w="10239"/>
          </w:cols>
          <w:pgMar w:left="220" w:top="453" w:right="1440" w:bottom="1141" w:gutter="0" w:footer="0" w:header="0"/>
        </w:sectPr>
      </w:pPr>
    </w:p>
    <w:bookmarkStart w:id="126" w:name="page127"/>
    <w:bookmarkEnd w:id="126"/>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Company does not make principal or interest payments on the Junior Subordinated Debentures, OCT will not have sufficient funds to make distributions on the Capital Securities, in which event the guarantee shall not apply to such distributions until OCT has sufficient funds available therefore. Accumulated distributions payable on the Capital Securities amounted to $3,533 and $4,815 at December 31, 2000 and 1999, respectively, and is included in accrued interest payable.</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Company has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the Company may elect to begin a new extension period. Accordingly, there could be multiple extension periods of varying lengths throughout the term of the Junior Subordinated Debentures. If interest payments on the Junior Subordinated Debentures are deferred, distributions on the Capital Securities will also be deferred, and the Company may not, and may not permit any subsidiary of the Company to, (i) declare or pay any dividends or distributions on, or redeem, purchase, acquire, or make a liquidation payment with respect to, the Company's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10-7/8% per annum, compounded semiannually.</w:t>
      </w:r>
    </w:p>
    <w:p>
      <w:pPr>
        <w:spacing w:after="0" w:line="17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Junior Subordinated Debentures are redeemable prior to maturity at the option of the Company, subject to the receipt of any necessary prior regulatory approval, (i) in whole or in part on or after August 1, 2007, at a redemption price equal to 105.438% of the principal amount thereof on August 1, 2007, declining ratably on each August 1 thereafter to 100% on or after August 1, 2017, plus accrued interest thereon, or (ii) at any time, in whole (but not in part), upon the occurrence and continuation of a special event (defined as a tax event, regulatory capital event or an investment company event) at a redemption price equal to the greater of (a) 100% of the principal amount thereof or (b) the sum of the present values of the principal amount and premium payable with respect to an optional redemption of such Junior Subordinated Debentures on August 1, 2007, together with scheduled payments of interest from the prepayment date to August 1, 2007, discounted to the prepayment date on a semiannual basis at the adjusted Treasury rate plus accrued interest thereon to the date of prepayment. The Capital Securities are subject to mandatory redemption, in whole or in part, upon repayment of the Junior Subordinated Debentures at maturity or their earlier redemption,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34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financial reporting purposes, OCT is treated as a subsidiary of the Company and, accordingly, the accounts of OCT are included in the consolidated financial statements of the Company. Intercompany transactions between OCT and the Company, including the Junior Subordinated Debentures, are eliminated in the consolidated financial statements of the Company. The Capital Securities are presented as a separate caption between liabilities and stockholders' equity in the consolidated statement of financial condition of the Company as "Company-obligated, mandatorily redeemable securities of subsidiary trust holding solely Junior Subordinated Debentures of the Company." Distributions on the Capital Securities are recorded as a separate caption immediately following non-interest expense in the consolidated statement of operations of the Company. The Company intends to continue this method of accounting going forward.</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connection with the issuance of the Capital Securities, the Company incurred certain costs which have been capitalized and are being amortized over the term of the Capital Securities. The unamortized balance of these issuance costs amounted to $2,815 and $4,041 at December 31, 2000 and 1999, respectively, and is included in other assets.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23: BASIC AND DILUTED EARNINGS PER SHARE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is required to present both basic and diluted EPS on the face of its statement of operations. Basic EPS excludes common stock equivalents and is calculated by dividing net income by the weighted average number of common shares outstanding during the year. Diluted EPS is calculated by dividing net income by the weighted average number of common shares outstanding, including the dilutive potential common shares related to outstanding stock options. In computing diluted net loss per share for 1998, the conversion of common stock equivalents was not assumed as the effect would have been antidilutive.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10239"/>
          </w:cols>
          <w:pgMar w:left="220" w:top="453" w:right="1440" w:bottom="1141" w:gutter="0" w:footer="0" w:header="0"/>
        </w:sectPr>
      </w:pPr>
    </w:p>
    <w:bookmarkStart w:id="127" w:name="page128"/>
    <w:bookmarkEnd w:id="127"/>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The following is a reconciliation of the calculation of basic EPS to diluted EPS: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36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36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44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(loss)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2,192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19,832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r>
      <w:tr>
        <w:trPr>
          <w:trHeight w:val="167"/>
        </w:trPr>
        <w:tc>
          <w:tcPr>
            <w:tcW w:w="544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Basic EPS:</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 average shares of common stock .................</w:t>
            </w:r>
          </w:p>
        </w:tc>
        <w:tc>
          <w:tcPr>
            <w:tcW w:w="3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67,427,662</w:t>
            </w:r>
          </w:p>
        </w:tc>
        <w:tc>
          <w:tcPr>
            <w:tcW w:w="3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63,051,015</w:t>
            </w:r>
          </w:p>
        </w:tc>
        <w:tc>
          <w:tcPr>
            <w:tcW w:w="3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60,736,950</w:t>
            </w:r>
          </w:p>
        </w:tc>
      </w:tr>
      <w:tr>
        <w:trPr>
          <w:trHeight w:val="167"/>
        </w:trPr>
        <w:tc>
          <w:tcPr>
            <w:tcW w:w="544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Basic EPS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r>
        <w:trPr>
          <w:trHeight w:val="167"/>
        </w:trPr>
        <w:tc>
          <w:tcPr>
            <w:tcW w:w="544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Diluted EPS:</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 average shares of common stock .................</w:t>
            </w:r>
          </w:p>
        </w:tc>
        <w:tc>
          <w:tcPr>
            <w:tcW w:w="3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67,427,662</w:t>
            </w:r>
          </w:p>
        </w:tc>
        <w:tc>
          <w:tcPr>
            <w:tcW w:w="3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63,051,015</w:t>
            </w:r>
          </w:p>
        </w:tc>
        <w:tc>
          <w:tcPr>
            <w:tcW w:w="3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60,736,950</w:t>
            </w:r>
          </w:p>
        </w:tc>
      </w:tr>
      <w:tr>
        <w:trPr>
          <w:trHeight w:val="167"/>
        </w:trPr>
        <w:tc>
          <w:tcPr>
            <w:tcW w:w="5440" w:type="dxa"/>
            <w:vAlign w:val="bottom"/>
          </w:tcPr>
          <w:p>
            <w:pPr>
              <w:jc w:val="right"/>
              <w:ind w:right="2488"/>
              <w:spacing w:after="0"/>
              <w:rPr>
                <w:sz w:val="20"/>
                <w:szCs w:val="20"/>
                <w:color w:val="auto"/>
              </w:rPr>
            </w:pPr>
            <w:r>
              <w:rPr>
                <w:rFonts w:ascii="Courier New" w:cs="Courier New" w:eastAsia="Courier New" w:hAnsi="Courier New"/>
                <w:sz w:val="14"/>
                <w:szCs w:val="14"/>
                <w:color w:val="auto"/>
              </w:rPr>
              <w:t>Effect of dilutive securities:</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Stock options (1) .....................................</w:t>
            </w:r>
          </w:p>
        </w:tc>
        <w:tc>
          <w:tcPr>
            <w:tcW w:w="3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36,381</w:t>
            </w:r>
          </w:p>
        </w:tc>
        <w:tc>
          <w:tcPr>
            <w:tcW w:w="3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39,267</w:t>
            </w:r>
          </w:p>
        </w:tc>
        <w:tc>
          <w:tcPr>
            <w:tcW w:w="3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4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67,464,043</w:t>
            </w:r>
          </w:p>
        </w:tc>
        <w:tc>
          <w:tcPr>
            <w:tcW w:w="3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63,090,282</w:t>
            </w:r>
          </w:p>
        </w:tc>
        <w:tc>
          <w:tcPr>
            <w:tcW w:w="3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60,736,950</w:t>
            </w:r>
          </w:p>
        </w:tc>
      </w:tr>
      <w:tr>
        <w:trPr>
          <w:trHeight w:val="167"/>
        </w:trPr>
        <w:tc>
          <w:tcPr>
            <w:tcW w:w="544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Diluted EPS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r>
        <w:trPr>
          <w:trHeight w:val="167"/>
        </w:trPr>
        <w:tc>
          <w:tcPr>
            <w:tcW w:w="544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right="3719" w:hanging="791"/>
        <w:spacing w:after="0" w:line="258" w:lineRule="auto"/>
        <w:tabs>
          <w:tab w:leader="none" w:pos="8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the effect of 1,718,133 and 1,565,343 of options that are antidilutive for 2000 and 1999, respectively.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24: DERIVATIVE FINANCIAL INSTRUMENTS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Company uses derivative financial instruments for the purpose of managing its exposure to adverse fluctuations in interest and foreign currency exchange rates.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Because interest rate futures, swaptions, put options and foreign currency futures contracts are exchange traded, holders of these instruments look to the exchange for performance under these contracts and not the entity holding the offsetting futures contract, thereby minimizing the risk of nonperformance under these contracts. The Company is exposed to credit loss in the event of nonperformance by the counterparty to the interest and currency swaps and controls this risk through credit monitoring procedures. The notional principal amount does not represent the Company's exposure to credit loss.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MANAGEMENT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managing its interest rate risk, the Company enters into interest rate swaps. Under interest rate swaps, the Company agrees with other parties to exchange, at specified intervals, the difference between fixed-rate and floating-rate interest amounts calculated by reference to an agreed notional amount. The terms of the interest rate swaps provide for the Company to receive a floating rate of interest based on the London Interbank Offered Rate ("LIBOR") and to pay fixed interest rates. The interest rate swaps are used to alter the interest rate on current LIBOR rate debt incurred to fund the Company's acquisitions of real estate, subordinate and residual securities and securities sold under agreements to repurchase. The fair value of the interest rate swaps are not recognized in the consolidated financial statements as the swaps are accounted for on the accrual basis of accounting.</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is exposed to credit loss if: (i) the counterparties to the interest rate swap do not perform and (ii) the floating interest rate received by the Company exceeds the fixed interest rate paid by it. All of the counterparties have long-term debt ratings of A+ or above by Standard and Poor's and A1 or above by Moody's. Although a swap generally may not be sold or transferred without the consent of the counterparty, management does not believe that this consent would be withheld. Although none of the Company's interest rate swaps are exchange-traded, there are a number of financial institutions which enter into these types of transactions as part of their day-to-day activities.</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239"/>
          </w:cols>
          <w:pgMar w:left="220" w:top="453" w:right="1440" w:bottom="1440" w:gutter="0" w:footer="0" w:header="0"/>
        </w:sectPr>
      </w:pPr>
    </w:p>
    <w:bookmarkStart w:id="128" w:name="page129"/>
    <w:bookmarkEnd w:id="128"/>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The terms of the outstanding interest swaps at December 31, 2000 and 1999,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Notional</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LIBOR</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140" w:type="dxa"/>
            <w:vAlign w:val="bottom"/>
          </w:tcPr>
          <w:p>
            <w:pPr>
              <w:ind w:left="700"/>
              <w:spacing w:after="0"/>
              <w:rPr>
                <w:sz w:val="20"/>
                <w:szCs w:val="20"/>
                <w:color w:val="auto"/>
              </w:rPr>
            </w:pPr>
            <w:r>
              <w:rPr>
                <w:rFonts w:ascii="Courier New" w:cs="Courier New" w:eastAsia="Courier New" w:hAnsi="Courier New"/>
                <w:sz w:val="14"/>
                <w:szCs w:val="14"/>
                <w:color w:val="auto"/>
              </w:rPr>
              <w:t>Maturity</w:t>
            </w:r>
          </w:p>
        </w:tc>
        <w:tc>
          <w:tcPr>
            <w:tcW w:w="38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Amount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Index</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Fixed Rate</w:t>
            </w: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Floating Rate</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 Value</w:t>
            </w:r>
          </w:p>
        </w:tc>
      </w:tr>
      <w:tr>
        <w:trPr>
          <w:trHeight w:val="167"/>
        </w:trPr>
        <w:tc>
          <w:tcPr>
            <w:tcW w:w="214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DECEMBER 31, 2000:</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April 2001............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33,000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1-Month</w:t>
            </w:r>
          </w:p>
        </w:tc>
        <w:tc>
          <w:tcPr>
            <w:tcW w:w="1340" w:type="dxa"/>
            <w:vAlign w:val="bottom"/>
          </w:tcPr>
          <w:p>
            <w:pPr>
              <w:ind w:left="600"/>
              <w:spacing w:after="0"/>
              <w:rPr>
                <w:sz w:val="20"/>
                <w:szCs w:val="20"/>
                <w:color w:val="auto"/>
              </w:rPr>
            </w:pPr>
            <w:r>
              <w:rPr>
                <w:rFonts w:ascii="Courier New" w:cs="Courier New" w:eastAsia="Courier New" w:hAnsi="Courier New"/>
                <w:sz w:val="14"/>
                <w:szCs w:val="14"/>
                <w:color w:val="auto"/>
              </w:rPr>
              <w:t>6.00%</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6.80%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7"/>
        </w:trPr>
        <w:tc>
          <w:tcPr>
            <w:tcW w:w="214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April 2001............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1-Month</w:t>
            </w:r>
          </w:p>
        </w:tc>
        <w:tc>
          <w:tcPr>
            <w:tcW w:w="1340" w:type="dxa"/>
            <w:vAlign w:val="bottom"/>
          </w:tcPr>
          <w:p>
            <w:pPr>
              <w:ind w:left="600"/>
              <w:spacing w:after="0"/>
              <w:rPr>
                <w:sz w:val="20"/>
                <w:szCs w:val="20"/>
                <w:color w:val="auto"/>
              </w:rPr>
            </w:pPr>
            <w:r>
              <w:rPr>
                <w:rFonts w:ascii="Courier New" w:cs="Courier New" w:eastAsia="Courier New" w:hAnsi="Courier New"/>
                <w:sz w:val="14"/>
                <w:szCs w:val="14"/>
                <w:color w:val="auto"/>
              </w:rPr>
              <w:t>6.00%</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6.48%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482</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April 2001............</w:t>
            </w:r>
          </w:p>
        </w:tc>
        <w:tc>
          <w:tcPr>
            <w:tcW w:w="38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17,000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1-Month</w:t>
            </w:r>
          </w:p>
        </w:tc>
        <w:tc>
          <w:tcPr>
            <w:tcW w:w="1340" w:type="dxa"/>
            <w:vAlign w:val="bottom"/>
          </w:tcPr>
          <w:p>
            <w:pPr>
              <w:ind w:left="600"/>
              <w:spacing w:after="0"/>
              <w:rPr>
                <w:sz w:val="20"/>
                <w:szCs w:val="20"/>
                <w:color w:val="auto"/>
              </w:rPr>
            </w:pPr>
            <w:r>
              <w:rPr>
                <w:rFonts w:ascii="Courier New" w:cs="Courier New" w:eastAsia="Courier New" w:hAnsi="Courier New"/>
                <w:sz w:val="14"/>
                <w:szCs w:val="14"/>
                <w:color w:val="auto"/>
              </w:rPr>
              <w:t>6.00</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6.48</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April 2002............</w:t>
            </w:r>
          </w:p>
        </w:tc>
        <w:tc>
          <w:tcPr>
            <w:tcW w:w="38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8,780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1-Month</w:t>
            </w:r>
          </w:p>
        </w:tc>
        <w:tc>
          <w:tcPr>
            <w:tcW w:w="1340" w:type="dxa"/>
            <w:vAlign w:val="bottom"/>
          </w:tcPr>
          <w:p>
            <w:pPr>
              <w:ind w:left="600"/>
              <w:spacing w:after="0"/>
              <w:rPr>
                <w:sz w:val="20"/>
                <w:szCs w:val="20"/>
                <w:color w:val="auto"/>
              </w:rPr>
            </w:pPr>
            <w:r>
              <w:rPr>
                <w:rFonts w:ascii="Courier New" w:cs="Courier New" w:eastAsia="Courier New" w:hAnsi="Courier New"/>
                <w:sz w:val="14"/>
                <w:szCs w:val="14"/>
                <w:color w:val="auto"/>
              </w:rPr>
              <w:t>6.04</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6.46</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January 2003..........</w:t>
            </w:r>
          </w:p>
        </w:tc>
        <w:tc>
          <w:tcPr>
            <w:tcW w:w="38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1-Month</w:t>
            </w:r>
          </w:p>
        </w:tc>
        <w:tc>
          <w:tcPr>
            <w:tcW w:w="1340" w:type="dxa"/>
            <w:vAlign w:val="bottom"/>
          </w:tcPr>
          <w:p>
            <w:pPr>
              <w:ind w:left="600"/>
              <w:spacing w:after="0"/>
              <w:rPr>
                <w:sz w:val="20"/>
                <w:szCs w:val="20"/>
                <w:color w:val="auto"/>
              </w:rPr>
            </w:pPr>
            <w:r>
              <w:rPr>
                <w:rFonts w:ascii="Courier New" w:cs="Courier New" w:eastAsia="Courier New" w:hAnsi="Courier New"/>
                <w:sz w:val="14"/>
                <w:szCs w:val="14"/>
                <w:color w:val="auto"/>
              </w:rPr>
              <w:t>5.75</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6.46</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2,983</w:t>
            </w:r>
          </w:p>
        </w:tc>
      </w:tr>
      <w:tr>
        <w:trPr>
          <w:trHeight w:val="167"/>
        </w:trPr>
        <w:tc>
          <w:tcPr>
            <w:tcW w:w="214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4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200,780</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3,702</w:t>
            </w:r>
          </w:p>
        </w:tc>
      </w:tr>
      <w:tr>
        <w:trPr>
          <w:trHeight w:val="167"/>
        </w:trPr>
        <w:tc>
          <w:tcPr>
            <w:tcW w:w="214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swaps had the effect of decreasing net interest income by $148, $72 and $115 for the years ended December 31, 2000, 1999 and 1998, respectively. During 2000, the Company realized gains of $575 on swaps which are included in net operating gains on investments in real estate.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has purchased amortizing caps and floors to hedge its interest rate exposure relating to its match funded loans and securities. An interest rate cap or interest rate floor is designed to provide protection against the interest rate on a floating-rate instrument rising above some level (cap) or falling below some level (floor). The interest rate representing the cap or the floor is referred to as the "strike rate." The Company receives payments from the seller on caps when the current interest rate rises above the strike rate and on floors when the current interest rate falls below the strike rate. The amount received represents the difference between the current rate and the strike rate applied to the notional amount. The terms of the outstanding caps and floors at December 31, 2000 and 1999 are as follows: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Notional</w:t>
            </w: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Amount</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Maturity</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w w:val="99"/>
              </w:rPr>
              <w:t>Index</w:t>
            </w:r>
          </w:p>
        </w:tc>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Strike Rate</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Fair Value</w:t>
            </w:r>
          </w:p>
        </w:tc>
      </w:tr>
      <w:tr>
        <w:trPr>
          <w:trHeight w:val="167"/>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DECEMBER 31, 2000:</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Caps........................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141,674</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October 2003</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LIBOR 1-Month</w:t>
            </w:r>
          </w:p>
        </w:tc>
        <w:tc>
          <w:tcPr>
            <w:tcW w:w="1360" w:type="dxa"/>
            <w:vAlign w:val="bottom"/>
          </w:tcPr>
          <w:p>
            <w:pPr>
              <w:ind w:left="520"/>
              <w:spacing w:after="0"/>
              <w:rPr>
                <w:sz w:val="20"/>
                <w:szCs w:val="20"/>
                <w:color w:val="auto"/>
              </w:rPr>
            </w:pPr>
            <w:r>
              <w:rPr>
                <w:rFonts w:ascii="Courier New" w:cs="Courier New" w:eastAsia="Courier New" w:hAnsi="Courier New"/>
                <w:sz w:val="14"/>
                <w:szCs w:val="14"/>
                <w:color w:val="auto"/>
              </w:rPr>
              <w:t>7.00%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345</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Floors......................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37,787</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October 2003</w:t>
            </w: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CMT 2-Year</w:t>
            </w:r>
          </w:p>
        </w:tc>
        <w:tc>
          <w:tcPr>
            <w:tcW w:w="1360" w:type="dxa"/>
            <w:vAlign w:val="bottom"/>
          </w:tcPr>
          <w:p>
            <w:pPr>
              <w:ind w:left="520"/>
              <w:spacing w:after="0"/>
              <w:rPr>
                <w:sz w:val="20"/>
                <w:szCs w:val="20"/>
                <w:color w:val="auto"/>
              </w:rPr>
            </w:pPr>
            <w:r>
              <w:rPr>
                <w:rFonts w:ascii="Courier New" w:cs="Courier New" w:eastAsia="Courier New" w:hAnsi="Courier New"/>
                <w:sz w:val="14"/>
                <w:szCs w:val="14"/>
                <w:color w:val="auto"/>
              </w:rPr>
              <w:t>4.35</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154</w:t>
            </w:r>
          </w:p>
        </w:tc>
      </w:tr>
      <w:tr>
        <w:trPr>
          <w:trHeight w:val="167"/>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499</w:t>
            </w:r>
          </w:p>
        </w:tc>
      </w:tr>
      <w:tr>
        <w:trPr>
          <w:trHeight w:val="167"/>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Caps.......................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159,211</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October 2003</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LIBOR 1-Month</w:t>
            </w:r>
          </w:p>
        </w:tc>
        <w:tc>
          <w:tcPr>
            <w:tcW w:w="1360" w:type="dxa"/>
            <w:vAlign w:val="bottom"/>
          </w:tcPr>
          <w:p>
            <w:pPr>
              <w:ind w:left="520"/>
              <w:spacing w:after="0"/>
              <w:rPr>
                <w:sz w:val="20"/>
                <w:szCs w:val="20"/>
                <w:color w:val="auto"/>
              </w:rPr>
            </w:pPr>
            <w:r>
              <w:rPr>
                <w:rFonts w:ascii="Courier New" w:cs="Courier New" w:eastAsia="Courier New" w:hAnsi="Courier New"/>
                <w:sz w:val="14"/>
                <w:szCs w:val="14"/>
                <w:color w:val="auto"/>
              </w:rPr>
              <w:t>7.00%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2,289</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Floors.....................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41,899</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October 2003</w:t>
            </w: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CMT 2-Year</w:t>
            </w:r>
          </w:p>
        </w:tc>
        <w:tc>
          <w:tcPr>
            <w:tcW w:w="1360" w:type="dxa"/>
            <w:vAlign w:val="bottom"/>
          </w:tcPr>
          <w:p>
            <w:pPr>
              <w:ind w:left="520"/>
              <w:spacing w:after="0"/>
              <w:rPr>
                <w:sz w:val="20"/>
                <w:szCs w:val="20"/>
                <w:color w:val="auto"/>
              </w:rPr>
            </w:pPr>
            <w:r>
              <w:rPr>
                <w:rFonts w:ascii="Courier New" w:cs="Courier New" w:eastAsia="Courier New" w:hAnsi="Courier New"/>
                <w:sz w:val="14"/>
                <w:szCs w:val="14"/>
                <w:color w:val="auto"/>
              </w:rPr>
              <w:t>4.35</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7"/>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2,336</w:t>
            </w:r>
          </w:p>
        </w:tc>
      </w:tr>
      <w:tr>
        <w:trPr>
          <w:trHeight w:val="167"/>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Amortization on the caps and floors amounted to $1,181 and $295 during the years ended December 31, 2000 and 1999, respectively.</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239"/>
          </w:cols>
          <w:pgMar w:left="220" w:top="453" w:right="1440" w:bottom="1440" w:gutter="0" w:footer="0" w:header="0"/>
        </w:sectPr>
      </w:pPr>
    </w:p>
    <w:bookmarkStart w:id="129" w:name="page130"/>
    <w:bookmarkEnd w:id="129"/>
    <w:p>
      <w:pPr>
        <w:jc w:val="center"/>
        <w:ind w:right="382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820" w:firstLine="781"/>
        <w:spacing w:after="0" w:line="253" w:lineRule="auto"/>
        <w:rPr>
          <w:sz w:val="20"/>
          <w:szCs w:val="20"/>
          <w:color w:val="auto"/>
        </w:rPr>
      </w:pPr>
      <w:r>
        <w:rPr>
          <w:rFonts w:ascii="Courier New" w:cs="Courier New" w:eastAsia="Courier New" w:hAnsi="Courier New"/>
          <w:sz w:val="14"/>
          <w:szCs w:val="14"/>
          <w:color w:val="auto"/>
        </w:rPr>
        <w:t>The Company also manages its interest rate risk by purchasing European swaptions and put options and U.S. Treasury and U.S. Agency futures contracts to hedge anticipated future fundings related to low-income housing tax credit projects. During the fourth quarter of 1999, these financial instruments ceased to qualify for hedge accounting and subsequent gains or losses are included in earnings. These financial instruments were closed during the fourth quarter of 2000. The following table sets forth the terms and values of these financial instruments at December 31, 1999:</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Notional</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Strike</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Amount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Maturity</w:t>
            </w:r>
          </w:p>
        </w:tc>
        <w:tc>
          <w:tcPr>
            <w:tcW w:w="11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Rate/Price</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Fair Value</w:t>
            </w:r>
          </w:p>
        </w:tc>
      </w:tr>
      <w:tr>
        <w:trPr>
          <w:trHeight w:val="167"/>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w w:val="74"/>
              </w:rPr>
              <w:t>European 10-year swaptions....................................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7,500</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March 2000</w:t>
            </w:r>
          </w:p>
        </w:tc>
        <w:tc>
          <w:tcPr>
            <w:tcW w:w="30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6.78%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w:t>
            </w:r>
          </w:p>
        </w:tc>
      </w:tr>
      <w:tr>
        <w:trPr>
          <w:trHeight w:val="167"/>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5,800</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May 2000</w:t>
            </w:r>
          </w:p>
        </w:tc>
        <w:tc>
          <w:tcPr>
            <w:tcW w:w="30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6.72</w:t>
            </w:r>
          </w:p>
        </w:tc>
        <w:tc>
          <w:tcPr>
            <w:tcW w:w="30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w:t>
            </w:r>
          </w:p>
        </w:tc>
      </w:tr>
      <w:tr>
        <w:trPr>
          <w:trHeight w:val="167"/>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2,800</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February 2000</w:t>
            </w:r>
          </w:p>
        </w:tc>
        <w:tc>
          <w:tcPr>
            <w:tcW w:w="30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7.20</w:t>
            </w:r>
          </w:p>
        </w:tc>
        <w:tc>
          <w:tcPr>
            <w:tcW w:w="30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r>
        <w:trPr>
          <w:trHeight w:val="167"/>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2,300</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June 2000</w:t>
            </w:r>
          </w:p>
        </w:tc>
        <w:tc>
          <w:tcPr>
            <w:tcW w:w="30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7.11</w:t>
            </w:r>
          </w:p>
        </w:tc>
        <w:tc>
          <w:tcPr>
            <w:tcW w:w="30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w:t>
            </w:r>
          </w:p>
        </w:tc>
      </w:tr>
      <w:tr>
        <w:trPr>
          <w:trHeight w:val="167"/>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Courier New" w:cs="Courier New" w:eastAsia="Courier New" w:hAnsi="Courier New"/>
                <w:sz w:val="5"/>
                <w:szCs w:val="5"/>
                <w:color w:val="auto"/>
                <w:w w:val="72"/>
              </w:rPr>
              <w:t>-----------</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18,400</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643</w:t>
            </w:r>
          </w:p>
        </w:tc>
      </w:tr>
      <w:tr>
        <w:trPr>
          <w:trHeight w:val="167"/>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European 10-year put options, U.S. Treasury 4.75% due 11/05/08</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2,500</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March 2000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91.45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w:t>
            </w:r>
          </w:p>
        </w:tc>
      </w:tr>
      <w:tr>
        <w:trPr>
          <w:trHeight w:val="167"/>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w w:val="74"/>
              </w:rPr>
              <w:t>U.S. 2-year Treasury futures..................................</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12,000</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March 2000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99.82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r>
      <w:tr>
        <w:trPr>
          <w:trHeight w:val="167"/>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w w:val="74"/>
              </w:rPr>
              <w:t>U.S. 10-year Treasury futures.................................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7,000</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March 2000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97.52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w:t>
            </w:r>
          </w:p>
        </w:tc>
      </w:tr>
      <w:tr>
        <w:trPr>
          <w:trHeight w:val="167"/>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ind w:left="340"/>
              <w:spacing w:after="0"/>
              <w:rPr>
                <w:sz w:val="20"/>
                <w:szCs w:val="20"/>
                <w:color w:val="auto"/>
              </w:rPr>
            </w:pPr>
            <w:r>
              <w:rPr>
                <w:rFonts w:ascii="Courier New" w:cs="Courier New" w:eastAsia="Courier New" w:hAnsi="Courier New"/>
                <w:sz w:val="5"/>
                <w:szCs w:val="5"/>
                <w:color w:val="auto"/>
                <w:w w:val="72"/>
              </w:rPr>
              <w:t>-----------</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19,000</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w:t>
            </w:r>
          </w:p>
        </w:tc>
      </w:tr>
      <w:tr>
        <w:trPr>
          <w:trHeight w:val="167"/>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7000" w:type="dxa"/>
            <w:vAlign w:val="bottom"/>
            <w:gridSpan w:val="7"/>
          </w:tcPr>
          <w:p>
            <w:pPr>
              <w:jc w:val="right"/>
              <w:ind w:right="148"/>
              <w:spacing w:after="0"/>
              <w:rPr>
                <w:sz w:val="20"/>
                <w:szCs w:val="20"/>
                <w:color w:val="auto"/>
              </w:rPr>
            </w:pPr>
            <w:r>
              <w:rPr>
                <w:rFonts w:ascii="Courier New" w:cs="Courier New" w:eastAsia="Courier New" w:hAnsi="Courier New"/>
                <w:sz w:val="14"/>
                <w:szCs w:val="14"/>
                <w:color w:val="auto"/>
              </w:rPr>
              <w:t>The following table summarizes the net realized gains and (losses) on</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7000" w:type="dxa"/>
            <w:vAlign w:val="bottom"/>
            <w:gridSpan w:val="7"/>
          </w:tcPr>
          <w:p>
            <w:pPr>
              <w:spacing w:after="0"/>
              <w:rPr>
                <w:sz w:val="20"/>
                <w:szCs w:val="20"/>
                <w:color w:val="auto"/>
              </w:rPr>
            </w:pPr>
            <w:r>
              <w:rPr>
                <w:rFonts w:ascii="Courier New" w:cs="Courier New" w:eastAsia="Courier New" w:hAnsi="Courier New"/>
                <w:sz w:val="14"/>
                <w:szCs w:val="14"/>
                <w:color w:val="auto"/>
              </w:rPr>
              <w:t>these financial instruments included in earnings for years ended December 31,</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2000, 1999 and 1998:</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4"/>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66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gridSpan w:val="2"/>
          </w:tcPr>
          <w:p>
            <w:pPr>
              <w:jc w:val="right"/>
              <w:ind w:right="195"/>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Swaptions and put options.............</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(374)</w:t>
            </w:r>
          </w:p>
        </w:tc>
        <w:tc>
          <w:tcPr>
            <w:tcW w:w="7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95"/>
              <w:spacing w:after="0"/>
              <w:rPr>
                <w:sz w:val="20"/>
                <w:szCs w:val="20"/>
                <w:color w:val="auto"/>
              </w:rPr>
            </w:pPr>
            <w:r>
              <w:rPr>
                <w:rFonts w:ascii="Courier New" w:cs="Courier New" w:eastAsia="Courier New" w:hAnsi="Courier New"/>
                <w:sz w:val="14"/>
                <w:szCs w:val="14"/>
                <w:color w:val="auto"/>
                <w:w w:val="95"/>
              </w:rPr>
              <w:t>588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U.S. Treasury and Agency futures......</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(617)</w:t>
            </w:r>
          </w:p>
        </w:tc>
        <w:tc>
          <w:tcPr>
            <w:tcW w:w="700" w:type="dxa"/>
            <w:vAlign w:val="bottom"/>
          </w:tcPr>
          <w:p>
            <w:pPr>
              <w:spacing w:after="0"/>
              <w:rPr>
                <w:sz w:val="14"/>
                <w:szCs w:val="14"/>
                <w:color w:val="auto"/>
              </w:rPr>
            </w:pPr>
          </w:p>
        </w:tc>
        <w:tc>
          <w:tcPr>
            <w:tcW w:w="520" w:type="dxa"/>
            <w:vAlign w:val="bottom"/>
          </w:tcPr>
          <w:p>
            <w:pPr>
              <w:jc w:val="right"/>
              <w:ind w:right="195"/>
              <w:spacing w:after="0"/>
              <w:rPr>
                <w:sz w:val="20"/>
                <w:szCs w:val="20"/>
                <w:color w:val="auto"/>
              </w:rPr>
            </w:pPr>
            <w:r>
              <w:rPr>
                <w:rFonts w:ascii="Courier New" w:cs="Courier New" w:eastAsia="Courier New" w:hAnsi="Courier New"/>
                <w:sz w:val="14"/>
                <w:szCs w:val="14"/>
                <w:color w:val="auto"/>
                <w:w w:val="95"/>
              </w:rPr>
              <w:t>208</w:t>
            </w:r>
          </w:p>
        </w:tc>
        <w:tc>
          <w:tcPr>
            <w:tcW w:w="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(5,819)</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338" w:lineRule="exact"/>
        <w:rPr>
          <w:sz w:val="20"/>
          <w:szCs w:val="20"/>
          <w:color w:val="auto"/>
        </w:rPr>
      </w:pPr>
    </w:p>
    <w:p>
      <w:pPr>
        <w:ind w:right="3920" w:firstLine="781"/>
        <w:spacing w:after="0" w:line="253" w:lineRule="auto"/>
        <w:rPr>
          <w:sz w:val="20"/>
          <w:szCs w:val="20"/>
          <w:color w:val="auto"/>
        </w:rPr>
      </w:pPr>
      <w:r>
        <w:rPr>
          <w:rFonts w:ascii="Courier New" w:cs="Courier New" w:eastAsia="Courier New" w:hAnsi="Courier New"/>
          <w:sz w:val="14"/>
          <w:szCs w:val="14"/>
          <w:color w:val="auto"/>
        </w:rPr>
        <w:t>The fair value of the U.S. Treasury futures, interest rate swaps, European swaptions and put options, and caps and floors represent the estimated amount that the Company would receive or pay to terminate these agreements taking into account current interest rates. Market quotes are available for these agreements. The following table summarizes the Company's use of interest rate risk management instruments: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3"/>
          </w:tcPr>
          <w:p>
            <w:pPr>
              <w:jc w:val="right"/>
              <w:ind w:right="568"/>
              <w:spacing w:after="0"/>
              <w:rPr>
                <w:sz w:val="20"/>
                <w:szCs w:val="20"/>
                <w:color w:val="auto"/>
              </w:rPr>
            </w:pPr>
            <w:r>
              <w:rPr>
                <w:rFonts w:ascii="Courier New" w:cs="Courier New" w:eastAsia="Courier New" w:hAnsi="Courier New"/>
                <w:sz w:val="14"/>
                <w:szCs w:val="14"/>
                <w:color w:val="auto"/>
              </w:rPr>
              <w:t>Notional Amount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80" w:type="dxa"/>
            <w:vAlign w:val="bottom"/>
            <w:gridSpan w:val="1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U.S.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Treasury and</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Agency</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European</w:t>
            </w:r>
          </w:p>
        </w:tc>
        <w:tc>
          <w:tcPr>
            <w:tcW w:w="1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European</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Futures Sold</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Interest</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Treasury</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Treasury Put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Short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Rate Swaps</w:t>
            </w:r>
          </w:p>
        </w:tc>
        <w:tc>
          <w:tcPr>
            <w:tcW w:w="1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Swaptions</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Options</w:t>
            </w:r>
          </w:p>
        </w:tc>
        <w:tc>
          <w:tcPr>
            <w:tcW w:w="360" w:type="dxa"/>
            <w:vAlign w:val="bottom"/>
          </w:tcPr>
          <w:p>
            <w:pPr>
              <w:spacing w:after="0"/>
              <w:rPr>
                <w:sz w:val="14"/>
                <w:szCs w:val="14"/>
                <w:color w:val="auto"/>
              </w:rPr>
            </w:pP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Caps</w:t>
            </w:r>
          </w:p>
        </w:tc>
        <w:tc>
          <w:tcPr>
            <w:tcW w:w="3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Floors</w:t>
            </w:r>
          </w:p>
        </w:tc>
      </w:tr>
      <w:tr>
        <w:trPr>
          <w:trHeight w:val="167"/>
        </w:trPr>
        <w:tc>
          <w:tcPr>
            <w:tcW w:w="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BALANCE, DECEMBER 31, 1998.......</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Purchases</w:t>
            </w:r>
          </w:p>
        </w:tc>
        <w:tc>
          <w:tcPr>
            <w:tcW w:w="2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4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244,000</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200,780</w:t>
            </w:r>
          </w:p>
        </w:tc>
        <w:tc>
          <w:tcPr>
            <w:tcW w:w="30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20,400</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13,200</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163,897</w:t>
            </w:r>
          </w:p>
        </w:tc>
        <w:tc>
          <w:tcPr>
            <w:tcW w:w="3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42,879</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Maturities</w:t>
            </w:r>
          </w:p>
        </w:tc>
        <w:tc>
          <w:tcPr>
            <w:tcW w:w="2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(14,000)</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(10,700)</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(4,686)</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(980)</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Terminations.....................</w:t>
            </w:r>
          </w:p>
        </w:tc>
        <w:tc>
          <w:tcPr>
            <w:tcW w:w="4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(211,000)</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BALANCE, DECEMBER 31, 1999.......</w:t>
            </w:r>
          </w:p>
        </w:tc>
        <w:tc>
          <w:tcPr>
            <w:tcW w:w="4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19,000</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200,780</w:t>
            </w:r>
          </w:p>
        </w:tc>
        <w:tc>
          <w:tcPr>
            <w:tcW w:w="30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18,400</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2,500</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159,211</w:t>
            </w:r>
          </w:p>
        </w:tc>
        <w:tc>
          <w:tcPr>
            <w:tcW w:w="3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41,899</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Purchases........................</w:t>
            </w:r>
          </w:p>
        </w:tc>
        <w:tc>
          <w:tcPr>
            <w:tcW w:w="4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54,700</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14,500</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Maturities</w:t>
            </w:r>
          </w:p>
        </w:tc>
        <w:tc>
          <w:tcPr>
            <w:tcW w:w="2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(15,600)</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(26,900)</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(2,500)</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(17,537)</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(4,112)</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Terminations.....................</w:t>
            </w:r>
          </w:p>
        </w:tc>
        <w:tc>
          <w:tcPr>
            <w:tcW w:w="4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(58,100)</w:t>
            </w:r>
          </w:p>
        </w:tc>
        <w:tc>
          <w:tcPr>
            <w:tcW w:w="34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(167,780)</w:t>
            </w:r>
          </w:p>
        </w:tc>
        <w:tc>
          <w:tcPr>
            <w:tcW w:w="3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(6,000)</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BALANCE, DECEMBER 31, 2000.......</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33,000</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$ 141,674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37,787</w:t>
            </w:r>
          </w:p>
        </w:tc>
      </w:tr>
      <w:tr>
        <w:trPr>
          <w:trHeight w:val="167"/>
        </w:trPr>
        <w:tc>
          <w:tcPr>
            <w:tcW w:w="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right="3820" w:hanging="791"/>
        <w:spacing w:after="0" w:line="255" w:lineRule="auto"/>
        <w:tabs>
          <w:tab w:leader="none" w:pos="8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include $48,000 of U.S. Treasury futures sold short, $200,780 of interest rate swaps and $42,879 of caps and floors acquired as a result of the OAC acquisition.</w:t>
      </w:r>
    </w:p>
    <w:p>
      <w:pPr>
        <w:spacing w:after="0" w:line="200" w:lineRule="exact"/>
        <w:rPr>
          <w:sz w:val="20"/>
          <w:szCs w:val="20"/>
          <w:color w:val="auto"/>
        </w:rPr>
      </w:pPr>
    </w:p>
    <w:p>
      <w:pPr>
        <w:spacing w:after="0" w:line="29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780"/>
          </w:cols>
          <w:pgMar w:left="220" w:top="453" w:right="899" w:bottom="974" w:gutter="0" w:footer="0" w:header="0"/>
        </w:sectPr>
      </w:pPr>
    </w:p>
    <w:bookmarkStart w:id="130" w:name="page131"/>
    <w:bookmarkEnd w:id="130"/>
    <w:p>
      <w:pPr>
        <w:jc w:val="center"/>
        <w:ind w:right="372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MANAGEMENT</w:t>
      </w:r>
    </w:p>
    <w:p>
      <w:pPr>
        <w:spacing w:after="0" w:line="175" w:lineRule="exact"/>
        <w:rPr>
          <w:sz w:val="20"/>
          <w:szCs w:val="20"/>
          <w:color w:val="auto"/>
        </w:rPr>
      </w:pPr>
    </w:p>
    <w:p>
      <w:pPr>
        <w:ind w:right="3820" w:firstLine="781"/>
        <w:spacing w:after="0" w:line="253" w:lineRule="auto"/>
        <w:rPr>
          <w:sz w:val="20"/>
          <w:szCs w:val="20"/>
          <w:color w:val="auto"/>
        </w:rPr>
      </w:pPr>
      <w:r>
        <w:rPr>
          <w:rFonts w:ascii="Courier New" w:cs="Courier New" w:eastAsia="Courier New" w:hAnsi="Courier New"/>
          <w:sz w:val="14"/>
          <w:szCs w:val="14"/>
          <w:color w:val="auto"/>
        </w:rPr>
        <w:t>The Company enters into foreign currency derivatives to hedge its investments in foreign subsidiaries which own residual interests backed by residential loans originated in the UK ("UK residuals") and in the shopping center located in Halifax, Nova Scotia ("the Nova Scotia shopping center"). It is the Company's policy to periodically adjust the amount of foreign currency derivative contracts it has entered into in response to changes in its recorded investments in these assets.</w:t>
      </w:r>
    </w:p>
    <w:p>
      <w:pPr>
        <w:spacing w:after="0" w:line="165" w:lineRule="exact"/>
        <w:rPr>
          <w:sz w:val="20"/>
          <w:szCs w:val="20"/>
          <w:color w:val="auto"/>
        </w:rPr>
      </w:pPr>
    </w:p>
    <w:p>
      <w:pPr>
        <w:ind w:right="3720" w:firstLine="781"/>
        <w:spacing w:after="0" w:line="253" w:lineRule="auto"/>
        <w:rPr>
          <w:sz w:val="20"/>
          <w:szCs w:val="20"/>
          <w:color w:val="auto"/>
        </w:rPr>
      </w:pPr>
      <w:r>
        <w:rPr>
          <w:rFonts w:ascii="Courier New" w:cs="Courier New" w:eastAsia="Courier New" w:hAnsi="Courier New"/>
          <w:sz w:val="14"/>
          <w:szCs w:val="14"/>
          <w:color w:val="auto"/>
        </w:rPr>
        <w:t>The Company has determined that the local currency of its investment in UK residuals, its investment in the Nova Scotia Shopping Center and of its previously owned equity investment in Kensington is the functional currency. The Company's foreign currency derivative financial instruments qualify for hedge accounting. Accordingly, the gains or losses are included in the net unrealized foreign currency translation in accumulated other comprehensive income in stockholders' equity.</w:t>
      </w:r>
    </w:p>
    <w:p>
      <w:pPr>
        <w:spacing w:after="0" w:line="165" w:lineRule="exact"/>
        <w:rPr>
          <w:sz w:val="20"/>
          <w:szCs w:val="20"/>
          <w:color w:val="auto"/>
        </w:rPr>
      </w:pPr>
    </w:p>
    <w:p>
      <w:pPr>
        <w:ind w:right="3720" w:firstLine="781"/>
        <w:spacing w:after="0" w:line="254" w:lineRule="auto"/>
        <w:rPr>
          <w:sz w:val="20"/>
          <w:szCs w:val="20"/>
          <w:color w:val="auto"/>
        </w:rPr>
      </w:pPr>
      <w:r>
        <w:rPr>
          <w:rFonts w:ascii="Courier New" w:cs="Courier New" w:eastAsia="Courier New" w:hAnsi="Courier New"/>
          <w:sz w:val="14"/>
          <w:szCs w:val="14"/>
          <w:color w:val="auto"/>
        </w:rPr>
        <w:t>As a result of the acquisition of OAC, the Company acquired foreign currency futures contracts ("currency futures") that hedge the currency exposure related to the acquired investments in foreign subsidiaries which own UK residuals and the Nova Scotia shopping center. Currency futures are commitments to either purchase or sell foreign currency at a future date for a specified price.</w:t>
      </w:r>
    </w:p>
    <w:p>
      <w:pPr>
        <w:spacing w:after="0" w:line="329" w:lineRule="exact"/>
        <w:rPr>
          <w:sz w:val="20"/>
          <w:szCs w:val="20"/>
          <w:color w:val="auto"/>
        </w:rPr>
      </w:pPr>
    </w:p>
    <w:p>
      <w:pPr>
        <w:ind w:right="3980" w:firstLine="781"/>
        <w:spacing w:after="0" w:line="258" w:lineRule="auto"/>
        <w:rPr>
          <w:sz w:val="20"/>
          <w:szCs w:val="20"/>
          <w:color w:val="auto"/>
        </w:rPr>
      </w:pPr>
      <w:r>
        <w:rPr>
          <w:rFonts w:ascii="Courier New" w:cs="Courier New" w:eastAsia="Courier New" w:hAnsi="Courier New"/>
          <w:sz w:val="14"/>
          <w:szCs w:val="14"/>
          <w:color w:val="auto"/>
        </w:rPr>
        <w:t>The following table sets forth the terms and values of these foreign currency financial instruments at December 31, 2000 and 1999:</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Strike</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4"/>
                <w:szCs w:val="14"/>
                <w:color w:val="auto"/>
              </w:rPr>
              <w:t>Position</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Maturity</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Notional</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Amount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Rate</w:t>
            </w:r>
          </w:p>
        </w:tc>
        <w:tc>
          <w:tcPr>
            <w:tcW w:w="1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Fair Value</w:t>
            </w:r>
          </w:p>
        </w:tc>
      </w:tr>
      <w:tr>
        <w:trPr>
          <w:trHeight w:val="167"/>
        </w:trPr>
        <w:tc>
          <w:tcPr>
            <w:tcW w:w="4140" w:type="dxa"/>
            <w:vAlign w:val="bottom"/>
          </w:tcPr>
          <w:p>
            <w:pPr>
              <w:spacing w:after="0"/>
              <w:rPr>
                <w:sz w:val="14"/>
                <w:szCs w:val="14"/>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DECEMBER 31, 2000:</w:t>
            </w: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Canadian Dollar currency futures.............</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Short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March 2001</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33,000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1.5139</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British Pound currency futures...............</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Short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March 2001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(pound)</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14,688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1.4717</w:t>
            </w: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(339)</w:t>
            </w:r>
          </w:p>
        </w:tc>
      </w:tr>
      <w:tr>
        <w:trPr>
          <w:trHeight w:val="167"/>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(581)</w:t>
            </w:r>
          </w:p>
        </w:tc>
      </w:tr>
      <w:tr>
        <w:trPr>
          <w:trHeight w:val="167"/>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Canadian Dollar currency futures.............</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Short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March 2000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22,100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.6786</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r>
        <w:trPr>
          <w:trHeight w:val="167"/>
        </w:trPr>
        <w:tc>
          <w:tcPr>
            <w:tcW w:w="414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Short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March 2000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.6800</w:t>
            </w:r>
          </w:p>
        </w:tc>
        <w:tc>
          <w:tcPr>
            <w:tcW w:w="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British Pound currency futures...............</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Long</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March 2000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(pound)</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3,750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1.6018</w:t>
            </w:r>
          </w:p>
        </w:tc>
        <w:tc>
          <w:tcPr>
            <w:tcW w:w="5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w:t>
            </w:r>
          </w:p>
        </w:tc>
      </w:tr>
      <w:tr>
        <w:trPr>
          <w:trHeight w:val="167"/>
        </w:trPr>
        <w:tc>
          <w:tcPr>
            <w:tcW w:w="414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Short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March 2000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(pound)</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15,875</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1.6225</w:t>
            </w:r>
          </w:p>
        </w:tc>
        <w:tc>
          <w:tcPr>
            <w:tcW w:w="5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w:t>
            </w:r>
          </w:p>
        </w:tc>
      </w:tr>
      <w:tr>
        <w:trPr>
          <w:trHeight w:val="167"/>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7"/>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900" w:firstLine="781"/>
        <w:spacing w:after="0" w:line="253" w:lineRule="auto"/>
        <w:rPr>
          <w:sz w:val="20"/>
          <w:szCs w:val="20"/>
          <w:color w:val="auto"/>
        </w:rPr>
      </w:pPr>
      <w:r>
        <w:rPr>
          <w:rFonts w:ascii="Courier New" w:cs="Courier New" w:eastAsia="Courier New" w:hAnsi="Courier New"/>
          <w:sz w:val="14"/>
          <w:szCs w:val="14"/>
          <w:color w:val="auto"/>
        </w:rPr>
        <w:t>Prior to the sale of its equity investment in Kensington, the Company entered into a British Pound currency forward ("currency forward") with a AAA-rated counterparty to hedge its equity investment in Kensington. In connection with the sale of the equity investment in Kensington, the currency forward was closed in November 2000. The following table sets forth the terms and value of the currency forward at December 31, 1999:</w:t>
      </w:r>
    </w:p>
    <w:p>
      <w:pPr>
        <w:sectPr>
          <w:pgSz w:w="11900" w:h="16838" w:orient="portrait"/>
          <w:cols w:equalWidth="0" w:num="1">
            <w:col w:w="10680"/>
          </w:cols>
          <w:pgMar w:left="220" w:top="45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Maturity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Notional Amount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20"/>
        <w:spacing w:after="0"/>
        <w:tabs>
          <w:tab w:leader="none" w:pos="2160" w:val="left"/>
        </w:tabs>
        <w:rPr>
          <w:sz w:val="20"/>
          <w:szCs w:val="20"/>
          <w:color w:val="auto"/>
        </w:rPr>
      </w:pPr>
      <w:r>
        <w:rPr>
          <w:rFonts w:ascii="Courier New" w:cs="Courier New" w:eastAsia="Courier New" w:hAnsi="Courier New"/>
          <w:sz w:val="14"/>
          <w:szCs w:val="14"/>
          <w:color w:val="auto"/>
        </w:rPr>
        <w:t>Pay</w:t>
      </w:r>
      <w:r>
        <w:rPr>
          <w:sz w:val="20"/>
          <w:szCs w:val="20"/>
          <w:color w:val="auto"/>
        </w:rPr>
        <w:tab/>
      </w:r>
      <w:r>
        <w:rPr>
          <w:rFonts w:ascii="Courier New" w:cs="Courier New" w:eastAsia="Courier New" w:hAnsi="Courier New"/>
          <w:sz w:val="14"/>
          <w:szCs w:val="14"/>
          <w:color w:val="auto"/>
        </w:rPr>
        <w:t>Receive</w:t>
      </w:r>
    </w:p>
    <w:p>
      <w:pPr>
        <w:spacing w:after="0" w:line="8"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Contract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Rate</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Unamortized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Discount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Fair Value ----------</w:t>
      </w:r>
    </w:p>
    <w:p>
      <w:pPr>
        <w:spacing w:after="0" w:line="160" w:lineRule="exact"/>
        <w:rPr>
          <w:sz w:val="20"/>
          <w:szCs w:val="20"/>
          <w:color w:val="auto"/>
        </w:rPr>
      </w:pPr>
    </w:p>
    <w:p>
      <w:pPr>
        <w:sectPr>
          <w:pgSz w:w="11900" w:h="16838" w:orient="portrait"/>
          <w:cols w:equalWidth="0" w:num="5">
            <w:col w:w="3820" w:space="260"/>
            <w:col w:w="2960" w:space="260"/>
            <w:col w:w="700" w:space="340"/>
            <w:col w:w="960" w:space="520"/>
            <w:col w:w="860"/>
          </w:cols>
          <w:pgMar w:left="220" w:top="453"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DECEMBER 31, 1999:</w:t>
      </w:r>
    </w:p>
    <w:p>
      <w:pPr>
        <w:sectPr>
          <w:pgSz w:w="11900" w:h="16838" w:orient="portrait"/>
          <w:cols w:equalWidth="0" w:num="1">
            <w:col w:w="10680"/>
          </w:cols>
          <w:pgMar w:left="220" w:top="453" w:right="99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Currency forward...........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February 2003</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(pound) 27,500 ===============</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$ 43,546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1.5835</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(976)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5" w:lineRule="exact"/>
        <w:rPr>
          <w:sz w:val="20"/>
          <w:szCs w:val="20"/>
          <w:color w:val="auto"/>
        </w:rPr>
      </w:pPr>
    </w:p>
    <w:p>
      <w:pPr>
        <w:sectPr>
          <w:pgSz w:w="11900" w:h="16838" w:orient="portrait"/>
          <w:cols w:equalWidth="0" w:num="7">
            <w:col w:w="2360" w:space="340"/>
            <w:col w:w="1120" w:space="260"/>
            <w:col w:w="1320" w:space="520"/>
            <w:col w:w="1120" w:space="340"/>
            <w:col w:w="520" w:space="520"/>
            <w:col w:w="880" w:space="520"/>
            <w:col w:w="860"/>
          </w:cols>
          <w:pgMar w:left="220" w:top="453" w:right="999" w:bottom="1440" w:gutter="0" w:footer="0" w:header="0"/>
          <w:type w:val="continuous"/>
        </w:sectPr>
      </w:pPr>
    </w:p>
    <w:p>
      <w:pPr>
        <w:spacing w:after="0" w:line="1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0680"/>
          </w:cols>
          <w:pgMar w:left="220" w:top="453" w:right="999" w:bottom="1440" w:gutter="0" w:footer="0" w:header="0"/>
          <w:type w:val="continuous"/>
        </w:sectPr>
      </w:pPr>
    </w:p>
    <w:bookmarkStart w:id="131" w:name="page132"/>
    <w:bookmarkEnd w:id="131"/>
    <w:p>
      <w:pPr>
        <w:jc w:val="center"/>
        <w:ind w:right="434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25: INCOME TAXES</w:t>
      </w:r>
    </w:p>
    <w:p>
      <w:pPr>
        <w:spacing w:after="0" w:line="175" w:lineRule="exact"/>
        <w:rPr>
          <w:sz w:val="20"/>
          <w:szCs w:val="20"/>
          <w:color w:val="auto"/>
        </w:rPr>
      </w:pPr>
    </w:p>
    <w:p>
      <w:pPr>
        <w:ind w:right="4520" w:firstLine="781"/>
        <w:spacing w:after="0" w:line="258" w:lineRule="auto"/>
        <w:rPr>
          <w:sz w:val="20"/>
          <w:szCs w:val="20"/>
          <w:color w:val="auto"/>
        </w:rPr>
      </w:pPr>
      <w:r>
        <w:rPr>
          <w:rFonts w:ascii="Courier New" w:cs="Courier New" w:eastAsia="Courier New" w:hAnsi="Courier New"/>
          <w:sz w:val="14"/>
          <w:szCs w:val="14"/>
          <w:color w:val="auto"/>
        </w:rPr>
        <w:t>The components of income tax expense (benefit) attributable to income before extraordinary gain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300" w:type="dxa"/>
            <w:vAlign w:val="bottom"/>
            <w:gridSpan w:val="5"/>
          </w:tcPr>
          <w:p>
            <w:pPr>
              <w:jc w:val="right"/>
              <w:ind w:right="628"/>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3000" w:type="dxa"/>
            <w:vAlign w:val="bottom"/>
          </w:tcPr>
          <w:p>
            <w:pPr>
              <w:spacing w:after="0"/>
              <w:rPr>
                <w:sz w:val="14"/>
                <w:szCs w:val="14"/>
                <w:color w:val="auto"/>
              </w:rPr>
            </w:pPr>
          </w:p>
        </w:tc>
        <w:tc>
          <w:tcPr>
            <w:tcW w:w="378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48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2000</w:t>
            </w:r>
          </w:p>
        </w:tc>
        <w:tc>
          <w:tcPr>
            <w:tcW w:w="360" w:type="dxa"/>
            <w:vAlign w:val="bottom"/>
          </w:tcPr>
          <w:p>
            <w:pPr>
              <w:spacing w:after="0"/>
              <w:rPr>
                <w:sz w:val="14"/>
                <w:szCs w:val="14"/>
                <w:color w:val="auto"/>
              </w:rPr>
            </w:pPr>
          </w:p>
        </w:tc>
        <w:tc>
          <w:tcPr>
            <w:tcW w:w="9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0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(24,744)</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(11,668)</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w:t>
            </w:r>
          </w:p>
        </w:tc>
        <w:tc>
          <w:tcPr>
            <w:tcW w:w="3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3,293</w:t>
            </w:r>
          </w:p>
        </w:tc>
        <w:tc>
          <w:tcPr>
            <w:tcW w:w="3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4,608</w:t>
            </w:r>
          </w:p>
        </w:tc>
      </w:tr>
      <w:tr>
        <w:trPr>
          <w:trHeight w:val="167"/>
        </w:trPr>
        <w:tc>
          <w:tcPr>
            <w:tcW w:w="30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(24,483)</w:t>
            </w:r>
          </w:p>
        </w:tc>
        <w:tc>
          <w:tcPr>
            <w:tcW w:w="3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37,223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(7,060)</w:t>
            </w:r>
          </w:p>
        </w:tc>
      </w:tr>
      <w:tr>
        <w:trPr>
          <w:trHeight w:val="167"/>
        </w:trPr>
        <w:tc>
          <w:tcPr>
            <w:tcW w:w="300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14,724</w:t>
            </w:r>
          </w:p>
        </w:tc>
        <w:tc>
          <w:tcPr>
            <w:tcW w:w="3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(41,734)</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(27,443)</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5,987</w:t>
            </w:r>
          </w:p>
        </w:tc>
        <w:tc>
          <w:tcPr>
            <w:tcW w:w="3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5,995</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w:t>
            </w:r>
          </w:p>
        </w:tc>
        <w:tc>
          <w:tcPr>
            <w:tcW w:w="3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(2,191)</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17,500</w:t>
            </w:r>
          </w:p>
        </w:tc>
        <w:tc>
          <w:tcPr>
            <w:tcW w:w="3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2,500</w:t>
            </w:r>
          </w:p>
        </w:tc>
        <w:tc>
          <w:tcPr>
            <w:tcW w:w="3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32,440</w:t>
            </w:r>
          </w:p>
        </w:tc>
        <w:tc>
          <w:tcPr>
            <w:tcW w:w="3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(34,615)</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(23,639)</w:t>
            </w:r>
          </w:p>
        </w:tc>
      </w:tr>
      <w:tr>
        <w:trPr>
          <w:trHeight w:val="167"/>
        </w:trPr>
        <w:tc>
          <w:tcPr>
            <w:tcW w:w="30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7,957</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(30,699)</w:t>
            </w:r>
          </w:p>
        </w:tc>
      </w:tr>
      <w:tr>
        <w:trPr>
          <w:trHeight w:val="167"/>
        </w:trPr>
        <w:tc>
          <w:tcPr>
            <w:tcW w:w="30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Income tax expense differs from the amounts computed by applying the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20"/>
                <w:szCs w:val="20"/>
                <w:color w:val="auto"/>
              </w:rPr>
            </w:pPr>
            <w:r>
              <w:rPr>
                <w:rFonts w:ascii="Courier New" w:cs="Courier New" w:eastAsia="Courier New" w:hAnsi="Courier New"/>
                <w:sz w:val="14"/>
                <w:szCs w:val="14"/>
                <w:color w:val="auto"/>
              </w:rPr>
              <w:t>U.S. Federal corporate income tax rate of 35% as follows: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68"/>
        </w:trPr>
        <w:tc>
          <w:tcPr>
            <w:tcW w:w="7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Years Ended December 31,</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7040" w:type="dxa"/>
            <w:vAlign w:val="bottom"/>
          </w:tcPr>
          <w:p>
            <w:pPr>
              <w:spacing w:after="0"/>
              <w:rPr>
                <w:sz w:val="14"/>
                <w:szCs w:val="14"/>
                <w:color w:val="auto"/>
              </w:rPr>
            </w:pPr>
          </w:p>
        </w:tc>
        <w:tc>
          <w:tcPr>
            <w:tcW w:w="364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167"/>
        </w:trPr>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2000</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1998</w:t>
            </w:r>
          </w:p>
        </w:tc>
        <w:tc>
          <w:tcPr>
            <w:tcW w:w="620" w:type="dxa"/>
            <w:vAlign w:val="bottom"/>
          </w:tcPr>
          <w:p>
            <w:pPr>
              <w:spacing w:after="0"/>
              <w:rPr>
                <w:sz w:val="14"/>
                <w:szCs w:val="14"/>
                <w:color w:val="auto"/>
              </w:rPr>
            </w:pPr>
          </w:p>
        </w:tc>
      </w:tr>
      <w:tr>
        <w:trPr>
          <w:trHeight w:val="167"/>
        </w:trPr>
        <w:tc>
          <w:tcPr>
            <w:tcW w:w="7040" w:type="dxa"/>
            <w:vAlign w:val="bottom"/>
          </w:tcPr>
          <w:p>
            <w:pPr>
              <w:spacing w:after="0"/>
              <w:rPr>
                <w:sz w:val="14"/>
                <w:szCs w:val="14"/>
                <w:color w:val="auto"/>
              </w:rPr>
            </w:pP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334"/>
        </w:trPr>
        <w:tc>
          <w:tcPr>
            <w:tcW w:w="7040" w:type="dxa"/>
            <w:vAlign w:val="bottom"/>
          </w:tcPr>
          <w:p>
            <w:pPr>
              <w:spacing w:after="0"/>
              <w:rPr>
                <w:sz w:val="20"/>
                <w:szCs w:val="20"/>
                <w:color w:val="auto"/>
              </w:rPr>
            </w:pPr>
            <w:r>
              <w:rPr>
                <w:rFonts w:ascii="Courier New" w:cs="Courier New" w:eastAsia="Courier New" w:hAnsi="Courier New"/>
                <w:sz w:val="14"/>
                <w:szCs w:val="14"/>
                <w:color w:val="auto"/>
              </w:rPr>
              <w:t>Expected income tax expense (benefit) at statutory rate..................</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(2,997)</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5,187</w:t>
            </w:r>
          </w:p>
        </w:tc>
        <w:tc>
          <w:tcPr>
            <w:tcW w:w="120" w:type="dxa"/>
            <w:vAlign w:val="bottom"/>
          </w:tcPr>
          <w:p>
            <w:pPr>
              <w:spacing w:after="0"/>
              <w:rPr>
                <w:sz w:val="24"/>
                <w:szCs w:val="2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(11,328)</w:t>
            </w:r>
          </w:p>
        </w:tc>
        <w:tc>
          <w:tcPr>
            <w:tcW w:w="620" w:type="dxa"/>
            <w:vAlign w:val="bottom"/>
          </w:tcPr>
          <w:p>
            <w:pPr>
              <w:spacing w:after="0"/>
              <w:rPr>
                <w:sz w:val="24"/>
                <w:szCs w:val="24"/>
                <w:color w:val="auto"/>
              </w:rPr>
            </w:pP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Differences between expected and actual expense (benefit):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7040" w:type="dxa"/>
            <w:vAlign w:val="bottom"/>
          </w:tcPr>
          <w:p>
            <w:pPr>
              <w:ind w:left="260"/>
              <w:spacing w:after="0"/>
              <w:rPr>
                <w:sz w:val="20"/>
                <w:szCs w:val="20"/>
                <w:color w:val="auto"/>
              </w:rPr>
            </w:pPr>
            <w:r>
              <w:rPr>
                <w:rFonts w:ascii="Courier New" w:cs="Courier New" w:eastAsia="Courier New" w:hAnsi="Courier New"/>
                <w:sz w:val="14"/>
                <w:szCs w:val="14"/>
                <w:color w:val="auto"/>
              </w:rPr>
              <w:t>Excess of cost over net assets acquired, net..........................</w:t>
            </w:r>
          </w:p>
        </w:tc>
        <w:tc>
          <w:tcPr>
            <w:tcW w:w="2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1,078</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1,249</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620" w:type="dxa"/>
            <w:vAlign w:val="bottom"/>
          </w:tcPr>
          <w:p>
            <w:pPr>
              <w:spacing w:after="0"/>
              <w:rPr>
                <w:sz w:val="14"/>
                <w:szCs w:val="14"/>
                <w:color w:val="auto"/>
              </w:rPr>
            </w:pPr>
          </w:p>
        </w:tc>
      </w:tr>
      <w:tr>
        <w:trPr>
          <w:trHeight w:val="167"/>
        </w:trPr>
        <w:tc>
          <w:tcPr>
            <w:tcW w:w="7040" w:type="dxa"/>
            <w:vAlign w:val="bottom"/>
          </w:tcPr>
          <w:p>
            <w:pPr>
              <w:ind w:left="260"/>
              <w:spacing w:after="0"/>
              <w:rPr>
                <w:sz w:val="20"/>
                <w:szCs w:val="20"/>
                <w:color w:val="auto"/>
              </w:rPr>
            </w:pPr>
            <w:r>
              <w:rPr>
                <w:rFonts w:ascii="Courier New" w:cs="Courier New" w:eastAsia="Courier New" w:hAnsi="Courier New"/>
                <w:sz w:val="14"/>
                <w:szCs w:val="14"/>
                <w:color w:val="auto"/>
              </w:rPr>
              <w:t>Excess of net assets acquired over purchase price.....................</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(4,939)</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167"/>
        </w:trPr>
        <w:tc>
          <w:tcPr>
            <w:tcW w:w="7040" w:type="dxa"/>
            <w:vAlign w:val="bottom"/>
          </w:tcPr>
          <w:p>
            <w:pPr>
              <w:ind w:left="260"/>
              <w:spacing w:after="0"/>
              <w:rPr>
                <w:sz w:val="20"/>
                <w:szCs w:val="20"/>
                <w:color w:val="auto"/>
              </w:rPr>
            </w:pPr>
            <w:r>
              <w:rPr>
                <w:rFonts w:ascii="Courier New" w:cs="Courier New" w:eastAsia="Courier New" w:hAnsi="Courier New"/>
                <w:sz w:val="14"/>
                <w:szCs w:val="14"/>
                <w:color w:val="auto"/>
              </w:rPr>
              <w:t>Tax effect of utilization of net operating loss.......................</w:t>
            </w:r>
          </w:p>
        </w:tc>
        <w:tc>
          <w:tcPr>
            <w:tcW w:w="2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(3,003)</w:t>
            </w:r>
          </w:p>
        </w:tc>
        <w:tc>
          <w:tcPr>
            <w:tcW w:w="620" w:type="dxa"/>
            <w:vAlign w:val="bottom"/>
          </w:tcPr>
          <w:p>
            <w:pPr>
              <w:spacing w:after="0"/>
              <w:rPr>
                <w:sz w:val="14"/>
                <w:szCs w:val="14"/>
                <w:color w:val="auto"/>
              </w:rPr>
            </w:pPr>
          </w:p>
        </w:tc>
      </w:tr>
      <w:tr>
        <w:trPr>
          <w:trHeight w:val="167"/>
        </w:trPr>
        <w:tc>
          <w:tcPr>
            <w:tcW w:w="7040" w:type="dxa"/>
            <w:vAlign w:val="bottom"/>
          </w:tcPr>
          <w:p>
            <w:pPr>
              <w:ind w:left="260"/>
              <w:spacing w:after="0"/>
              <w:rPr>
                <w:sz w:val="20"/>
                <w:szCs w:val="20"/>
                <w:color w:val="auto"/>
              </w:rPr>
            </w:pPr>
            <w:r>
              <w:rPr>
                <w:rFonts w:ascii="Courier New" w:cs="Courier New" w:eastAsia="Courier New" w:hAnsi="Courier New"/>
                <w:sz w:val="14"/>
                <w:szCs w:val="14"/>
                <w:color w:val="auto"/>
              </w:rPr>
              <w:t>State tax (after Federal tax benefit).................................</w:t>
            </w:r>
          </w:p>
        </w:tc>
        <w:tc>
          <w:tcPr>
            <w:tcW w:w="2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310</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1,251</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1,571</w:t>
            </w:r>
          </w:p>
        </w:tc>
        <w:tc>
          <w:tcPr>
            <w:tcW w:w="620" w:type="dxa"/>
            <w:vAlign w:val="bottom"/>
          </w:tcPr>
          <w:p>
            <w:pPr>
              <w:spacing w:after="0"/>
              <w:rPr>
                <w:sz w:val="14"/>
                <w:szCs w:val="14"/>
                <w:color w:val="auto"/>
              </w:rPr>
            </w:pPr>
          </w:p>
        </w:tc>
      </w:tr>
      <w:tr>
        <w:trPr>
          <w:trHeight w:val="167"/>
        </w:trPr>
        <w:tc>
          <w:tcPr>
            <w:tcW w:w="7040" w:type="dxa"/>
            <w:vAlign w:val="bottom"/>
          </w:tcPr>
          <w:p>
            <w:pPr>
              <w:ind w:left="260"/>
              <w:spacing w:after="0"/>
              <w:rPr>
                <w:sz w:val="20"/>
                <w:szCs w:val="20"/>
                <w:color w:val="auto"/>
              </w:rPr>
            </w:pPr>
            <w:r>
              <w:rPr>
                <w:rFonts w:ascii="Courier New" w:cs="Courier New" w:eastAsia="Courier New" w:hAnsi="Courier New"/>
                <w:sz w:val="14"/>
                <w:szCs w:val="14"/>
                <w:color w:val="auto"/>
              </w:rPr>
              <w:t>Low-income housing tax credits........................................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(2,577)</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(18,242)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(17,666)</w:t>
            </w:r>
          </w:p>
        </w:tc>
        <w:tc>
          <w:tcPr>
            <w:tcW w:w="620" w:type="dxa"/>
            <w:vAlign w:val="bottom"/>
          </w:tcPr>
          <w:p>
            <w:pPr>
              <w:spacing w:after="0"/>
              <w:rPr>
                <w:sz w:val="14"/>
                <w:szCs w:val="14"/>
                <w:color w:val="auto"/>
              </w:rPr>
            </w:pPr>
          </w:p>
        </w:tc>
      </w:tr>
      <w:tr>
        <w:trPr>
          <w:trHeight w:val="167"/>
        </w:trPr>
        <w:tc>
          <w:tcPr>
            <w:tcW w:w="7040" w:type="dxa"/>
            <w:vAlign w:val="bottom"/>
          </w:tcPr>
          <w:p>
            <w:pPr>
              <w:ind w:left="260"/>
              <w:spacing w:after="0"/>
              <w:rPr>
                <w:sz w:val="20"/>
                <w:szCs w:val="20"/>
                <w:color w:val="auto"/>
              </w:rPr>
            </w:pPr>
            <w:r>
              <w:rPr>
                <w:rFonts w:ascii="Courier New" w:cs="Courier New" w:eastAsia="Courier New" w:hAnsi="Courier New"/>
                <w:sz w:val="14"/>
                <w:szCs w:val="14"/>
                <w:color w:val="auto"/>
              </w:rPr>
              <w:t>Sale of Ocwen UK......................................................</w:t>
            </w:r>
          </w:p>
        </w:tc>
        <w:tc>
          <w:tcPr>
            <w:tcW w:w="2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9,730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167"/>
        </w:trPr>
        <w:tc>
          <w:tcPr>
            <w:tcW w:w="7040" w:type="dxa"/>
            <w:vAlign w:val="bottom"/>
          </w:tcPr>
          <w:p>
            <w:pPr>
              <w:ind w:left="260"/>
              <w:spacing w:after="0"/>
              <w:rPr>
                <w:sz w:val="20"/>
                <w:szCs w:val="20"/>
                <w:color w:val="auto"/>
              </w:rPr>
            </w:pPr>
            <w:r>
              <w:rPr>
                <w:rFonts w:ascii="Courier New" w:cs="Courier New" w:eastAsia="Courier New" w:hAnsi="Courier New"/>
                <w:sz w:val="14"/>
                <w:szCs w:val="14"/>
                <w:color w:val="auto"/>
              </w:rPr>
              <w:t>OAC loss not included in OCN consolidated tax group...................</w:t>
            </w:r>
          </w:p>
        </w:tc>
        <w:tc>
          <w:tcPr>
            <w:tcW w:w="2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167"/>
        </w:trPr>
        <w:tc>
          <w:tcPr>
            <w:tcW w:w="7040" w:type="dxa"/>
            <w:vAlign w:val="bottom"/>
          </w:tcPr>
          <w:p>
            <w:pPr>
              <w:ind w:left="260"/>
              <w:spacing w:after="0"/>
              <w:rPr>
                <w:sz w:val="20"/>
                <w:szCs w:val="20"/>
                <w:color w:val="auto"/>
              </w:rPr>
            </w:pPr>
            <w:r>
              <w:rPr>
                <w:rFonts w:ascii="Courier New" w:cs="Courier New" w:eastAsia="Courier New" w:hAnsi="Courier New"/>
                <w:sz w:val="14"/>
                <w:szCs w:val="14"/>
                <w:color w:val="auto"/>
              </w:rPr>
              <w:t>Deferred tax asset valuation allowance................................</w:t>
            </w:r>
          </w:p>
        </w:tc>
        <w:tc>
          <w:tcPr>
            <w:tcW w:w="2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17,500</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2,500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167"/>
        </w:trPr>
        <w:tc>
          <w:tcPr>
            <w:tcW w:w="704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(418)</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c>
          <w:tcPr>
            <w:tcW w:w="620" w:type="dxa"/>
            <w:vAlign w:val="bottom"/>
          </w:tcPr>
          <w:p>
            <w:pPr>
              <w:spacing w:after="0"/>
              <w:rPr>
                <w:sz w:val="14"/>
                <w:szCs w:val="14"/>
                <w:color w:val="auto"/>
              </w:rPr>
            </w:pPr>
          </w:p>
        </w:tc>
      </w:tr>
      <w:tr>
        <w:trPr>
          <w:trHeight w:val="167"/>
        </w:trPr>
        <w:tc>
          <w:tcPr>
            <w:tcW w:w="7040" w:type="dxa"/>
            <w:vAlign w:val="bottom"/>
          </w:tcPr>
          <w:p>
            <w:pPr>
              <w:spacing w:after="0"/>
              <w:rPr>
                <w:sz w:val="14"/>
                <w:szCs w:val="14"/>
                <w:color w:val="auto"/>
              </w:rPr>
            </w:pP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167"/>
        </w:trPr>
        <w:tc>
          <w:tcPr>
            <w:tcW w:w="7040" w:type="dxa"/>
            <w:vAlign w:val="bottom"/>
          </w:tcPr>
          <w:p>
            <w:pPr>
              <w:ind w:left="440"/>
              <w:spacing w:after="0"/>
              <w:rPr>
                <w:sz w:val="20"/>
                <w:szCs w:val="20"/>
                <w:color w:val="auto"/>
              </w:rPr>
            </w:pPr>
            <w:r>
              <w:rPr>
                <w:rFonts w:ascii="Courier New" w:cs="Courier New" w:eastAsia="Courier New" w:hAnsi="Courier New"/>
                <w:sz w:val="14"/>
                <w:szCs w:val="14"/>
                <w:color w:val="auto"/>
              </w:rPr>
              <w:t>Actual income tax expense (benefit).................................</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7,957</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2,608</w:t>
            </w:r>
          </w:p>
        </w:tc>
        <w:tc>
          <w:tcPr>
            <w:tcW w:w="12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(30,699)</w:t>
            </w:r>
          </w:p>
        </w:tc>
        <w:tc>
          <w:tcPr>
            <w:tcW w:w="620" w:type="dxa"/>
            <w:vAlign w:val="bottom"/>
          </w:tcPr>
          <w:p>
            <w:pPr>
              <w:spacing w:after="0"/>
              <w:rPr>
                <w:sz w:val="14"/>
                <w:szCs w:val="14"/>
                <w:color w:val="auto"/>
              </w:rPr>
            </w:pPr>
          </w:p>
        </w:tc>
      </w:tr>
      <w:tr>
        <w:trPr>
          <w:trHeight w:val="167"/>
        </w:trPr>
        <w:tc>
          <w:tcPr>
            <w:tcW w:w="7040" w:type="dxa"/>
            <w:vAlign w:val="bottom"/>
          </w:tcPr>
          <w:p>
            <w:pPr>
              <w:spacing w:after="0"/>
              <w:rPr>
                <w:sz w:val="14"/>
                <w:szCs w:val="14"/>
                <w:color w:val="auto"/>
              </w:rPr>
            </w:pP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501"/>
        </w:trPr>
        <w:tc>
          <w:tcPr>
            <w:tcW w:w="7040" w:type="dxa"/>
            <w:vAlign w:val="bottom"/>
          </w:tcPr>
          <w:p>
            <w:pPr>
              <w:ind w:left="800"/>
              <w:spacing w:after="0"/>
              <w:rPr>
                <w:sz w:val="20"/>
                <w:szCs w:val="20"/>
                <w:color w:val="auto"/>
              </w:rPr>
            </w:pPr>
            <w:r>
              <w:rPr>
                <w:rFonts w:ascii="Courier New" w:cs="Courier New" w:eastAsia="Courier New" w:hAnsi="Courier New"/>
                <w:sz w:val="14"/>
                <w:szCs w:val="14"/>
                <w:color w:val="auto"/>
              </w:rPr>
              <w:t>Total income tax expense (benefit) was allocated as follows: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68"/>
        </w:trPr>
        <w:tc>
          <w:tcPr>
            <w:tcW w:w="7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620" w:type="dxa"/>
            <w:vAlign w:val="bottom"/>
          </w:tcPr>
          <w:p>
            <w:pPr>
              <w:spacing w:after="0"/>
              <w:rPr>
                <w:sz w:val="24"/>
                <w:szCs w:val="24"/>
                <w:color w:val="auto"/>
              </w:rPr>
            </w:pPr>
          </w:p>
        </w:tc>
      </w:tr>
      <w:tr>
        <w:trPr>
          <w:trHeight w:val="167"/>
        </w:trPr>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2000</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68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780"/>
              <w:spacing w:after="0"/>
              <w:rPr>
                <w:sz w:val="20"/>
                <w:szCs w:val="20"/>
                <w:color w:val="auto"/>
              </w:rPr>
            </w:pPr>
            <w:r>
              <w:rPr>
                <w:rFonts w:ascii="Courier New" w:cs="Courier New" w:eastAsia="Courier New" w:hAnsi="Courier New"/>
                <w:sz w:val="14"/>
                <w:szCs w:val="14"/>
                <w:color w:val="auto"/>
                <w:w w:val="74"/>
              </w:rPr>
              <w:t>--------</w:t>
            </w:r>
          </w:p>
        </w:tc>
        <w:tc>
          <w:tcPr>
            <w:tcW w:w="7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7300" w:type="dxa"/>
            <w:vAlign w:val="bottom"/>
            <w:gridSpan w:val="2"/>
          </w:tcPr>
          <w:p>
            <w:pPr>
              <w:spacing w:after="0"/>
              <w:rPr>
                <w:sz w:val="20"/>
                <w:szCs w:val="20"/>
                <w:color w:val="auto"/>
              </w:rPr>
            </w:pPr>
            <w:r>
              <w:rPr>
                <w:rFonts w:ascii="Courier New" w:cs="Courier New" w:eastAsia="Courier New" w:hAnsi="Courier New"/>
                <w:sz w:val="14"/>
                <w:szCs w:val="14"/>
                <w:color w:val="auto"/>
                <w:w w:val="98"/>
              </w:rPr>
              <w:t>Income (loss) before extraordinary gain ................................................</w:t>
            </w:r>
          </w:p>
        </w:tc>
        <w:tc>
          <w:tcPr>
            <w:tcW w:w="9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7,957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2,608</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$(30,699)</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Benefit of tax deduction in excess of amounts recognized for financial reporting</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730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8"/>
              </w:rPr>
              <w:t>purposes related to employee stock options reflected in stockholders' equity ........</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w:t>
            </w:r>
          </w:p>
        </w:tc>
        <w:tc>
          <w:tcPr>
            <w:tcW w:w="120" w:type="dxa"/>
            <w:vAlign w:val="bottom"/>
          </w:tcPr>
          <w:p>
            <w:pPr>
              <w:spacing w:after="0"/>
              <w:rPr>
                <w:sz w:val="14"/>
                <w:szCs w:val="14"/>
                <w:color w:val="auto"/>
              </w:rPr>
            </w:pPr>
          </w:p>
        </w:tc>
        <w:tc>
          <w:tcPr>
            <w:tcW w:w="12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(2,398)</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Benefit of tax deduction in excess of amounts recognized for financial reporting</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8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purposes related to director restricted stock reflected in stockholders' equity......</w:t>
            </w:r>
          </w:p>
        </w:tc>
        <w:tc>
          <w:tcPr>
            <w:tcW w:w="34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(8)</w:t>
            </w:r>
          </w:p>
        </w:tc>
        <w:tc>
          <w:tcPr>
            <w:tcW w:w="120" w:type="dxa"/>
            <w:vAlign w:val="bottom"/>
          </w:tcPr>
          <w:p>
            <w:pPr>
              <w:spacing w:after="0"/>
              <w:rPr>
                <w:sz w:val="14"/>
                <w:szCs w:val="14"/>
                <w:color w:val="auto"/>
              </w:rPr>
            </w:pPr>
          </w:p>
        </w:tc>
        <w:tc>
          <w:tcPr>
            <w:tcW w:w="12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780"/>
              <w:spacing w:after="0"/>
              <w:rPr>
                <w:sz w:val="20"/>
                <w:szCs w:val="20"/>
                <w:color w:val="auto"/>
              </w:rPr>
            </w:pPr>
            <w:r>
              <w:rPr>
                <w:rFonts w:ascii="Courier New" w:cs="Courier New" w:eastAsia="Courier New" w:hAnsi="Courier New"/>
                <w:sz w:val="14"/>
                <w:szCs w:val="14"/>
                <w:color w:val="auto"/>
                <w:w w:val="74"/>
              </w:rPr>
              <w:t>--------</w:t>
            </w:r>
          </w:p>
        </w:tc>
        <w:tc>
          <w:tcPr>
            <w:tcW w:w="7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7,949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2,587</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$(33,110)</w:t>
            </w:r>
          </w:p>
        </w:tc>
      </w:tr>
      <w:tr>
        <w:trPr>
          <w:trHeight w:val="167"/>
        </w:trPr>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520" w:firstLine="781"/>
        <w:spacing w:after="0" w:line="253" w:lineRule="auto"/>
        <w:rPr>
          <w:sz w:val="20"/>
          <w:szCs w:val="20"/>
          <w:color w:val="auto"/>
        </w:rPr>
      </w:pPr>
      <w:r>
        <w:rPr>
          <w:rFonts w:ascii="Courier New" w:cs="Courier New" w:eastAsia="Courier New" w:hAnsi="Courier New"/>
          <w:sz w:val="14"/>
          <w:szCs w:val="14"/>
          <w:color w:val="auto"/>
        </w:rPr>
        <w:t>For taxable years beginning prior to January 1, 1996, a savings institution that met certain definitional tests relating to the composition of its assets and the sources of its income (a "qualifying savings institution") was permitted to establish reserves for bad debts and make annual additions thereto under the experience method. Alternatively, a qualifying savings institution could elect, on an annual basis, to use the percentage of taxable income method to compute its allowable addition to its bad debt reserve on qualifying real property</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1300"/>
          </w:cols>
          <w:pgMar w:left="220" w:top="453" w:right="379" w:bottom="1440" w:gutter="0" w:footer="0" w:header="0"/>
        </w:sectPr>
      </w:pPr>
    </w:p>
    <w:bookmarkStart w:id="132" w:name="page133"/>
    <w:bookmarkEnd w:id="132"/>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loans (generally loans secured by an interest in improved real estate). The applicable percentage was 8% for tax periods after 1987. The Bank utilized the percentage of taxable income method for these years.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August 20, 1996, President Clinton signed the Small Business Job Protection Act (the "Act") into law. One provision of the Act repealed the reserve method of accounting for bad debts for savings institutions effective for taxable years beginning after 1995. The Bank, therefore, was required to use the specific charge-off method on its 1996 and subsequent federal income tax returns. The Bank will be required to recapture its "applicable excess reserves," which are its federal tax bad debt reserves in excess of the base year reserve amount described in the following paragraph. The Bank will include one-sixth of its applicable excess reserves in taxable income in each year from 1996 through 2001. As of December 31, 1995, the Bank had approximately $42,400 of applicable excess reserves. As of December 31, 1996, the Bank had fully provided for the tax related to this recapture.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base year reserves will continue to be subject to recapture, and the Bank could be required to recognize a tax liability if: (1) the Bank fails to qualify as a "bank" for federal income tax purposes, (2) certain distributions are made with respect to the stock of the Bank, (3) the bad debt reserves are used for any purpose other than to absorb bad debt losses or (4) there is a change in federal tax law. The enactment of this legislation is expected to have no material impact on the Bank's or the Company's operations or financial position.</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deferred tax liability has not been recognized for the tax bad debt base year reserves of the Bank. The base year reserves are generally the balance of reserves as of December 31, 1987, reduced proportionately for reductions in the Bank's loan portfolio between that date and December 31, 1995. At December 31, 2000 and 1999, the amount of those reserves was approximately $5,700. This reserve could be recognized in the future under the conditions described in the preceding paragraph.</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0239"/>
          </w:cols>
          <w:pgMar w:left="220" w:top="453" w:right="1440" w:bottom="1440" w:gutter="0" w:footer="0" w:header="0"/>
        </w:sectPr>
      </w:pPr>
    </w:p>
    <w:bookmarkStart w:id="133" w:name="page134"/>
    <w:bookmarkEnd w:id="133"/>
    <w:p>
      <w:pPr>
        <w:jc w:val="center"/>
        <w:ind w:right="382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The net deferred tax asset was comprised of the following as of:</w:t>
            </w: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68"/>
        </w:trPr>
        <w:tc>
          <w:tcPr>
            <w:tcW w:w="7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31,</w:t>
            </w:r>
          </w:p>
        </w:tc>
        <w:tc>
          <w:tcPr>
            <w:tcW w:w="1140" w:type="dxa"/>
            <w:vAlign w:val="bottom"/>
          </w:tcPr>
          <w:p>
            <w:pPr>
              <w:spacing w:after="0"/>
              <w:rPr>
                <w:sz w:val="24"/>
                <w:szCs w:val="24"/>
                <w:color w:val="auto"/>
              </w:rPr>
            </w:pPr>
          </w:p>
        </w:tc>
      </w:tr>
      <w:tr>
        <w:trPr>
          <w:trHeight w:val="167"/>
        </w:trPr>
        <w:tc>
          <w:tcPr>
            <w:tcW w:w="7040" w:type="dxa"/>
            <w:vAlign w:val="bottom"/>
          </w:tcPr>
          <w:p>
            <w:pPr>
              <w:spacing w:after="0"/>
              <w:rPr>
                <w:sz w:val="14"/>
                <w:szCs w:val="14"/>
                <w:color w:val="auto"/>
              </w:rPr>
            </w:pPr>
          </w:p>
        </w:tc>
        <w:tc>
          <w:tcPr>
            <w:tcW w:w="37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ind w:right="848"/>
              <w:spacing w:after="0"/>
              <w:rPr>
                <w:sz w:val="20"/>
                <w:szCs w:val="20"/>
                <w:color w:val="auto"/>
              </w:rPr>
            </w:pPr>
            <w:r>
              <w:rPr>
                <w:rFonts w:ascii="Courier New" w:cs="Courier New" w:eastAsia="Courier New" w:hAnsi="Courier New"/>
                <w:sz w:val="14"/>
                <w:szCs w:val="14"/>
                <w:color w:val="auto"/>
                <w:w w:val="95"/>
              </w:rPr>
              <w:t>2000</w:t>
            </w:r>
          </w:p>
        </w:tc>
        <w:tc>
          <w:tcPr>
            <w:tcW w:w="56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7040" w:type="dxa"/>
            <w:vAlign w:val="bottom"/>
          </w:tcPr>
          <w:p>
            <w:pPr>
              <w:spacing w:after="0"/>
              <w:rPr>
                <w:sz w:val="14"/>
                <w:szCs w:val="14"/>
                <w:color w:val="auto"/>
              </w:rPr>
            </w:pPr>
          </w:p>
        </w:tc>
        <w:tc>
          <w:tcPr>
            <w:tcW w:w="2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704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Tax residuals and deferred income on tax residuals........................</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4,374</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2,438</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State taxes...............................................................</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6,197</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2,654</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OAC purchase accounting adjustments.......................................</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8,117</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1,697</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Accrued profit sharing....................................................</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1,972</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5,710</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Accrued other liabilities.................................................</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249</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365</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Interest expense related to discount loan portfolio.......................</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9,936</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13,728</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Valuation allowance on real estate owned..................................</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6,360</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5,969</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Gain on loan foreclosure..................................................</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12,834</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12,308</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Bad debt and allowance for loan losses....................................</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16,210</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11,923</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Impairment on securities available for sale...............................</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57,951</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69,333</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Mortgage servicing rights impairment and amortization.....................</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2,208</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1,540</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Goodwill impairment and amortization......................................</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Foreign currency exchange.................................................</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1,068</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1,068</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Capital loss carryforward.................................................</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4,160</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4,160</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 U.S. tax benefit on undistributed foreign income......................</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3,050</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Contingent interest income on equity participation loans..................</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1,757</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Partnership losses and low-income housing tax credits.....................</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30,022</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35,896</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Foreign currency translation adjustment...................................</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Other.....................................................................</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2,679</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13,591</w:t>
            </w:r>
          </w:p>
        </w:tc>
      </w:tr>
      <w:tr>
        <w:trPr>
          <w:trHeight w:val="167"/>
        </w:trPr>
        <w:tc>
          <w:tcPr>
            <w:tcW w:w="7040" w:type="dxa"/>
            <w:vAlign w:val="bottom"/>
          </w:tcPr>
          <w:p>
            <w:pPr>
              <w:spacing w:after="0"/>
              <w:rPr>
                <w:sz w:val="14"/>
                <w:szCs w:val="14"/>
                <w:color w:val="auto"/>
              </w:rPr>
            </w:pPr>
          </w:p>
        </w:tc>
        <w:tc>
          <w:tcPr>
            <w:tcW w:w="2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164,358</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187,669</w:t>
            </w:r>
          </w:p>
        </w:tc>
      </w:tr>
      <w:tr>
        <w:trPr>
          <w:trHeight w:val="167"/>
        </w:trPr>
        <w:tc>
          <w:tcPr>
            <w:tcW w:w="7040" w:type="dxa"/>
            <w:vAlign w:val="bottom"/>
          </w:tcPr>
          <w:p>
            <w:pPr>
              <w:spacing w:after="0"/>
              <w:rPr>
                <w:sz w:val="14"/>
                <w:szCs w:val="14"/>
                <w:color w:val="auto"/>
              </w:rPr>
            </w:pPr>
          </w:p>
        </w:tc>
        <w:tc>
          <w:tcPr>
            <w:tcW w:w="2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Deferred interest income on discount loan portfolio.......................</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7,047</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6,647</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Research and development costs............................................</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1,719</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1,823</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Unrealized gain on securities available for sale..........................</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Foreign currency translation adjustment...................................</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229</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Other.....................................................................</w:t>
            </w: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499</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783</w:t>
            </w:r>
          </w:p>
        </w:tc>
      </w:tr>
      <w:tr>
        <w:trPr>
          <w:trHeight w:val="167"/>
        </w:trPr>
        <w:tc>
          <w:tcPr>
            <w:tcW w:w="7040" w:type="dxa"/>
            <w:vAlign w:val="bottom"/>
          </w:tcPr>
          <w:p>
            <w:pPr>
              <w:spacing w:after="0"/>
              <w:rPr>
                <w:sz w:val="14"/>
                <w:szCs w:val="14"/>
                <w:color w:val="auto"/>
              </w:rPr>
            </w:pPr>
          </w:p>
        </w:tc>
        <w:tc>
          <w:tcPr>
            <w:tcW w:w="2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9,494</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9,376</w:t>
            </w:r>
          </w:p>
        </w:tc>
      </w:tr>
      <w:tr>
        <w:trPr>
          <w:trHeight w:val="167"/>
        </w:trPr>
        <w:tc>
          <w:tcPr>
            <w:tcW w:w="7040" w:type="dxa"/>
            <w:vAlign w:val="bottom"/>
          </w:tcPr>
          <w:p>
            <w:pPr>
              <w:spacing w:after="0"/>
              <w:rPr>
                <w:sz w:val="14"/>
                <w:szCs w:val="14"/>
                <w:color w:val="auto"/>
              </w:rPr>
            </w:pPr>
          </w:p>
        </w:tc>
        <w:tc>
          <w:tcPr>
            <w:tcW w:w="2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154,864</w:t>
            </w:r>
          </w:p>
        </w:tc>
        <w:tc>
          <w:tcPr>
            <w:tcW w:w="5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178,293</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Deferred tax asset valuation allowance.......................................</w:t>
            </w:r>
          </w:p>
        </w:tc>
        <w:tc>
          <w:tcPr>
            <w:tcW w:w="7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(58,873)</w:t>
            </w:r>
          </w:p>
        </w:tc>
        <w:tc>
          <w:tcPr>
            <w:tcW w:w="5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(41,373)</w:t>
            </w:r>
          </w:p>
        </w:tc>
      </w:tr>
      <w:tr>
        <w:trPr>
          <w:trHeight w:val="167"/>
        </w:trPr>
        <w:tc>
          <w:tcPr>
            <w:tcW w:w="7040" w:type="dxa"/>
            <w:vAlign w:val="bottom"/>
          </w:tcPr>
          <w:p>
            <w:pPr>
              <w:spacing w:after="0"/>
              <w:rPr>
                <w:sz w:val="14"/>
                <w:szCs w:val="14"/>
                <w:color w:val="auto"/>
              </w:rPr>
            </w:pPr>
          </w:p>
        </w:tc>
        <w:tc>
          <w:tcPr>
            <w:tcW w:w="2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 deferred tax asset.......................................................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95,991</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136,920</w:t>
            </w:r>
          </w:p>
        </w:tc>
      </w:tr>
      <w:tr>
        <w:trPr>
          <w:trHeight w:val="167"/>
        </w:trPr>
        <w:tc>
          <w:tcPr>
            <w:tcW w:w="7040" w:type="dxa"/>
            <w:vAlign w:val="bottom"/>
          </w:tcPr>
          <w:p>
            <w:pPr>
              <w:spacing w:after="0"/>
              <w:rPr>
                <w:sz w:val="14"/>
                <w:szCs w:val="14"/>
                <w:color w:val="auto"/>
              </w:rPr>
            </w:pPr>
          </w:p>
        </w:tc>
        <w:tc>
          <w:tcPr>
            <w:tcW w:w="2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820" w:firstLine="781"/>
        <w:spacing w:after="0" w:line="253" w:lineRule="auto"/>
        <w:rPr>
          <w:sz w:val="20"/>
          <w:szCs w:val="20"/>
          <w:color w:val="auto"/>
        </w:rPr>
      </w:pPr>
      <w:r>
        <w:rPr>
          <w:rFonts w:ascii="Courier New" w:cs="Courier New" w:eastAsia="Courier New" w:hAnsi="Courier New"/>
          <w:sz w:val="14"/>
          <w:szCs w:val="14"/>
          <w:color w:val="auto"/>
        </w:rPr>
        <w:t>Deferred tax assets, net of deferred fees, include tax residuals which result from the ownership of Real Estate Mortgage Investment Conduits ("REMIC"). While a tax residual is anticipated to have little or no future cash flows from the REMIC from which it has been issued, the tax residual does bear the income tax liability and benefit resulting from the annual differences between the interest paid on the debt instruments issued by the REMIC and the interest received on the mortgage loans held by the REMIC. Typically this difference generates taxable income to the Company in the first several years of the REMIC and equal amounts of tax losses thereafter, thus resulting in the deferred tax asset.</w:t>
      </w:r>
    </w:p>
    <w:p>
      <w:pPr>
        <w:spacing w:after="0" w:line="331" w:lineRule="exact"/>
        <w:rPr>
          <w:sz w:val="20"/>
          <w:szCs w:val="20"/>
          <w:color w:val="auto"/>
        </w:rPr>
      </w:pPr>
    </w:p>
    <w:p>
      <w:pPr>
        <w:ind w:right="3820" w:firstLine="781"/>
        <w:spacing w:after="0" w:line="253" w:lineRule="auto"/>
        <w:rPr>
          <w:sz w:val="20"/>
          <w:szCs w:val="20"/>
          <w:color w:val="auto"/>
        </w:rPr>
      </w:pPr>
      <w:r>
        <w:rPr>
          <w:rFonts w:ascii="Courier New" w:cs="Courier New" w:eastAsia="Courier New" w:hAnsi="Courier New"/>
          <w:sz w:val="14"/>
          <w:szCs w:val="14"/>
          <w:color w:val="auto"/>
        </w:rPr>
        <w:t>International Hotel Group ("IHG"), a wholly-owned subsidiary of IMI, and IHG's subsidiaries had at December 31, 2000, approximately $1,079 of Separate Return Limitation Year ("SRLY") net operating loss carryforwards. The SRLY net operating loss carryforward can only offset the future taxable income of IHG and its subsidiaries. The $1,079 operating loss carryforward will expire, if unused, in the year 2008. At December 31, 2000, the Company had tax credit carryforwards of $29,505 related to low-income housing tax credits, which expire in 2018, 2019 and 2020.</w:t>
      </w:r>
    </w:p>
    <w:p>
      <w:pPr>
        <w:spacing w:after="0" w:line="165" w:lineRule="exact"/>
        <w:rPr>
          <w:sz w:val="20"/>
          <w:szCs w:val="20"/>
          <w:color w:val="auto"/>
        </w:rPr>
      </w:pPr>
    </w:p>
    <w:p>
      <w:pPr>
        <w:ind w:right="3820" w:firstLine="781"/>
        <w:spacing w:after="0" w:line="254" w:lineRule="auto"/>
        <w:rPr>
          <w:sz w:val="20"/>
          <w:szCs w:val="20"/>
          <w:color w:val="auto"/>
        </w:rPr>
      </w:pPr>
      <w:r>
        <w:rPr>
          <w:rFonts w:ascii="Courier New" w:cs="Courier New" w:eastAsia="Courier New" w:hAnsi="Courier New"/>
          <w:sz w:val="14"/>
          <w:szCs w:val="14"/>
          <w:color w:val="auto"/>
        </w:rPr>
        <w:t>As of December 31, 2000, the Company had a deferred tax asset valuation allowance totaling $58,873. This allowance is comprised of $38,873 relating to built-in loss limitations arising from the acquisition of OAC and $20,000 relating to management's evaluation of the future realization of the deferred tax asset.</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780"/>
          </w:cols>
          <w:pgMar w:left="220" w:top="453" w:right="899" w:bottom="1440" w:gutter="0" w:footer="0" w:header="0"/>
        </w:sectPr>
      </w:pPr>
    </w:p>
    <w:bookmarkStart w:id="134" w:name="page135"/>
    <w:bookmarkEnd w:id="134"/>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Management conducts periodic evaluations to determine whether it is more likely than not that the deferred tax asset can be realized in future periods. Among the factors considered in this evaluation are estimates of future earnings, the future reversal of temporary differences and the impact of tax planning strategies that can be implemented if warranted. As a result of this evaluation, the Company included in its tax provision an increase of $17,500 and $2,500 to its valuation allowance at December 31, 2000 and 1999, respectively.</w:t>
      </w:r>
    </w:p>
    <w:p>
      <w:pPr>
        <w:spacing w:after="0" w:line="16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Prior to the acquisition of OAC, OAC was a REIT for federal tax purposes and filed a REIT federal income tax return through October 20, 1999. OAC has been included in the Company's consolidated federal income tax return since October 21, 1999. OAC had, at October 6, 1999, approximately $131,567 of net unrealized built-in losses. Any such losses recognized within the five-year period beginning on October 7, 1999 (the "recognition period") are treated as pre-change losses and, as such, are subject to an annual limit as to the amount which may offset the taxable income of the Company and its subsidiaries ("the IRC section 382 limitation"). A net unrealized built-in loss is an amount by which the tax basis of the corporation's assets at the time of the change in ownership exceeds the aggregate fair market value of those assets at that time. The IRC section 382 limitation is determined by multiplying the value of OAC's stock by the federal long-term tax-exempt rate and amounts to approximately $5,700. If a deduction is denied for any recognized built-in loss in any post-change year, the loss is carried forward to subsequent years under rules similar to the standard loss carryforward rules. As a result of these limitations, a corresponding deferred tax asset valuation allowance was established at acquisition date as part of purchase accounting in the amount of $38,873.</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26: EMPLOYEE BENEFIT AND COMPENSATION PLANS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maintains a defined contribution plan to provide postretirement benefits to eligible employees. The Company also adopted a number of compensation plans for certain employees. These plans were designed to facilitate a pay-for-performance policy, further align the interests of officers and key employees with the interests of the Company's shareholders and assist in the attraction and retention of employees vital to the Company's long-term success. These plans are summarized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PLAN</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Company maintains a defined contribution 401(k) plan. The Company matches 50% of each employee's contributions, limited to 2% of the employee's compensation. The Company's contributions to the 401(k) plan in the years ended December 31, 2000, 1999 and 1998, were $694, $702 and $611, respectively.</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connection with its acquisition of Berkeley Federal Savings Bank in June 1993, the Bank assumed the obligations under a noncontributory defined benefit pension plan (the "Plan") covering substantially all employees upon their eligibility under the terms of the Plan. The Plan was frozen after the plan year ended December 31, 1993 and has been fully funded.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INCENTIVE PLAN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May 1998, the Company's shareholders approved the Ocwen Financial Corporate 1998 Annual Incentive Plan (the "AIP") to replace the Company's former annual incentive plan (the "Former Plan"). Participation in the AIP is limited to officers and other key employees of the Company and designated subsidiaries that are selected by the AIP Committee. Performance targets are established based on the achievement of specified levels of increases in net earnings, return on equity, average net equity used or growth in assets, as well as individual participant performance targets. Awards under the AIP are based on achieving the performance targets and are paid in cash or a combination of cash and non-qualified stock options to purchase OCN's common stock. Such non-qualified stock options are granted pursuant to the Ocwen Financial Corporation 1991 Non-Qualified Stock Option Plan.</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107</w:t>
      </w:r>
    </w:p>
    <w:p>
      <w:pPr>
        <w:sectPr>
          <w:pgSz w:w="11900" w:h="16838" w:orient="portrait"/>
          <w:cols w:equalWidth="0" w:num="1">
            <w:col w:w="10239"/>
          </w:cols>
          <w:pgMar w:left="220" w:top="453" w:right="1440" w:bottom="1440" w:gutter="0" w:footer="0" w:header="0"/>
        </w:sectPr>
      </w:pPr>
    </w:p>
    <w:bookmarkStart w:id="135" w:name="page136"/>
    <w:bookmarkEnd w:id="135"/>
    <w:p>
      <w:pPr>
        <w:jc w:val="center"/>
        <w:ind w:right="382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820" w:firstLine="781"/>
        <w:spacing w:after="0" w:line="255" w:lineRule="auto"/>
        <w:rPr>
          <w:sz w:val="20"/>
          <w:szCs w:val="20"/>
          <w:color w:val="auto"/>
        </w:rPr>
      </w:pPr>
      <w:r>
        <w:rPr>
          <w:rFonts w:ascii="Courier New" w:cs="Courier New" w:eastAsia="Courier New" w:hAnsi="Courier New"/>
          <w:sz w:val="14"/>
          <w:szCs w:val="14"/>
          <w:color w:val="auto"/>
        </w:rPr>
        <w:t>The following table provides a summary of the Company's stock option activity for the years ended December 31, 2000, 1999 and 1998, respectively, and stock options exercisable at the end of each of those year:</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10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20" w:type="dxa"/>
            <w:vAlign w:val="bottom"/>
          </w:tcPr>
          <w:p>
            <w:pPr>
              <w:spacing w:after="0"/>
              <w:rPr>
                <w:sz w:val="14"/>
                <w:szCs w:val="14"/>
                <w:color w:val="auto"/>
              </w:rPr>
            </w:pPr>
          </w:p>
        </w:tc>
        <w:tc>
          <w:tcPr>
            <w:tcW w:w="2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Weighted</w:t>
            </w:r>
          </w:p>
        </w:tc>
        <w:tc>
          <w:tcPr>
            <w:tcW w:w="134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4"/>
                <w:szCs w:val="14"/>
                <w:color w:val="auto"/>
              </w:rPr>
              <w:t>Weighted</w:t>
            </w:r>
          </w:p>
        </w:tc>
        <w:tc>
          <w:tcPr>
            <w:tcW w:w="13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3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Average</w:t>
            </w:r>
          </w:p>
        </w:tc>
        <w:tc>
          <w:tcPr>
            <w:tcW w:w="134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4"/>
                <w:szCs w:val="14"/>
                <w:color w:val="auto"/>
              </w:rPr>
              <w:t>Average</w:t>
            </w:r>
          </w:p>
        </w:tc>
        <w:tc>
          <w:tcPr>
            <w:tcW w:w="13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36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Exercise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w:t>
            </w:r>
          </w:p>
        </w:tc>
        <w:tc>
          <w:tcPr>
            <w:tcW w:w="1100" w:type="dxa"/>
            <w:vAlign w:val="bottom"/>
          </w:tcPr>
          <w:p>
            <w:pPr>
              <w:ind w:left="100"/>
              <w:spacing w:after="0"/>
              <w:rPr>
                <w:sz w:val="20"/>
                <w:szCs w:val="20"/>
                <w:color w:val="auto"/>
              </w:rPr>
            </w:pPr>
            <w:r>
              <w:rPr>
                <w:rFonts w:ascii="Courier New" w:cs="Courier New" w:eastAsia="Courier New" w:hAnsi="Courier New"/>
                <w:sz w:val="14"/>
                <w:szCs w:val="14"/>
                <w:color w:val="auto"/>
              </w:rPr>
              <w:t>Exercise</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Number of</w:t>
            </w: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3620" w:type="dxa"/>
            <w:vAlign w:val="bottom"/>
          </w:tcPr>
          <w:p>
            <w:pPr>
              <w:spacing w:after="0"/>
              <w:rPr>
                <w:sz w:val="14"/>
                <w:szCs w:val="14"/>
                <w:color w:val="auto"/>
              </w:rPr>
            </w:pP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Options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Price</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Options</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Price</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Options</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Price</w:t>
            </w:r>
          </w:p>
        </w:tc>
      </w:tr>
      <w:tr>
        <w:trPr>
          <w:trHeight w:val="167"/>
        </w:trPr>
        <w:tc>
          <w:tcPr>
            <w:tcW w:w="36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2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2,013,201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$ 14.09</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1,918,181</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15.64</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2,351,606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14.67</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Granted (1)............................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1,617,461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4.09</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358,858</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6.25</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261,945</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16.15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(5,080)</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2.82</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(232,283)</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8.97</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(206,068)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14.74</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(258,758)</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14.92</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(463,087)</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14.37</w:t>
            </w:r>
          </w:p>
        </w:tc>
      </w:tr>
      <w:tr>
        <w:trPr>
          <w:trHeight w:val="167"/>
        </w:trPr>
        <w:tc>
          <w:tcPr>
            <w:tcW w:w="36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3,424,594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9.33</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2,013,201</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14.09</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1,918,181</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15.64</w:t>
            </w:r>
          </w:p>
        </w:tc>
      </w:tr>
      <w:tr>
        <w:trPr>
          <w:trHeight w:val="167"/>
        </w:trPr>
        <w:tc>
          <w:tcPr>
            <w:tcW w:w="36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1,885,048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13.11</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1,559,850</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15.77</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1,763,250</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15.66</w:t>
            </w:r>
          </w:p>
        </w:tc>
      </w:tr>
      <w:tr>
        <w:trPr>
          <w:trHeight w:val="167"/>
        </w:trPr>
        <w:tc>
          <w:tcPr>
            <w:tcW w:w="36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338" w:lineRule="exact"/>
        <w:rPr>
          <w:sz w:val="20"/>
          <w:szCs w:val="20"/>
          <w:color w:val="auto"/>
        </w:rPr>
      </w:pPr>
    </w:p>
    <w:p>
      <w:pPr>
        <w:ind w:left="800" w:right="3920" w:hanging="791"/>
        <w:spacing w:after="0" w:line="258" w:lineRule="auto"/>
        <w:tabs>
          <w:tab w:leader="none" w:pos="8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grant-date fair value was $5.84 in 2000, $6.25 in 1999 and $12.31 in 1998.</w:t>
      </w:r>
    </w:p>
    <w:p>
      <w:pPr>
        <w:spacing w:after="0" w:line="200" w:lineRule="exact"/>
        <w:rPr>
          <w:sz w:val="20"/>
          <w:szCs w:val="20"/>
          <w:color w:val="auto"/>
        </w:rPr>
      </w:pPr>
    </w:p>
    <w:p>
      <w:pPr>
        <w:spacing w:after="0" w:line="294" w:lineRule="exact"/>
        <w:rPr>
          <w:sz w:val="20"/>
          <w:szCs w:val="20"/>
          <w:color w:val="auto"/>
        </w:rPr>
      </w:pPr>
    </w:p>
    <w:p>
      <w:pPr>
        <w:ind w:right="4600" w:firstLine="781"/>
        <w:spacing w:after="0" w:line="258" w:lineRule="auto"/>
        <w:rPr>
          <w:sz w:val="20"/>
          <w:szCs w:val="20"/>
          <w:color w:val="auto"/>
        </w:rPr>
      </w:pPr>
      <w:r>
        <w:rPr>
          <w:rFonts w:ascii="Courier New" w:cs="Courier New" w:eastAsia="Courier New" w:hAnsi="Courier New"/>
          <w:sz w:val="14"/>
          <w:szCs w:val="14"/>
          <w:color w:val="auto"/>
        </w:rPr>
        <w:t>The following table summarizes information about stock options outstanding at December 31: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3800" w:type="dxa"/>
            <w:vAlign w:val="bottom"/>
            <w:gridSpan w:val="3"/>
          </w:tcPr>
          <w:p>
            <w:pPr>
              <w:jc w:val="right"/>
              <w:ind w:right="1088"/>
              <w:spacing w:after="0"/>
              <w:rPr>
                <w:sz w:val="20"/>
                <w:szCs w:val="20"/>
                <w:color w:val="auto"/>
              </w:rPr>
            </w:pPr>
            <w:r>
              <w:rPr>
                <w:rFonts w:ascii="Courier New" w:cs="Courier New" w:eastAsia="Courier New" w:hAnsi="Courier New"/>
                <w:sz w:val="14"/>
                <w:szCs w:val="14"/>
                <w:color w:val="auto"/>
              </w:rPr>
              <w:t>Options Outstanding</w:t>
            </w:r>
          </w:p>
        </w:tc>
        <w:tc>
          <w:tcPr>
            <w:tcW w:w="24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Options Exercisable</w:t>
            </w:r>
          </w:p>
        </w:tc>
      </w:tr>
      <w:tr>
        <w:trPr>
          <w:trHeight w:val="167"/>
        </w:trPr>
        <w:tc>
          <w:tcPr>
            <w:tcW w:w="362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1300" w:type="dxa"/>
            <w:vAlign w:val="bottom"/>
          </w:tcPr>
          <w:p>
            <w:pPr>
              <w:spacing w:after="0"/>
              <w:rPr>
                <w:sz w:val="14"/>
                <w:szCs w:val="14"/>
                <w:color w:val="auto"/>
              </w:rPr>
            </w:pPr>
          </w:p>
        </w:tc>
        <w:tc>
          <w:tcPr>
            <w:tcW w:w="24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Remaining</w:t>
            </w:r>
          </w:p>
        </w:tc>
        <w:tc>
          <w:tcPr>
            <w:tcW w:w="14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36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Number of</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Contractual</w:t>
            </w:r>
          </w:p>
        </w:tc>
        <w:tc>
          <w:tcPr>
            <w:tcW w:w="1400" w:type="dxa"/>
            <w:vAlign w:val="bottom"/>
          </w:tcPr>
          <w:p>
            <w:pPr>
              <w:ind w:left="220"/>
              <w:spacing w:after="0"/>
              <w:rPr>
                <w:sz w:val="20"/>
                <w:szCs w:val="20"/>
                <w:color w:val="auto"/>
              </w:rPr>
            </w:pPr>
            <w:r>
              <w:rPr>
                <w:rFonts w:ascii="Courier New" w:cs="Courier New" w:eastAsia="Courier New" w:hAnsi="Courier New"/>
                <w:sz w:val="14"/>
                <w:szCs w:val="14"/>
                <w:color w:val="auto"/>
              </w:rPr>
              <w:t>Number of</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Years Granted</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Options</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Price</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Life</w:t>
            </w:r>
          </w:p>
        </w:tc>
        <w:tc>
          <w:tcPr>
            <w:tcW w:w="1400" w:type="dxa"/>
            <w:vAlign w:val="bottom"/>
          </w:tcPr>
          <w:p>
            <w:pPr>
              <w:ind w:left="320"/>
              <w:spacing w:after="0"/>
              <w:rPr>
                <w:sz w:val="20"/>
                <w:szCs w:val="20"/>
                <w:color w:val="auto"/>
              </w:rPr>
            </w:pPr>
            <w:r>
              <w:rPr>
                <w:rFonts w:ascii="Courier New" w:cs="Courier New" w:eastAsia="Courier New" w:hAnsi="Courier New"/>
                <w:sz w:val="14"/>
                <w:szCs w:val="14"/>
                <w:color w:val="auto"/>
              </w:rPr>
              <w:t>Options</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Price</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334"/>
        </w:trPr>
        <w:tc>
          <w:tcPr>
            <w:tcW w:w="36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1,617,461</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4.09</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326,745</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4.09</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311,973</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6.25</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103,991</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122,545</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12.31</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81,697</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12.31</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750,983</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20.35</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750,983</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532,632</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11.00</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532,632</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11.00</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89,000</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2.88</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89,000</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w:t>
            </w:r>
          </w:p>
        </w:tc>
      </w:tr>
      <w:tr>
        <w:trPr>
          <w:trHeight w:val="167"/>
        </w:trPr>
        <w:tc>
          <w:tcPr>
            <w:tcW w:w="36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3,424,594</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9.33</w:t>
            </w:r>
          </w:p>
        </w:tc>
        <w:tc>
          <w:tcPr>
            <w:tcW w:w="1300" w:type="dxa"/>
            <w:vAlign w:val="bottom"/>
          </w:tcPr>
          <w:p>
            <w:pPr>
              <w:spacing w:after="0"/>
              <w:rPr>
                <w:sz w:val="14"/>
                <w:szCs w:val="14"/>
                <w:color w:val="auto"/>
              </w:rPr>
            </w:pP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1,885,048</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13.11</w:t>
            </w:r>
          </w:p>
        </w:tc>
      </w:tr>
      <w:tr>
        <w:trPr>
          <w:trHeight w:val="167"/>
        </w:trPr>
        <w:tc>
          <w:tcPr>
            <w:tcW w:w="36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338" w:lineRule="exact"/>
        <w:rPr>
          <w:sz w:val="20"/>
          <w:szCs w:val="20"/>
          <w:color w:val="auto"/>
        </w:rPr>
      </w:pPr>
    </w:p>
    <w:p>
      <w:pPr>
        <w:ind w:right="3920" w:firstLine="781"/>
        <w:spacing w:after="0" w:line="255" w:lineRule="auto"/>
        <w:rPr>
          <w:sz w:val="20"/>
          <w:szCs w:val="20"/>
          <w:color w:val="auto"/>
        </w:rPr>
      </w:pPr>
      <w:r>
        <w:rPr>
          <w:rFonts w:ascii="Courier New" w:cs="Courier New" w:eastAsia="Courier New" w:hAnsi="Courier New"/>
          <w:sz w:val="14"/>
          <w:szCs w:val="14"/>
          <w:color w:val="auto"/>
        </w:rPr>
        <w:t>After the award of 1,617,461 options in 2001 for service in 2000, 8,943,857 authorized shares remain and are available for future awards of stock options.</w:t>
      </w:r>
    </w:p>
    <w:p>
      <w:pPr>
        <w:spacing w:after="0" w:line="162" w:lineRule="exact"/>
        <w:rPr>
          <w:sz w:val="20"/>
          <w:szCs w:val="20"/>
          <w:color w:val="auto"/>
        </w:rPr>
      </w:pPr>
    </w:p>
    <w:p>
      <w:pPr>
        <w:ind w:right="3820" w:firstLine="781"/>
        <w:spacing w:after="0" w:line="253" w:lineRule="auto"/>
        <w:rPr>
          <w:sz w:val="20"/>
          <w:szCs w:val="20"/>
          <w:color w:val="auto"/>
        </w:rPr>
      </w:pPr>
      <w:r>
        <w:rPr>
          <w:rFonts w:ascii="Courier New" w:cs="Courier New" w:eastAsia="Courier New" w:hAnsi="Courier New"/>
          <w:sz w:val="14"/>
          <w:szCs w:val="14"/>
          <w:color w:val="auto"/>
        </w:rPr>
        <w:t>Stock options awarded under the Former Plan have a one-year vesting period. Stock options awarded under the AIP in 1998 and 1999 vest ratably over a three-year period. Stock options awarded under the AIP in 2000 vest ratably over a five-year period including year 2000. The term of all options granted is ten years from the grant date. The difference, if any, between the fair market value of the stock at the date of grant and the exercise price is treated as compensation expense. Compensation expense is recorded ratably over the vesting period of the grant. Included in compensation expense for the year ended December 31, 2000 is $572 related to options granted. There was no compensation expense for the years ended December 31, 1999 and 1998 related to options granted.</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INCENTIVE PLAN</w:t>
      </w:r>
    </w:p>
    <w:p>
      <w:pPr>
        <w:spacing w:after="0" w:line="175" w:lineRule="exact"/>
        <w:rPr>
          <w:sz w:val="20"/>
          <w:szCs w:val="20"/>
          <w:color w:val="auto"/>
        </w:rPr>
      </w:pPr>
    </w:p>
    <w:p>
      <w:pPr>
        <w:ind w:right="3920" w:firstLine="781"/>
        <w:spacing w:after="0" w:line="253" w:lineRule="auto"/>
        <w:rPr>
          <w:sz w:val="20"/>
          <w:szCs w:val="20"/>
          <w:color w:val="auto"/>
        </w:rPr>
      </w:pPr>
      <w:r>
        <w:rPr>
          <w:rFonts w:ascii="Courier New" w:cs="Courier New" w:eastAsia="Courier New" w:hAnsi="Courier New"/>
          <w:sz w:val="14"/>
          <w:szCs w:val="14"/>
          <w:color w:val="auto"/>
        </w:rPr>
        <w:t>In May 1998, the Company's shareholders approved the Ocwen Financial Corporation Long-Term Incentive Plan (the "LIP"). Participation in the LIP was limited to officers and other key employees of the Company and designated subsidiaries that were selected by the LIP Administrator. The LIP was suspended in 2000, and the related accrual of $6,012 for 1999 and 1998 was reversed. Compensation expense of $3,645 and $2,369 was recorded in 1999 and 1998, respectively.</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108</w:t>
      </w:r>
    </w:p>
    <w:p>
      <w:pPr>
        <w:sectPr>
          <w:pgSz w:w="11900" w:h="16838" w:orient="portrait"/>
          <w:cols w:equalWidth="0" w:num="1">
            <w:col w:w="10780"/>
          </w:cols>
          <w:pgMar w:left="220" w:top="453" w:right="899" w:bottom="1440" w:gutter="0" w:footer="0" w:header="0"/>
        </w:sectPr>
      </w:pPr>
    </w:p>
    <w:bookmarkStart w:id="136" w:name="page137"/>
    <w:bookmarkEnd w:id="136"/>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EFFECT OF SFAS NO. 123</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has retained its current accounting method for its stock-based employee compensation plans under the provisions of APB 25. However, entities continuing to apply APB 25 are required to disclose pro forma net income and earnings per share as if the fair value method of accounting for stock-based employee compensation plans as prescribed by SFAS No. 123, Accounting for Stock-Based Compensation, had been utilized. The following is a summary of the Company's pro forma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3220" w:type="dxa"/>
            <w:vAlign w:val="bottom"/>
            <w:gridSpan w:val="3"/>
          </w:tcPr>
          <w:p>
            <w:pPr>
              <w:jc w:val="center"/>
              <w:ind w:left="188"/>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3560" w:type="dxa"/>
            <w:vAlign w:val="bottom"/>
          </w:tcPr>
          <w:p>
            <w:pPr>
              <w:spacing w:after="0"/>
              <w:rPr>
                <w:sz w:val="14"/>
                <w:szCs w:val="14"/>
                <w:color w:val="auto"/>
              </w:rPr>
            </w:pPr>
          </w:p>
        </w:tc>
        <w:tc>
          <w:tcPr>
            <w:tcW w:w="3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5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Net income (loss), as reported..........</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  2,192</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$ 19,832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(1,200)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Pro forma net (loss) income.............</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18,917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(2,638)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Earnings per share, as reported:</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0.032</w:t>
            </w: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0.314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(0.020)</w:t>
            </w:r>
          </w:p>
        </w:tc>
      </w:tr>
      <w:tr>
        <w:trPr>
          <w:trHeight w:val="167"/>
        </w:trPr>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0.032</w:t>
            </w: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0.314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(0.020)</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Pro forma earnings per share:</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0.003</w:t>
            </w: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(0.043)</w:t>
            </w:r>
          </w:p>
        </w:tc>
      </w:tr>
      <w:tr>
        <w:trPr>
          <w:trHeight w:val="167"/>
        </w:trPr>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0.003</w:t>
            </w: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(0.043)</w:t>
            </w:r>
          </w:p>
        </w:tc>
      </w:tr>
    </w:tbl>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fair value of the option grants were estimated using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Black-Scholes option-pricing model with the following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340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3560" w:type="dxa"/>
            <w:vAlign w:val="bottom"/>
          </w:tcPr>
          <w:p>
            <w:pPr>
              <w:spacing w:after="0"/>
              <w:rPr>
                <w:sz w:val="14"/>
                <w:szCs w:val="14"/>
                <w:color w:val="auto"/>
              </w:rPr>
            </w:pPr>
          </w:p>
        </w:tc>
        <w:tc>
          <w:tcPr>
            <w:tcW w:w="34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1999</w:t>
            </w:r>
          </w:p>
        </w:tc>
        <w:tc>
          <w:tcPr>
            <w:tcW w:w="11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5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0.00%</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Expected stock price volatility.........</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54.00%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47.00%</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6.34%</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Expected life of options................</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 years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 years</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 years</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27: STOCKHOLDERS' EQUITY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April 16, 1999, the Company announced that its Board of Directors authorized the repurchase of up to six million of its issued and outstanding shares of common stock. As of December 31, 1999, the Company had repurchased 4,611,700 shares at an average price of $6.66 per share. During the first quarter of 2000, the Company repurchased the remaining 1,388,300 authorized shares at an average price of $6.48 per share. On May 9, 2000, the Company announced that its Board of Directors approved an additional stock repurchase program to repurchase up to an additional six million of its issued and outstanding shares of common stock. As of December 31, 2000, the Company had not repurchased any additional shares.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On October 7, 1999, as a result of the Company's acquisition of OAC, the Company issued to OAC shareholders (except for OCN or its subsidiaries) 0.71 shares of OCN stock for each outstanding share of OAC common stock, or a total of 12,371,750 shares. See Note 2.</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10239"/>
          </w:cols>
          <w:pgMar w:left="220" w:top="453" w:right="1440" w:bottom="1440" w:gutter="0" w:footer="0" w:header="0"/>
        </w:sectPr>
      </w:pPr>
    </w:p>
    <w:bookmarkStart w:id="137" w:name="page138"/>
    <w:bookmarkEnd w:id="137"/>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28: REGULATORY REQUIREMENTS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Financial Institutions Reform, Recovery and Enforcement Act of 1989 and the regulations promulgated thereunder established certain minimum levels of regulatory capital for savings institutions subject to OTS supervision. The Bank must follow specific capital guidelines stipulated by the OTS which involve quantitative measures of the Bank's assets, liabilities and certain off-balance sheet items. An institution that fails to comply with its regulatory capital requirements must obtain OTS approval of a capital plan and can be subject to a capital directive and certain restrictions on its operations. At December 31, 2000, the minimum regulatory capital requirements were:</w:t>
      </w:r>
    </w:p>
    <w:p>
      <w:pPr>
        <w:spacing w:after="0" w:line="164" w:lineRule="exact"/>
        <w:rPr>
          <w:sz w:val="20"/>
          <w:szCs w:val="20"/>
          <w:color w:val="auto"/>
        </w:rPr>
      </w:pPr>
    </w:p>
    <w:p>
      <w:pPr>
        <w:ind w:left="440" w:right="3279" w:hanging="431"/>
        <w:spacing w:after="0" w:line="252" w:lineRule="auto"/>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Tangible and core capital of 1.50% and 3.00% of total adjusted assets, respectively, consisting principally of stockholders' equity, but excluding most intangible assets, such as goodwill and any net unrealized gains or losses on debt securities available for sale. Effective April 1, 1999, the OTS minimum core capital ratio provides that only those institutions with a Uniform Financial Institution Rating System rating of "1" are subject to a 3.00% minimum core capital ratio. All other institutions are subject to a</w:t>
      </w:r>
    </w:p>
    <w:p>
      <w:pPr>
        <w:spacing w:after="0" w:line="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4.00% minimum core capital ratio.</w:t>
      </w:r>
    </w:p>
    <w:p>
      <w:pPr>
        <w:spacing w:after="0" w:line="175" w:lineRule="exact"/>
        <w:rPr>
          <w:rFonts w:ascii="Courier New" w:cs="Courier New" w:eastAsia="Courier New" w:hAnsi="Courier New"/>
          <w:sz w:val="14"/>
          <w:szCs w:val="14"/>
          <w:color w:val="auto"/>
        </w:rPr>
      </w:pPr>
    </w:p>
    <w:p>
      <w:pPr>
        <w:jc w:val="both"/>
        <w:ind w:left="440" w:right="3639" w:hanging="431"/>
        <w:spacing w:after="0" w:line="254" w:lineRule="auto"/>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Risk-based capital consisting of core capital plus certain subordinated debt and other capital instruments and, subject to certain limitations, general valuation allowances on loans receivable, equal to 8.00% of the value of risk-weighted assets.</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December 31, 2000 and 1999, the Bank was "well capitalized" under the prompt corrective action regulations adopted by the OTS pursuant to the Federal Deposit Insurance Corporation Improvement Act of 1991. To be categorized as "well capitalized," the Bank must maintain minimum core capital, Tier 1 risk-based capital and risk-based capital ratios as set forth in the following table. The Bank's capital amounts and classification are subject to review by federal regulators about components, risk-weightings and other factors. There are no conditions or events since December 31, 2000 that management believes have changed the institution's category.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Following an examination by the OTS in late 1996 and early 1997, the Bank committed to the OTS to maintain a core capital (leverage) ratio and a total risk-based capital ratio of at least 9.00% and 13.00%, respectively. The Bank continues to be in compliance with this commitment and with the regulatory capital requirements of general applicability (as indicated below). Based on discussions with the OTS, the Bank believes that this commitment does not affect its status as a "well-capitalized" institution, assuming the Bank's continued compliance with the regulatory capital requirements required to be maintained by it pursuant to such commitment.</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a result of its most recent examination, the Bank was required to submit a written plan to the OTS by October 16, 2000 to address issues raised by the agency under Part 570 of the rules and regulations. Under the plan, the Bank will take certain actions regarding its operations with respect to asset reviews and the management of interest rate risk exposure and will have periodic reporting obligations to the OTS. In addition, as part of the plan, the Bank submitted a business plan and budget outlining the Bank's operations through 2003. The business plan submitted reflects proposed changes in the Bank's deposit gathering strategies and potential future sources of revenue as the Bank continues its shift away from capital-intensive businesses into fee-based sources of income. On November 9, 2000 the OTS requested the Bank to supply additional information regarding the plan. The Bank responded to this request on November 29, 2000, December 28, 2000 and January 10, 2001, and the OTS approved the plan on February 2, 2001.</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110</w:t>
      </w:r>
    </w:p>
    <w:p>
      <w:pPr>
        <w:sectPr>
          <w:pgSz w:w="11900" w:h="16838" w:orient="portrait"/>
          <w:cols w:equalWidth="0" w:num="1">
            <w:col w:w="10239"/>
          </w:cols>
          <w:pgMar w:left="220" w:top="453" w:right="1440" w:bottom="1440" w:gutter="0" w:footer="0" w:header="0"/>
        </w:sectPr>
      </w:pPr>
    </w:p>
    <w:bookmarkStart w:id="138" w:name="page139"/>
    <w:bookmarkEnd w:id="138"/>
    <w:p>
      <w:pPr>
        <w:spacing w:after="0" w:line="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5040" w:firstLine="781"/>
        <w:spacing w:after="0" w:line="258" w:lineRule="auto"/>
        <w:rPr>
          <w:sz w:val="20"/>
          <w:szCs w:val="20"/>
          <w:color w:val="auto"/>
        </w:rPr>
      </w:pPr>
      <w:r>
        <w:rPr>
          <w:rFonts w:ascii="Courier New" w:cs="Courier New" w:eastAsia="Courier New" w:hAnsi="Courier New"/>
          <w:sz w:val="14"/>
          <w:szCs w:val="14"/>
          <w:color w:val="auto"/>
        </w:rPr>
        <w:t>The following table summarizes the Bank's actual and required regulatory capital at December 31, 2000 and 1999:</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3"/>
          </w:tcPr>
          <w:p>
            <w:pPr>
              <w:jc w:val="right"/>
              <w:ind w:right="508"/>
              <w:spacing w:after="0"/>
              <w:rPr>
                <w:sz w:val="20"/>
                <w:szCs w:val="20"/>
                <w:color w:val="auto"/>
              </w:rPr>
            </w:pPr>
            <w:r>
              <w:rPr>
                <w:rFonts w:ascii="Courier New" w:cs="Courier New" w:eastAsia="Courier New" w:hAnsi="Courier New"/>
                <w:sz w:val="14"/>
                <w:szCs w:val="14"/>
                <w:color w:val="auto"/>
              </w:rPr>
              <w:t>To Be Well</w:t>
            </w: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3"/>
          </w:tcPr>
          <w:p>
            <w:pPr>
              <w:jc w:val="center"/>
              <w:ind w:left="8"/>
              <w:spacing w:after="0"/>
              <w:rPr>
                <w:sz w:val="20"/>
                <w:szCs w:val="20"/>
                <w:color w:val="auto"/>
              </w:rPr>
            </w:pPr>
            <w:r>
              <w:rPr>
                <w:rFonts w:ascii="Courier New" w:cs="Courier New" w:eastAsia="Courier New" w:hAnsi="Courier New"/>
                <w:sz w:val="14"/>
                <w:szCs w:val="14"/>
                <w:color w:val="auto"/>
              </w:rPr>
              <w:t>Capitalized</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Committed</w:t>
            </w: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Minimum For Capital</w:t>
            </w:r>
          </w:p>
        </w:tc>
        <w:tc>
          <w:tcPr>
            <w:tcW w:w="2000" w:type="dxa"/>
            <w:vAlign w:val="bottom"/>
            <w:gridSpan w:val="3"/>
          </w:tcPr>
          <w:p>
            <w:pPr>
              <w:jc w:val="center"/>
              <w:ind w:left="8"/>
              <w:spacing w:after="0"/>
              <w:rPr>
                <w:sz w:val="20"/>
                <w:szCs w:val="20"/>
                <w:color w:val="auto"/>
              </w:rPr>
            </w:pPr>
            <w:r>
              <w:rPr>
                <w:rFonts w:ascii="Courier New" w:cs="Courier New" w:eastAsia="Courier New" w:hAnsi="Courier New"/>
                <w:sz w:val="14"/>
                <w:szCs w:val="14"/>
                <w:color w:val="auto"/>
              </w:rPr>
              <w:t>For Prompt Corrective</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Capital</w:t>
            </w:r>
          </w:p>
        </w:tc>
      </w:tr>
      <w:tr>
        <w:trPr>
          <w:trHeight w:val="167"/>
        </w:trPr>
        <w:tc>
          <w:tcPr>
            <w:tcW w:w="4220" w:type="dxa"/>
            <w:vAlign w:val="bottom"/>
          </w:tcPr>
          <w:p>
            <w:pPr>
              <w:spacing w:after="0"/>
              <w:rPr>
                <w:sz w:val="14"/>
                <w:szCs w:val="14"/>
                <w:color w:val="auto"/>
              </w:rPr>
            </w:pPr>
          </w:p>
        </w:tc>
        <w:tc>
          <w:tcPr>
            <w:tcW w:w="200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Actual</w:t>
            </w:r>
          </w:p>
        </w:tc>
        <w:tc>
          <w:tcPr>
            <w:tcW w:w="18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Adequacy Purposes</w:t>
            </w:r>
          </w:p>
        </w:tc>
        <w:tc>
          <w:tcPr>
            <w:tcW w:w="2000" w:type="dxa"/>
            <w:vAlign w:val="bottom"/>
            <w:gridSpan w:val="3"/>
          </w:tcPr>
          <w:p>
            <w:pPr>
              <w:jc w:val="center"/>
              <w:ind w:left="8"/>
              <w:spacing w:after="0"/>
              <w:rPr>
                <w:sz w:val="20"/>
                <w:szCs w:val="20"/>
                <w:color w:val="auto"/>
              </w:rPr>
            </w:pPr>
            <w:r>
              <w:rPr>
                <w:rFonts w:ascii="Courier New" w:cs="Courier New" w:eastAsia="Courier New" w:hAnsi="Courier New"/>
                <w:sz w:val="14"/>
                <w:szCs w:val="14"/>
                <w:color w:val="auto"/>
              </w:rPr>
              <w:t>Action Provisions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Requirements</w:t>
            </w:r>
          </w:p>
        </w:tc>
      </w:tr>
      <w:tr>
        <w:trPr>
          <w:trHeight w:val="167"/>
        </w:trPr>
        <w:tc>
          <w:tcPr>
            <w:tcW w:w="4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920" w:type="dxa"/>
            <w:vAlign w:val="bottom"/>
          </w:tcPr>
          <w:p>
            <w:pPr>
              <w:spacing w:after="0"/>
              <w:rPr>
                <w:sz w:val="14"/>
                <w:szCs w:val="14"/>
                <w:color w:val="auto"/>
              </w:rPr>
            </w:pPr>
          </w:p>
        </w:tc>
        <w:tc>
          <w:tcPr>
            <w:tcW w:w="18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422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Ratio</w:t>
            </w:r>
          </w:p>
        </w:tc>
        <w:tc>
          <w:tcPr>
            <w:tcW w:w="8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Amount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Ratio</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Ratio</w:t>
            </w:r>
          </w:p>
        </w:tc>
        <w:tc>
          <w:tcPr>
            <w:tcW w:w="22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Amount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Ratio</w:t>
            </w:r>
          </w:p>
        </w:tc>
      </w:tr>
      <w:tr>
        <w:trPr>
          <w:trHeight w:val="167"/>
        </w:trPr>
        <w:tc>
          <w:tcPr>
            <w:tcW w:w="422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DECEMBER 31, 2000:</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Stockholders' equity, and ratio to total assets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267,295</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Non-includable subsidiary......................</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(7,801)</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Acquired real estate...........................</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(850)</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Disallowed deferred tax assets.................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(29,397)</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Disallowed servicing assets....................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(5,027)</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Tangible capital, and ratio to adjusted total</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assets......................................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224,220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24,313</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Tier 1 (core) capital, and ratio to adjusted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224,220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64,834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81,042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w:t>
            </w: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Tier 1 capital, and ratio to risk-weighted</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assets......................................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224,220</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w:t>
            </w:r>
          </w:p>
        </w:tc>
        <w:tc>
          <w:tcPr>
            <w:tcW w:w="2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80,571</w:t>
            </w: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15,273</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Qualifying subordinated debentures.............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53,600</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Tier 2 capital.................................</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68,873</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risk-based capital, and ratio to</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risk-weighted assets........................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293,093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8.00%</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$ 107,429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$ 134,286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w:t>
            </w: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regulatory assets........................</w:t>
            </w:r>
          </w:p>
        </w:tc>
        <w:tc>
          <w:tcPr>
            <w:tcW w:w="1000" w:type="dxa"/>
            <w:vAlign w:val="bottom"/>
          </w:tcPr>
          <w:p>
            <w:pPr>
              <w:spacing w:after="0"/>
              <w:rPr>
                <w:sz w:val="24"/>
                <w:szCs w:val="2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$1,660,767</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Adjusted total assets..........................</w:t>
            </w: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$1,620,846</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Risk-weighted assets...........................</w:t>
            </w: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$1,342,858</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Stockholders' equity, and ratio to total</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assets......................................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261,014</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unrealized loss on available for sale</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601</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Non-includable subsidiary......................</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(12,013)</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Acquired real estate...........................</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(4,631)</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Disallowed servicing assets....................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(969)</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Tangible capital, and ratio to adjusted total</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assets......................................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244,002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34,287</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Tier 1 (core) capital, and ratio to adjusted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244,002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68,573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$ 114,289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9.00%</w:t>
            </w: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Tier 1 capital, and ratio to risk-weighted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assets......................................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244,002</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$ 104,426</w:t>
            </w: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21,783</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Qualifying subordinated debentures.............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67,000</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Tier 2 Capital.................................</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88,783</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risk-based capital, and ratio to risk</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weighted assets.............................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332,785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8.00%</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$ 139,235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$ 174,043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w:t>
            </w: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regulatory assets........................</w:t>
            </w:r>
          </w:p>
        </w:tc>
        <w:tc>
          <w:tcPr>
            <w:tcW w:w="1000" w:type="dxa"/>
            <w:vAlign w:val="bottom"/>
          </w:tcPr>
          <w:p>
            <w:pPr>
              <w:spacing w:after="0"/>
              <w:rPr>
                <w:sz w:val="24"/>
                <w:szCs w:val="2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$2,302,793</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Adjusted total assets..........................</w:t>
            </w: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$2,285,781</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Risk-weighted assets...........................</w:t>
            </w: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$1,740,436</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338" w:lineRule="exact"/>
        <w:rPr>
          <w:sz w:val="20"/>
          <w:szCs w:val="20"/>
          <w:color w:val="auto"/>
        </w:rPr>
      </w:pPr>
    </w:p>
    <w:p>
      <w:pPr>
        <w:ind w:right="4160" w:firstLine="781"/>
        <w:spacing w:after="0" w:line="253" w:lineRule="auto"/>
        <w:rPr>
          <w:sz w:val="20"/>
          <w:szCs w:val="20"/>
          <w:color w:val="auto"/>
        </w:rPr>
      </w:pPr>
      <w:r>
        <w:rPr>
          <w:rFonts w:ascii="Courier New" w:cs="Courier New" w:eastAsia="Courier New" w:hAnsi="Courier New"/>
          <w:sz w:val="14"/>
          <w:szCs w:val="14"/>
          <w:color w:val="auto"/>
        </w:rPr>
        <w:t>The OTS amended its capital distribution regulation effective April 1, 1999. Under the revised regulation, the Bank is required to file a notice with the OTS at least 30 days prior to making a capital distribution unless (a) it is not eligible for expedited treatment under the OTS application processing regulations, (b) the total amount of the Bank's capital distributions (including the proposed distribution) for the calendar year exceeds the Bank's net income for the year to date plus retained net income for the previous two years, (c) the Bank would not be "adequately capitalized" following the proposed distribution or (d) the proposed distribution would violate any applicable statute, regulation or agreement between the Bank and the OTS, or a condition</w:t>
      </w:r>
    </w:p>
    <w:p>
      <w:pPr>
        <w:sectPr>
          <w:pgSz w:w="11900" w:h="16847" w:orient="portrait"/>
          <w:cols w:equalWidth="0" w:num="1">
            <w:col w:w="11120"/>
          </w:cols>
          <w:pgMar w:left="220" w:top="453" w:right="559" w:bottom="0" w:gutter="0" w:footer="0" w:header="0"/>
        </w:sectPr>
      </w:pPr>
    </w:p>
    <w:bookmarkStart w:id="139" w:name="page140"/>
    <w:bookmarkEnd w:id="139"/>
    <w:p>
      <w:pPr>
        <w:ind w:right="3279"/>
        <w:spacing w:after="0" w:line="253" w:lineRule="auto"/>
        <w:rPr>
          <w:sz w:val="20"/>
          <w:szCs w:val="20"/>
          <w:color w:val="auto"/>
        </w:rPr>
      </w:pPr>
      <w:r>
        <w:rPr>
          <w:rFonts w:ascii="Courier New" w:cs="Courier New" w:eastAsia="Courier New" w:hAnsi="Courier New"/>
          <w:sz w:val="14"/>
          <w:szCs w:val="14"/>
          <w:color w:val="auto"/>
        </w:rPr>
        <w:t>imposed upon the Bank by an OTS-approved application or notice. If one of these four criteria is present, the Bank is required to file an application with the OTS at least 30 days prior to making the proposed capital distribution. The OTS may deny the Bank's application or disapprove its notice if the OTS determines that (a) the Bank will be "under capitalized," "significantly under capitalized" or "critically under capitalized," as defined in the OTS capital regulations, following the capital distribution, (b) the proposed capital distribution raises safety and soundness concerns or (c) the proposed capital distribution violates a prohibition contained in any statute, regulation or agreement between the Bank and the OTS or a condition imposed on the Bank</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111</w:t>
      </w:r>
    </w:p>
    <w:p>
      <w:pPr>
        <w:sectPr>
          <w:pgSz w:w="11900" w:h="16838" w:orient="portrait"/>
          <w:cols w:equalWidth="0" w:num="1">
            <w:col w:w="10239"/>
          </w:cols>
          <w:pgMar w:left="220" w:top="141" w:right="1440" w:bottom="1440" w:gutter="0" w:footer="0" w:header="0"/>
        </w:sectPr>
      </w:pPr>
    </w:p>
    <w:bookmarkStart w:id="140" w:name="page141"/>
    <w:bookmarkEnd w:id="140"/>
    <w:p>
      <w:pPr>
        <w:jc w:val="center"/>
        <w:ind w:right="382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4000"/>
        <w:spacing w:after="0" w:line="254" w:lineRule="auto"/>
        <w:rPr>
          <w:sz w:val="20"/>
          <w:szCs w:val="20"/>
          <w:color w:val="auto"/>
        </w:rPr>
      </w:pPr>
      <w:r>
        <w:rPr>
          <w:rFonts w:ascii="Courier New" w:cs="Courier New" w:eastAsia="Courier New" w:hAnsi="Courier New"/>
          <w:sz w:val="14"/>
          <w:szCs w:val="14"/>
          <w:color w:val="auto"/>
        </w:rPr>
        <w:t>in an application or notice approved by the OTS. The revised rule also amended the definition of "capital distribution" to include any payment to repurchase, redeem, retire or otherwise acquire debt instruments included in total risk-based capital.</w:t>
      </w:r>
    </w:p>
    <w:p>
      <w:pPr>
        <w:spacing w:after="0" w:line="163" w:lineRule="exact"/>
        <w:rPr>
          <w:sz w:val="20"/>
          <w:szCs w:val="20"/>
          <w:color w:val="auto"/>
        </w:rPr>
      </w:pPr>
    </w:p>
    <w:p>
      <w:pPr>
        <w:ind w:right="4000" w:firstLine="781"/>
        <w:spacing w:after="0" w:line="253" w:lineRule="auto"/>
        <w:rPr>
          <w:sz w:val="20"/>
          <w:szCs w:val="20"/>
          <w:color w:val="auto"/>
        </w:rPr>
      </w:pPr>
      <w:r>
        <w:rPr>
          <w:rFonts w:ascii="Courier New" w:cs="Courier New" w:eastAsia="Courier New" w:hAnsi="Courier New"/>
          <w:sz w:val="14"/>
          <w:szCs w:val="14"/>
          <w:color w:val="auto"/>
        </w:rPr>
        <w:t>In addition to these OTS regulations governing capital distributions, the indenture governing the Debentures limits the declaration or payment of dividends and the purchase or redemption of common or preferred stock in the aggregate to the sum of 50% of consolidated net income and 100% of all capital contributions and proceeds from the issuance or sale (other than to a subsidiary) of common stock, since the date the Debentures were issued.</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29: NET INTEREST INCOME BEFORE PROVISION FOR LOAN LOSSES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For the Years Ended December 31,</w:t>
            </w:r>
          </w:p>
        </w:tc>
        <w:tc>
          <w:tcPr>
            <w:tcW w:w="700" w:type="dxa"/>
            <w:vAlign w:val="bottom"/>
          </w:tcPr>
          <w:p>
            <w:pPr>
              <w:spacing w:after="0"/>
              <w:rPr>
                <w:sz w:val="14"/>
                <w:szCs w:val="14"/>
                <w:color w:val="auto"/>
              </w:rPr>
            </w:pPr>
          </w:p>
        </w:tc>
      </w:tr>
      <w:tr>
        <w:trPr>
          <w:trHeight w:val="167"/>
        </w:trPr>
        <w:tc>
          <w:tcPr>
            <w:tcW w:w="6380" w:type="dxa"/>
            <w:vAlign w:val="bottom"/>
          </w:tcPr>
          <w:p>
            <w:pPr>
              <w:spacing w:after="0"/>
              <w:rPr>
                <w:sz w:val="14"/>
                <w:szCs w:val="14"/>
                <w:color w:val="auto"/>
              </w:rPr>
            </w:pPr>
          </w:p>
        </w:tc>
        <w:tc>
          <w:tcPr>
            <w:tcW w:w="44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2000</w:t>
            </w:r>
          </w:p>
        </w:tc>
        <w:tc>
          <w:tcPr>
            <w:tcW w:w="460" w:type="dxa"/>
            <w:vAlign w:val="bottom"/>
          </w:tcPr>
          <w:p>
            <w:pPr>
              <w:spacing w:after="0"/>
              <w:rPr>
                <w:sz w:val="14"/>
                <w:szCs w:val="14"/>
                <w:color w:val="auto"/>
              </w:rPr>
            </w:pPr>
          </w:p>
        </w:tc>
        <w:tc>
          <w:tcPr>
            <w:tcW w:w="1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1999</w:t>
            </w:r>
          </w:p>
        </w:tc>
        <w:tc>
          <w:tcPr>
            <w:tcW w:w="40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1998</w:t>
            </w:r>
          </w:p>
        </w:tc>
      </w:tr>
      <w:tr>
        <w:trPr>
          <w:trHeight w:val="167"/>
        </w:trPr>
        <w:tc>
          <w:tcPr>
            <w:tcW w:w="6380" w:type="dxa"/>
            <w:vAlign w:val="bottom"/>
          </w:tcPr>
          <w:p>
            <w:pPr>
              <w:spacing w:after="0"/>
              <w:rPr>
                <w:sz w:val="14"/>
                <w:szCs w:val="14"/>
                <w:color w:val="auto"/>
              </w:rPr>
            </w:pPr>
          </w:p>
        </w:tc>
        <w:tc>
          <w:tcPr>
            <w:tcW w:w="15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 and repurchase agreements.......................</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8,700</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8,847</w:t>
            </w:r>
          </w:p>
        </w:tc>
        <w:tc>
          <w:tcPr>
            <w:tcW w:w="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7,930</w:t>
            </w: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w:t>
            </w: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42,507</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62,698</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40,320</w:t>
            </w: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Trading securities.................................................</w:t>
            </w: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8,200</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Loans available for sale...........................................</w:t>
            </w: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2,474</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25,724</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56,791</w:t>
            </w: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Investment securities and other....................................</w:t>
            </w: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1,501</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2,181</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3,197</w:t>
            </w: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Loan portfolio.....................................................</w:t>
            </w: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20,586</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28,683</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38,609</w:t>
            </w: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Discount loan portfolio............................................</w:t>
            </w: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89,826</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121,854</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160,847</w:t>
            </w: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Match funded loans and securities..................................</w:t>
            </w: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11,022</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3,237</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15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184,816</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253,224</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307,694</w:t>
            </w:r>
          </w:p>
        </w:tc>
      </w:tr>
      <w:tr>
        <w:trPr>
          <w:trHeight w:val="167"/>
        </w:trPr>
        <w:tc>
          <w:tcPr>
            <w:tcW w:w="6380" w:type="dxa"/>
            <w:vAlign w:val="bottom"/>
          </w:tcPr>
          <w:p>
            <w:pPr>
              <w:spacing w:after="0"/>
              <w:rPr>
                <w:sz w:val="14"/>
                <w:szCs w:val="14"/>
                <w:color w:val="auto"/>
              </w:rPr>
            </w:pPr>
          </w:p>
        </w:tc>
        <w:tc>
          <w:tcPr>
            <w:tcW w:w="15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Deposits...........................................................</w:t>
            </w: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98,224</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98,370</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116,584</w:t>
            </w: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Securities sold under agreements to repurchase.....................</w:t>
            </w: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10,729</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7,456</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6,514</w:t>
            </w: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Bonds - match funded agreements....................................</w:t>
            </w: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11,484</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2,101</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Obligations outstanding under lines of credit......................</w:t>
            </w: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13,881</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16,318</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34,587</w:t>
            </w: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Notes, debentures and other interest bearing obligations...........</w:t>
            </w: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34,772</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31,297</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27,208</w:t>
            </w:r>
          </w:p>
        </w:tc>
      </w:tr>
      <w:tr>
        <w:trPr>
          <w:trHeight w:val="167"/>
        </w:trPr>
        <w:tc>
          <w:tcPr>
            <w:tcW w:w="6380" w:type="dxa"/>
            <w:vAlign w:val="bottom"/>
          </w:tcPr>
          <w:p>
            <w:pPr>
              <w:spacing w:after="0"/>
              <w:rPr>
                <w:sz w:val="14"/>
                <w:szCs w:val="14"/>
                <w:color w:val="auto"/>
              </w:rPr>
            </w:pPr>
          </w:p>
        </w:tc>
        <w:tc>
          <w:tcPr>
            <w:tcW w:w="15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169,090</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155,542</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184,893</w:t>
            </w:r>
          </w:p>
        </w:tc>
      </w:tr>
      <w:tr>
        <w:trPr>
          <w:trHeight w:val="167"/>
        </w:trPr>
        <w:tc>
          <w:tcPr>
            <w:tcW w:w="6380" w:type="dxa"/>
            <w:vAlign w:val="bottom"/>
          </w:tcPr>
          <w:p>
            <w:pPr>
              <w:spacing w:after="0"/>
              <w:rPr>
                <w:sz w:val="14"/>
                <w:szCs w:val="14"/>
                <w:color w:val="auto"/>
              </w:rPr>
            </w:pPr>
          </w:p>
        </w:tc>
        <w:tc>
          <w:tcPr>
            <w:tcW w:w="15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Net interest income before provision for loan losses...............</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15,726</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97,682</w:t>
            </w:r>
          </w:p>
        </w:tc>
        <w:tc>
          <w:tcPr>
            <w:tcW w:w="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122,801</w:t>
            </w:r>
          </w:p>
        </w:tc>
      </w:tr>
      <w:tr>
        <w:trPr>
          <w:trHeight w:val="167"/>
        </w:trPr>
        <w:tc>
          <w:tcPr>
            <w:tcW w:w="6380" w:type="dxa"/>
            <w:vAlign w:val="bottom"/>
          </w:tcPr>
          <w:p>
            <w:pPr>
              <w:spacing w:after="0"/>
              <w:rPr>
                <w:sz w:val="14"/>
                <w:szCs w:val="14"/>
                <w:color w:val="auto"/>
              </w:rPr>
            </w:pPr>
          </w:p>
        </w:tc>
        <w:tc>
          <w:tcPr>
            <w:tcW w:w="15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6380" w:type="dxa"/>
            <w:vAlign w:val="bottom"/>
          </w:tcPr>
          <w:p>
            <w:pPr>
              <w:spacing w:after="0"/>
              <w:rPr>
                <w:sz w:val="20"/>
                <w:szCs w:val="20"/>
                <w:color w:val="auto"/>
              </w:rPr>
            </w:pPr>
            <w:r>
              <w:rPr>
                <w:rFonts w:ascii="Courier New" w:cs="Courier New" w:eastAsia="Courier New" w:hAnsi="Courier New"/>
                <w:sz w:val="14"/>
                <w:szCs w:val="14"/>
                <w:color w:val="auto"/>
              </w:rPr>
              <w:t>NOTE 30: OTHER INCOME</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68"/>
        </w:trPr>
        <w:tc>
          <w:tcPr>
            <w:tcW w:w="6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6380" w:type="dxa"/>
            <w:vAlign w:val="bottom"/>
          </w:tcPr>
          <w:p>
            <w:pPr>
              <w:spacing w:after="0"/>
              <w:rPr>
                <w:sz w:val="14"/>
                <w:szCs w:val="14"/>
                <w:color w:val="auto"/>
              </w:rPr>
            </w:pPr>
          </w:p>
        </w:tc>
        <w:tc>
          <w:tcPr>
            <w:tcW w:w="440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2000</w:t>
            </w:r>
          </w:p>
        </w:tc>
        <w:tc>
          <w:tcPr>
            <w:tcW w:w="4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1999</w:t>
            </w:r>
          </w:p>
        </w:tc>
        <w:tc>
          <w:tcPr>
            <w:tcW w:w="40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1998</w:t>
            </w:r>
          </w:p>
        </w:tc>
      </w:tr>
      <w:tr>
        <w:trPr>
          <w:trHeight w:val="167"/>
        </w:trPr>
        <w:tc>
          <w:tcPr>
            <w:tcW w:w="6380" w:type="dxa"/>
            <w:vAlign w:val="bottom"/>
          </w:tcPr>
          <w:p>
            <w:pPr>
              <w:spacing w:after="0"/>
              <w:rPr>
                <w:sz w:val="14"/>
                <w:szCs w:val="14"/>
                <w:color w:val="auto"/>
              </w:rPr>
            </w:pPr>
          </w:p>
        </w:tc>
        <w:tc>
          <w:tcPr>
            <w:tcW w:w="15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Brokerage commissions (Ocwen UK)......................................</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12,896</w:t>
            </w:r>
          </w:p>
        </w:tc>
        <w:tc>
          <w:tcPr>
            <w:tcW w:w="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9,959</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Management fees (OAC).................................................</w:t>
            </w:r>
          </w:p>
        </w:tc>
        <w:tc>
          <w:tcPr>
            <w:tcW w:w="6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4,503</w:t>
            </w:r>
          </w:p>
        </w:tc>
        <w:tc>
          <w:tcPr>
            <w:tcW w:w="4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5,955</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Software revenue (OTX)................................................</w:t>
            </w:r>
          </w:p>
        </w:tc>
        <w:tc>
          <w:tcPr>
            <w:tcW w:w="6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2,234</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2,043</w:t>
            </w:r>
          </w:p>
        </w:tc>
        <w:tc>
          <w:tcPr>
            <w:tcW w:w="4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1,709</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6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3,849</w:t>
            </w:r>
          </w:p>
        </w:tc>
        <w:tc>
          <w:tcPr>
            <w:tcW w:w="4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4,904</w:t>
            </w:r>
          </w:p>
        </w:tc>
        <w:tc>
          <w:tcPr>
            <w:tcW w:w="4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4,370</w:t>
            </w:r>
          </w:p>
        </w:tc>
      </w:tr>
      <w:tr>
        <w:trPr>
          <w:trHeight w:val="167"/>
        </w:trPr>
        <w:tc>
          <w:tcPr>
            <w:tcW w:w="6380" w:type="dxa"/>
            <w:vAlign w:val="bottom"/>
          </w:tcPr>
          <w:p>
            <w:pPr>
              <w:spacing w:after="0"/>
              <w:rPr>
                <w:sz w:val="14"/>
                <w:szCs w:val="14"/>
                <w:color w:val="auto"/>
              </w:rPr>
            </w:pPr>
          </w:p>
        </w:tc>
        <w:tc>
          <w:tcPr>
            <w:tcW w:w="15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6,083</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24,346</w:t>
            </w:r>
          </w:p>
        </w:tc>
        <w:tc>
          <w:tcPr>
            <w:tcW w:w="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21,993</w:t>
            </w:r>
          </w:p>
        </w:tc>
      </w:tr>
      <w:tr>
        <w:trPr>
          <w:trHeight w:val="167"/>
        </w:trPr>
        <w:tc>
          <w:tcPr>
            <w:tcW w:w="6380" w:type="dxa"/>
            <w:vAlign w:val="bottom"/>
          </w:tcPr>
          <w:p>
            <w:pPr>
              <w:spacing w:after="0"/>
              <w:rPr>
                <w:sz w:val="14"/>
                <w:szCs w:val="14"/>
                <w:color w:val="auto"/>
              </w:rPr>
            </w:pPr>
          </w:p>
        </w:tc>
        <w:tc>
          <w:tcPr>
            <w:tcW w:w="15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6380" w:type="dxa"/>
            <w:vAlign w:val="bottom"/>
          </w:tcPr>
          <w:p>
            <w:pPr>
              <w:ind w:left="3300"/>
              <w:spacing w:after="0"/>
              <w:rPr>
                <w:sz w:val="20"/>
                <w:szCs w:val="20"/>
                <w:color w:val="auto"/>
              </w:rPr>
            </w:pPr>
            <w:r>
              <w:rPr>
                <w:rFonts w:ascii="Courier New" w:cs="Courier New" w:eastAsia="Courier New" w:hAnsi="Courier New"/>
                <w:sz w:val="14"/>
                <w:szCs w:val="14"/>
                <w:color w:val="auto"/>
              </w:rPr>
              <w:t>112</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780"/>
          </w:cols>
          <w:pgMar w:left="220" w:top="453" w:right="899" w:bottom="1440" w:gutter="0" w:footer="0" w:header="0"/>
        </w:sectPr>
      </w:pPr>
    </w:p>
    <w:bookmarkStart w:id="141" w:name="page142"/>
    <w:bookmarkEnd w:id="141"/>
    <w:p>
      <w:pPr>
        <w:jc w:val="center"/>
        <w:ind w:right="390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Courier New" w:cs="Courier New" w:eastAsia="Courier New" w:hAnsi="Courier New"/>
                <w:sz w:val="14"/>
                <w:szCs w:val="14"/>
                <w:color w:val="auto"/>
              </w:rPr>
              <w:t>NOTE 31: OTHER OPERATING EXPENSES</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68"/>
        </w:trPr>
        <w:tc>
          <w:tcPr>
            <w:tcW w:w="6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6380" w:type="dxa"/>
            <w:vAlign w:val="bottom"/>
          </w:tcPr>
          <w:p>
            <w:pPr>
              <w:spacing w:after="0"/>
              <w:rPr>
                <w:sz w:val="14"/>
                <w:szCs w:val="14"/>
                <w:color w:val="auto"/>
              </w:rPr>
            </w:pPr>
          </w:p>
        </w:tc>
        <w:tc>
          <w:tcPr>
            <w:tcW w:w="440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2000</w:t>
            </w:r>
          </w:p>
        </w:tc>
        <w:tc>
          <w:tcPr>
            <w:tcW w:w="520" w:type="dxa"/>
            <w:vAlign w:val="bottom"/>
          </w:tcPr>
          <w:p>
            <w:pPr>
              <w:spacing w:after="0"/>
              <w:rPr>
                <w:sz w:val="14"/>
                <w:szCs w:val="14"/>
                <w:color w:val="auto"/>
              </w:rPr>
            </w:pPr>
          </w:p>
        </w:tc>
        <w:tc>
          <w:tcPr>
            <w:tcW w:w="12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6380" w:type="dxa"/>
            <w:vAlign w:val="bottom"/>
          </w:tcPr>
          <w:p>
            <w:pPr>
              <w:spacing w:after="0"/>
              <w:rPr>
                <w:sz w:val="14"/>
                <w:szCs w:val="14"/>
                <w:color w:val="auto"/>
              </w:rPr>
            </w:pPr>
          </w:p>
        </w:tc>
        <w:tc>
          <w:tcPr>
            <w:tcW w:w="15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Travel, lodging, meals and entertainment..............................</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2,864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4,107</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4,573</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Amortization of deferred costs........................................</w:t>
            </w:r>
          </w:p>
        </w:tc>
        <w:tc>
          <w:tcPr>
            <w:tcW w:w="6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2,845</w:t>
            </w:r>
          </w:p>
        </w:tc>
        <w:tc>
          <w:tcPr>
            <w:tcW w:w="52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2,274</w:t>
            </w:r>
          </w:p>
        </w:tc>
        <w:tc>
          <w:tcPr>
            <w:tcW w:w="2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1,888</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Acquisition expenses..................................................</w:t>
            </w:r>
          </w:p>
        </w:tc>
        <w:tc>
          <w:tcPr>
            <w:tcW w:w="6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1,912</w:t>
            </w:r>
          </w:p>
        </w:tc>
        <w:tc>
          <w:tcPr>
            <w:tcW w:w="52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441</w:t>
            </w:r>
          </w:p>
        </w:tc>
        <w:tc>
          <w:tcPr>
            <w:tcW w:w="2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740</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Marketing.............................................................</w:t>
            </w:r>
          </w:p>
        </w:tc>
        <w:tc>
          <w:tcPr>
            <w:tcW w:w="6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1,820</w:t>
            </w:r>
          </w:p>
        </w:tc>
        <w:tc>
          <w:tcPr>
            <w:tcW w:w="52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5,556</w:t>
            </w:r>
          </w:p>
        </w:tc>
        <w:tc>
          <w:tcPr>
            <w:tcW w:w="2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5,246</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Deposit related expenses..............................................</w:t>
            </w:r>
          </w:p>
        </w:tc>
        <w:tc>
          <w:tcPr>
            <w:tcW w:w="6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531</w:t>
            </w:r>
          </w:p>
        </w:tc>
        <w:tc>
          <w:tcPr>
            <w:tcW w:w="52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406</w:t>
            </w:r>
          </w:p>
        </w:tc>
        <w:tc>
          <w:tcPr>
            <w:tcW w:w="2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Conferences and seminars..............................................</w:t>
            </w:r>
          </w:p>
        </w:tc>
        <w:tc>
          <w:tcPr>
            <w:tcW w:w="6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530</w:t>
            </w:r>
          </w:p>
        </w:tc>
        <w:tc>
          <w:tcPr>
            <w:tcW w:w="52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772</w:t>
            </w:r>
          </w:p>
        </w:tc>
        <w:tc>
          <w:tcPr>
            <w:tcW w:w="2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1,117</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Investment and treasury services......................................</w:t>
            </w:r>
          </w:p>
        </w:tc>
        <w:tc>
          <w:tcPr>
            <w:tcW w:w="6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332</w:t>
            </w:r>
          </w:p>
        </w:tc>
        <w:tc>
          <w:tcPr>
            <w:tcW w:w="52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448</w:t>
            </w:r>
          </w:p>
        </w:tc>
        <w:tc>
          <w:tcPr>
            <w:tcW w:w="2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694</w:t>
            </w:r>
          </w:p>
        </w:tc>
      </w:tr>
      <w:tr>
        <w:trPr>
          <w:trHeight w:val="167"/>
        </w:trPr>
        <w:tc>
          <w:tcPr>
            <w:tcW w:w="63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6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2,188</w:t>
            </w:r>
          </w:p>
        </w:tc>
        <w:tc>
          <w:tcPr>
            <w:tcW w:w="52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3,181</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(875)</w:t>
            </w:r>
          </w:p>
        </w:tc>
      </w:tr>
      <w:tr>
        <w:trPr>
          <w:trHeight w:val="167"/>
        </w:trPr>
        <w:tc>
          <w:tcPr>
            <w:tcW w:w="6380" w:type="dxa"/>
            <w:vAlign w:val="bottom"/>
          </w:tcPr>
          <w:p>
            <w:pPr>
              <w:spacing w:after="0"/>
              <w:rPr>
                <w:sz w:val="14"/>
                <w:szCs w:val="14"/>
                <w:color w:val="auto"/>
              </w:rPr>
            </w:pPr>
          </w:p>
        </w:tc>
        <w:tc>
          <w:tcPr>
            <w:tcW w:w="15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13,022</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17,185</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13,803</w:t>
            </w:r>
          </w:p>
        </w:tc>
      </w:tr>
      <w:tr>
        <w:trPr>
          <w:trHeight w:val="167"/>
        </w:trPr>
        <w:tc>
          <w:tcPr>
            <w:tcW w:w="6380" w:type="dxa"/>
            <w:vAlign w:val="bottom"/>
          </w:tcPr>
          <w:p>
            <w:pPr>
              <w:spacing w:after="0"/>
              <w:rPr>
                <w:sz w:val="14"/>
                <w:szCs w:val="14"/>
                <w:color w:val="auto"/>
              </w:rPr>
            </w:pPr>
          </w:p>
        </w:tc>
        <w:tc>
          <w:tcPr>
            <w:tcW w:w="15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32: BUSINESS SEGMENT REPORTING</w:t>
      </w:r>
    </w:p>
    <w:p>
      <w:pPr>
        <w:spacing w:after="0" w:line="175" w:lineRule="exact"/>
        <w:rPr>
          <w:sz w:val="20"/>
          <w:szCs w:val="20"/>
          <w:color w:val="auto"/>
        </w:rPr>
      </w:pPr>
    </w:p>
    <w:p>
      <w:pPr>
        <w:ind w:right="3900" w:firstLine="781"/>
        <w:spacing w:after="0" w:line="253" w:lineRule="auto"/>
        <w:rPr>
          <w:sz w:val="20"/>
          <w:szCs w:val="20"/>
          <w:color w:val="auto"/>
        </w:rPr>
      </w:pPr>
      <w:r>
        <w:rPr>
          <w:rFonts w:ascii="Courier New" w:cs="Courier New" w:eastAsia="Courier New" w:hAnsi="Courier New"/>
          <w:sz w:val="14"/>
          <w:szCs w:val="14"/>
          <w:color w:val="auto"/>
        </w:rPr>
        <w:t>Public enterprises are required to report financial and descriptive information about their reportable operating segments. Operating segments are defined as components of an enterprise that (a) engages in business activities from which it may earn revenues and incur expenses, (b) whose operating results are regularly reviewed by the enterprise's chief operating decision maker to make decisions about resources to be allocated to the segment and assess its performance and (c) for which discrete financial information is available. The Company conducts a variety of business activities within the following segments: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4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Net Interest</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Non-Interest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Non-Interest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Net (Loss)</w:t>
            </w:r>
          </w:p>
        </w:tc>
        <w:tc>
          <w:tcPr>
            <w:tcW w:w="3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Income</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Expense</w:t>
            </w:r>
          </w:p>
        </w:tc>
        <w:tc>
          <w:tcPr>
            <w:tcW w:w="3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Income</w:t>
            </w:r>
          </w:p>
        </w:tc>
        <w:tc>
          <w:tcPr>
            <w:tcW w:w="3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DECEMBER 31, 2000:</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Single family residential discount loans.......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25,186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7,724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(11,818)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13,078</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396,270</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Commercial loans...............................</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15,273</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(16,402)</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571</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535,793</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Domestic residential mortgage loan servicing...</w:t>
            </w:r>
          </w:p>
        </w:tc>
        <w:tc>
          <w:tcPr>
            <w:tcW w:w="4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(5,756)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84,138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(59,129)</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11,909</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219,818</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Investment in low-income housing tax credits...</w:t>
            </w:r>
          </w:p>
        </w:tc>
        <w:tc>
          <w:tcPr>
            <w:tcW w:w="4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(10,915)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2,188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(15,350)</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(12,351)</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187,250</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OTX............................................</w:t>
            </w:r>
          </w:p>
        </w:tc>
        <w:tc>
          <w:tcPr>
            <w:tcW w:w="4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(35,656)</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(21,049)</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20,462</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Commercial real estate.........................</w:t>
            </w:r>
          </w:p>
        </w:tc>
        <w:tc>
          <w:tcPr>
            <w:tcW w:w="4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(18,120)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37,300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10,285</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80,561</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UK operations..................................</w:t>
            </w:r>
          </w:p>
        </w:tc>
        <w:tc>
          <w:tcPr>
            <w:tcW w:w="4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8,350</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Domestic subprime single family residential</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440"/>
              <w:spacing w:after="0"/>
              <w:rPr>
                <w:sz w:val="20"/>
                <w:szCs w:val="20"/>
                <w:color w:val="auto"/>
              </w:rPr>
            </w:pPr>
            <w:r>
              <w:rPr>
                <w:rFonts w:ascii="Courier New" w:cs="Courier New" w:eastAsia="Courier New" w:hAnsi="Courier New"/>
                <w:sz w:val="14"/>
                <w:szCs w:val="14"/>
                <w:color w:val="auto"/>
              </w:rPr>
              <w:t>lending...................................</w:t>
            </w:r>
          </w:p>
        </w:tc>
        <w:tc>
          <w:tcPr>
            <w:tcW w:w="4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(22,267)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(2,085)</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(15,210)</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135,617</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Unsecured collections..........................</w:t>
            </w:r>
          </w:p>
        </w:tc>
        <w:tc>
          <w:tcPr>
            <w:tcW w:w="4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(6,971)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(8,908)</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(8,927)</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8,417</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Ocwen Realty Advisors (1)......................</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12,738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(12,823)</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1,625</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Corporate items and other......................</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17,013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16,501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(4,931)</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15,589</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663,607</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$ 177,525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$(170,009)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2,192</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$ 2,249,420</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300" w:type="dxa"/>
            <w:vAlign w:val="bottom"/>
          </w:tcPr>
          <w:p>
            <w:pPr>
              <w:ind w:left="3300"/>
              <w:spacing w:after="0"/>
              <w:rPr>
                <w:sz w:val="20"/>
                <w:szCs w:val="20"/>
                <w:color w:val="auto"/>
              </w:rPr>
            </w:pPr>
            <w:r>
              <w:rPr>
                <w:rFonts w:ascii="Courier New" w:cs="Courier New" w:eastAsia="Courier New" w:hAnsi="Courier New"/>
                <w:sz w:val="14"/>
                <w:szCs w:val="14"/>
                <w:color w:val="auto"/>
              </w:rPr>
              <w:t>113</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860"/>
          </w:cols>
          <w:pgMar w:left="220" w:top="453" w:right="819" w:bottom="1440" w:gutter="0" w:footer="0" w:header="0"/>
        </w:sectPr>
      </w:pPr>
    </w:p>
    <w:bookmarkStart w:id="142" w:name="page143"/>
    <w:bookmarkEnd w:id="142"/>
    <w:p>
      <w:pPr>
        <w:jc w:val="center"/>
        <w:ind w:right="390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4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Net Interest</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Non-Interest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Non-Interest</w:t>
            </w:r>
          </w:p>
        </w:tc>
        <w:tc>
          <w:tcPr>
            <w:tcW w:w="4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Net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(Loss)</w:t>
            </w:r>
          </w:p>
        </w:tc>
        <w:tc>
          <w:tcPr>
            <w:tcW w:w="36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Income</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Expense</w:t>
            </w:r>
          </w:p>
        </w:tc>
        <w:tc>
          <w:tcPr>
            <w:tcW w:w="12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Income</w:t>
            </w:r>
          </w:p>
        </w:tc>
        <w:tc>
          <w:tcPr>
            <w:tcW w:w="36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Single family residential discount loans.......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19,233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(12,773)</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(26,910)</w:t>
            </w: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(12,680)</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711,104</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Commercial loans...............................</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50,647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16,161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(40,454)</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16,428</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1,000,541</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Domestic residential mortgage loan servicing...</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5,630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59,961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(46,128)</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12,067</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140,559</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Investment in low-income housing tax credits...</w:t>
            </w:r>
          </w:p>
        </w:tc>
        <w:tc>
          <w:tcPr>
            <w:tcW w:w="4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(10,365)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10,076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(16,548)</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7,802</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185,346</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OTX............................................</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(20,398)</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(11,372)</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26,702</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Commercial real estate.........................</w:t>
            </w:r>
          </w:p>
        </w:tc>
        <w:tc>
          <w:tcPr>
            <w:tcW w:w="4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3,443</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(4,167)</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(1,566)</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301,437</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UK operations..................................</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85,097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(46,498)</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36,859</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37,843</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Domestic subprime single family residential</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440"/>
              <w:spacing w:after="0"/>
              <w:rPr>
                <w:sz w:val="20"/>
                <w:szCs w:val="20"/>
                <w:color w:val="auto"/>
              </w:rPr>
            </w:pPr>
            <w:r>
              <w:rPr>
                <w:rFonts w:ascii="Courier New" w:cs="Courier New" w:eastAsia="Courier New" w:hAnsi="Courier New"/>
                <w:sz w:val="14"/>
                <w:szCs w:val="14"/>
                <w:color w:val="auto"/>
              </w:rPr>
              <w:t>lending...................................</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14,972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(31,101)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(13,972)</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(18,025)</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109,793</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Unsecured collections..........................</w:t>
            </w:r>
          </w:p>
        </w:tc>
        <w:tc>
          <w:tcPr>
            <w:tcW w:w="4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(6,374)</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(4,185)</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16,401</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Corporate items and other......................</w:t>
            </w:r>
          </w:p>
        </w:tc>
        <w:tc>
          <w:tcPr>
            <w:tcW w:w="4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(16,953)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11,704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26,381</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(5,496)</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751,948</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90,972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$ 144,642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$(195,068)</w:t>
            </w:r>
          </w:p>
        </w:tc>
        <w:tc>
          <w:tcPr>
            <w:tcW w:w="4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19,832</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3,281,674</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Single family residential discount loans.......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13,975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35,524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(26,449)</w:t>
            </w:r>
          </w:p>
        </w:tc>
        <w:tc>
          <w:tcPr>
            <w:tcW w:w="4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14,291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661,647</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Commercial loans...............................</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72,679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49,366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(44,389)</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48,319</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925,413</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Domestic residential mortgage loan servicing...</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6,604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46,751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(40,955)</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7,688</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76,079</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Investment in low-income housing tax credits...</w:t>
            </w:r>
          </w:p>
        </w:tc>
        <w:tc>
          <w:tcPr>
            <w:tcW w:w="4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(8,632)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9,137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(13,801)</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9,423</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200,566</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OTX............................................</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(11,335)</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(5,964)</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21,659</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Commercial real estate.........................</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(2,762)</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UK operations..................................</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12,045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48,159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(41,772)</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12,247</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298,878</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Domestic subprime single family residential</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440"/>
              <w:spacing w:after="0"/>
              <w:rPr>
                <w:sz w:val="20"/>
                <w:szCs w:val="20"/>
                <w:color w:val="auto"/>
              </w:rPr>
            </w:pPr>
            <w:r>
              <w:rPr>
                <w:rFonts w:ascii="Courier New" w:cs="Courier New" w:eastAsia="Courier New" w:hAnsi="Courier New"/>
                <w:sz w:val="14"/>
                <w:szCs w:val="14"/>
                <w:color w:val="auto"/>
              </w:rPr>
              <w:t>lending...................................</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17,465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3,346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(53,810)</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(19,993)</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158,676</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Unsecured collections..........................</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(2,175)</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(1,041)</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8,254</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Ocwen Realty Advisors .........................</w:t>
            </w:r>
          </w:p>
        </w:tc>
        <w:tc>
          <w:tcPr>
            <w:tcW w:w="4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Corporate items and other......................</w:t>
            </w:r>
          </w:p>
        </w:tc>
        <w:tc>
          <w:tcPr>
            <w:tcW w:w="4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(10,345)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(85,304)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10,902</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(66,179)</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949,911</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$ 104,292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$ 111,467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$(226,546)</w:t>
            </w:r>
          </w:p>
        </w:tc>
        <w:tc>
          <w:tcPr>
            <w:tcW w:w="4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(1,200)</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$ 3,301,083</w:t>
            </w:r>
          </w:p>
        </w:tc>
      </w:tr>
      <w:tr>
        <w:trPr>
          <w:trHeight w:val="167"/>
        </w:trPr>
        <w:tc>
          <w:tcPr>
            <w:tcW w:w="43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800" w:right="4000" w:hanging="791"/>
        <w:spacing w:after="0" w:line="258" w:lineRule="auto"/>
        <w:tabs>
          <w:tab w:leader="none" w:pos="8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Non-interest income for the year ended December 31, 2000 included $975 of intercompany revenues which have been eliminated in consolidation.</w:t>
      </w:r>
    </w:p>
    <w:p>
      <w:pPr>
        <w:spacing w:after="0" w:line="200" w:lineRule="exact"/>
        <w:rPr>
          <w:sz w:val="20"/>
          <w:szCs w:val="20"/>
          <w:color w:val="auto"/>
        </w:rPr>
      </w:pPr>
    </w:p>
    <w:p>
      <w:pPr>
        <w:spacing w:after="0" w:line="294" w:lineRule="exact"/>
        <w:rPr>
          <w:sz w:val="20"/>
          <w:szCs w:val="20"/>
          <w:color w:val="auto"/>
        </w:rPr>
      </w:pPr>
    </w:p>
    <w:p>
      <w:pPr>
        <w:ind w:right="3900" w:firstLine="781"/>
        <w:spacing w:after="0" w:line="252" w:lineRule="auto"/>
        <w:rPr>
          <w:sz w:val="20"/>
          <w:szCs w:val="20"/>
          <w:color w:val="auto"/>
        </w:rPr>
      </w:pPr>
      <w:r>
        <w:rPr>
          <w:rFonts w:ascii="Courier New" w:cs="Courier New" w:eastAsia="Courier New" w:hAnsi="Courier New"/>
          <w:sz w:val="14"/>
          <w:szCs w:val="14"/>
          <w:color w:val="auto"/>
        </w:rPr>
        <w:t>The Company's single family residential discount loan activities include asset acquisition and resolution of single family residential loans and the related real estate owned. Commercial loan activities include asset acquisition and resolution of large commercial and small commercial loans and related real estate owned. Commercial loan activities also include the Company's origination of multi-family and commercial real estate loans held for investment, a business which the Company ceased in 1999. Investment in low-income housing tax credits includes the Company's investments, primarily through limited partnerships, in qualified low-income rental housing for the purpose of obtaining Federal income tax credits pursuant to Section 42 of the Code. Commercial real estate is principally comprised of activities related to the Company's real estate investments acquired in connection with the acquisition of OAC in October 1999. Domestic subprime single family residential lending includes the Company's acquisition and origination of single family residential loans to non-conforming borrowers. In August 1999, the Company closed its domestic subprime origination business, which had been conducted primarily through OFS. Domestic residential mortgage loan servicing includes the Company's fee-for-services business of providing loan servicing, including asset management and resolution services, to third-party owners of non-performing, underperforming and subprime assets. UK operations included the Company's equity investment in Kensington, which was sold during November 2000, as well as the activities of the Company's previously owned subsidiary, Ocwen UK, which was sold on September 30, 1999. Ocwen UK was primarily engaged in the origination and servicing of subprime loans in the United Kingdom. OTX, which was formed in 1998, develops and markets advanced software solutions for the mortgage and real estate industries, including residential and commercial mortgage servicing systems. Unsecured collections is primarily comprised of activities related to the Company's charged-off unsecured credit card receivables, which were acquired at a discount. Ocwen Realty Advisors provides property valuation services and real estate research for residential and commercial properties. Corporate items and other consist primarily of extraordinary gains on repurchases of debt,</w:t>
      </w:r>
    </w:p>
    <w:p>
      <w:pPr>
        <w:spacing w:after="0" w:line="17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114</w:t>
      </w:r>
    </w:p>
    <w:p>
      <w:pPr>
        <w:sectPr>
          <w:pgSz w:w="11900" w:h="16838" w:orient="portrait"/>
          <w:cols w:equalWidth="0" w:num="1">
            <w:col w:w="10860"/>
          </w:cols>
          <w:pgMar w:left="220" w:top="453" w:right="819" w:bottom="1440" w:gutter="0" w:footer="0" w:header="0"/>
        </w:sectPr>
      </w:pPr>
    </w:p>
    <w:bookmarkStart w:id="143" w:name="page144"/>
    <w:bookmarkEnd w:id="143"/>
    <w:p>
      <w:pPr>
        <w:jc w:val="center"/>
        <w:ind w:right="327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individually insignificant business activities, amounts not allocated to the operating segments, distributions on the Capital Securities, transfer pricing mismatches, other general corporate expenses and the results of the securities portfolio other than subprime residuals and subordinates. Subprime residuals and subordinate interests related to the Company's securitization activities have been included in the related business activity.</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Interest income and expense have been allocated to each business segment for the investment of funds raised or funding of investments made taking into consideration the duration of such liabilities or assets. Allocations of non-interest expense generated by corporate support services were made to each business segment based upon management's estimate of time and effort spent in the respective activity. Income taxes are allocated to each business segment based on the Company's statutory tax rate, exclusive of low-income housing tax credit interests. As such, the resulting amounts represent estimates of the contribution of each business activity to the Company.</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33: COMMITMENTS AND CONTINGENCIES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Certain premises are leased under various non-cancellable operating leases with terms expiring at various times through 2007, exclusive of renewal option periods. The annual aggregate minimum rental commitments under these leases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3,816</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3,580</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3,397</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2,818</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959</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7"/>
        </w:trPr>
        <w:tc>
          <w:tcPr>
            <w:tcW w:w="56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Minimum lease payments ........................................</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14,641</w:t>
            </w:r>
          </w:p>
        </w:tc>
      </w:tr>
      <w:tr>
        <w:trPr>
          <w:trHeight w:val="167"/>
        </w:trPr>
        <w:tc>
          <w:tcPr>
            <w:tcW w:w="56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Rental commitments for facilities outside the United States of America were converted to U.S. dollars using exchange rates in effect at December 31, 2000.</w:t>
      </w:r>
    </w:p>
    <w:p>
      <w:pPr>
        <w:spacing w:after="0" w:line="162"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Rent expense for the years ended December 31, 2000, 1999 and 1998 was $3,374, $6,101 and $6,410, respectively.</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December 31, 2000, the Company had commitments of $11,259 to fund construction loans (including loans accounted for as investments in real estate) secured by multi-family and commercial properties. In addition, the Company, through the Bank, had commitments under outstanding letters of credit in the amount of $6,968. The Company, through its investment in subordinated securities and subprime residuals, which had a fair value of $112,647 at December 31, 2000, supports senior classes of securities. At December 31, 2000 the Company had $7,035 outstanding in guarantees to third parties related to debt obligations and lease commitments of its subsidiaries.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April 20, 1999, a complaint was filed on behalf of a putative class of public shareholders of the Company in the Circuit Court of the Fifteenth Judicial Circuit, Palm Beach County, Florida against OCN and OAC. On April 23, 1999, a complaint was filed on behalf of a putative classes of public shareholders of OAC in the Circuit Court of the Fifteenth Judicial Circuit, Palm Beach County, Florida, against OAC and certain directors of OAC. The plaintiffs in both complaints sought to enjoin consummation of the acquisition of OAC by OCN. The cases were consolidated, and on September 13, 1999 a consolidated amended complaint was filed. The injunction was denied, and on October 14, 1999 OCN was dismissed as a party. Plaintiffs' remaining claims are for damages for alleged breaches of common law fiduciary duties. On January 10, 2001, OAC was granted a protective order limiting the scope of discovery. Discovery is ongoing.</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June 3, 1999, Walton Street Capital, L.L.C. ("Walton") filed suit against OAC and OPLP in the Circuit Court of Cook County, Illinois. Walton has alleged that OAC committed an anticipatory breach of contract with respect to the proposed sale by OAC of all of its interest in its commercial mortgage-backed securities portfolio to Walton. Walton has claimed damages in an amount in excess of $20,000. As of October 20, 2000, both Walton and OAC filed motions for Summary Judgement. On December 21, 2000, the Circuit Court granted Walton's Limited Motion for Summary Judgement concerning liability. Ocwen filed a Motion for Certification of an Interlocutory Appeal and is seeking an Entry of Stay pending appeal. OAC believes this suit is without merit and continues to vigorously defend against the same.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239"/>
          </w:cols>
          <w:pgMar w:left="220" w:top="453" w:right="1440" w:bottom="1440" w:gutter="0" w:footer="0" w:header="0"/>
        </w:sectPr>
      </w:pPr>
    </w:p>
    <w:bookmarkStart w:id="144" w:name="page145"/>
    <w:bookmarkEnd w:id="144"/>
    <w:p>
      <w:pPr>
        <w:jc w:val="center"/>
        <w:ind w:right="372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p>
      <w:pPr>
        <w:ind w:right="3900" w:firstLine="781"/>
        <w:spacing w:after="0" w:line="255" w:lineRule="auto"/>
        <w:rPr>
          <w:sz w:val="20"/>
          <w:szCs w:val="20"/>
          <w:color w:val="auto"/>
        </w:rPr>
      </w:pPr>
      <w:r>
        <w:rPr>
          <w:rFonts w:ascii="Courier New" w:cs="Courier New" w:eastAsia="Courier New" w:hAnsi="Courier New"/>
          <w:sz w:val="14"/>
          <w:szCs w:val="14"/>
          <w:color w:val="auto"/>
        </w:rPr>
        <w:t>The Company is subject to various other pending legal proceedings. In management's opinion, the resolution of these other claims will not have a material effect on the consolidated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34: PARENT COMPANY ONLY FINANCIAL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STATEMENTS OF FINANCIAL CONDITION</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640" w:type="dxa"/>
            <w:vAlign w:val="bottom"/>
          </w:tcPr>
          <w:p>
            <w:pPr>
              <w:spacing w:after="0"/>
              <w:rPr>
                <w:sz w:val="14"/>
                <w:szCs w:val="14"/>
                <w:color w:val="auto"/>
              </w:rPr>
            </w:pPr>
          </w:p>
        </w:tc>
      </w:tr>
      <w:tr>
        <w:trPr>
          <w:trHeight w:val="167"/>
        </w:trPr>
        <w:tc>
          <w:tcPr>
            <w:tcW w:w="7900" w:type="dxa"/>
            <w:vAlign w:val="bottom"/>
          </w:tcPr>
          <w:p>
            <w:pPr>
              <w:spacing w:after="0"/>
              <w:rPr>
                <w:sz w:val="14"/>
                <w:szCs w:val="14"/>
                <w:color w:val="auto"/>
              </w:rPr>
            </w:pPr>
          </w:p>
        </w:tc>
        <w:tc>
          <w:tcPr>
            <w:tcW w:w="27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2000</w:t>
            </w:r>
          </w:p>
        </w:tc>
        <w:tc>
          <w:tcPr>
            <w:tcW w:w="58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790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9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77,214</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27,939</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Cash held at Bank subsidiary...........................................................</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13,512</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49,259</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Investments in subsidiaries: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7900" w:type="dxa"/>
            <w:vAlign w:val="bottom"/>
          </w:tcPr>
          <w:p>
            <w:pPr>
              <w:ind w:left="260"/>
              <w:spacing w:after="0"/>
              <w:rPr>
                <w:sz w:val="20"/>
                <w:szCs w:val="20"/>
                <w:color w:val="auto"/>
              </w:rPr>
            </w:pPr>
            <w:r>
              <w:rPr>
                <w:rFonts w:ascii="Courier New" w:cs="Courier New" w:eastAsia="Courier New" w:hAnsi="Courier New"/>
                <w:sz w:val="14"/>
                <w:szCs w:val="14"/>
                <w:color w:val="auto"/>
              </w:rPr>
              <w:t>Bank subsidiary.....................................................................</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256,833</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249,365</w:t>
            </w:r>
          </w:p>
        </w:tc>
      </w:tr>
      <w:tr>
        <w:trPr>
          <w:trHeight w:val="167"/>
        </w:trPr>
        <w:tc>
          <w:tcPr>
            <w:tcW w:w="7900" w:type="dxa"/>
            <w:vAlign w:val="bottom"/>
          </w:tcPr>
          <w:p>
            <w:pPr>
              <w:ind w:left="260"/>
              <w:spacing w:after="0"/>
              <w:rPr>
                <w:sz w:val="20"/>
                <w:szCs w:val="20"/>
                <w:color w:val="auto"/>
              </w:rPr>
            </w:pPr>
            <w:r>
              <w:rPr>
                <w:rFonts w:ascii="Courier New" w:cs="Courier New" w:eastAsia="Courier New" w:hAnsi="Courier New"/>
                <w:sz w:val="14"/>
                <w:szCs w:val="14"/>
                <w:color w:val="auto"/>
              </w:rPr>
              <w:t>Non-bank subsidiaries...............................................................</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399,187</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321,063</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Advance due from Bank subsidiary.......................................................</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2,808</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Note receivable from non-bank subsidiary...............................................</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24,000</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Investment in unconsolidated entity....................................................</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36,216</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Loan portfolio, net....................................................................</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408</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405</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Discount loan portfolio, net...........................................................</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8,417</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16,397</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Investment in real estate..............................................................</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3,300</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Income taxes receivable................................................................</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17,749</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14,556</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Deferred tax asset.....................................................................</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22,375</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44,313</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2,737</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3,483</w:t>
            </w:r>
          </w:p>
        </w:tc>
      </w:tr>
      <w:tr>
        <w:trPr>
          <w:trHeight w:val="167"/>
        </w:trPr>
        <w:tc>
          <w:tcPr>
            <w:tcW w:w="790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9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804,540</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786,996</w:t>
            </w:r>
          </w:p>
        </w:tc>
      </w:tr>
      <w:tr>
        <w:trPr>
          <w:trHeight w:val="167"/>
        </w:trPr>
        <w:tc>
          <w:tcPr>
            <w:tcW w:w="790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11.875% Note payable...................................................................</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100,050</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103,850</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Notes and debentures payable to non-bank subsidiaries..................................</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137,251</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131,251</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Advance due to subsidiaries: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7900" w:type="dxa"/>
            <w:vAlign w:val="bottom"/>
          </w:tcPr>
          <w:p>
            <w:pPr>
              <w:ind w:left="260"/>
              <w:spacing w:after="0"/>
              <w:rPr>
                <w:sz w:val="20"/>
                <w:szCs w:val="20"/>
                <w:color w:val="auto"/>
              </w:rPr>
            </w:pPr>
            <w:r>
              <w:rPr>
                <w:rFonts w:ascii="Courier New" w:cs="Courier New" w:eastAsia="Courier New" w:hAnsi="Courier New"/>
                <w:sz w:val="14"/>
                <w:szCs w:val="14"/>
                <w:color w:val="auto"/>
              </w:rPr>
              <w:t>Bank subsidiary.....................................................................</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2,272</w:t>
            </w:r>
          </w:p>
        </w:tc>
      </w:tr>
      <w:tr>
        <w:trPr>
          <w:trHeight w:val="167"/>
        </w:trPr>
        <w:tc>
          <w:tcPr>
            <w:tcW w:w="7900" w:type="dxa"/>
            <w:vAlign w:val="bottom"/>
          </w:tcPr>
          <w:p>
            <w:pPr>
              <w:ind w:left="260"/>
              <w:spacing w:after="0"/>
              <w:rPr>
                <w:sz w:val="20"/>
                <w:szCs w:val="20"/>
                <w:color w:val="auto"/>
              </w:rPr>
            </w:pPr>
            <w:r>
              <w:rPr>
                <w:rFonts w:ascii="Courier New" w:cs="Courier New" w:eastAsia="Courier New" w:hAnsi="Courier New"/>
                <w:sz w:val="14"/>
                <w:szCs w:val="14"/>
                <w:color w:val="auto"/>
              </w:rPr>
              <w:t>Non-bank subsidiary.................................................................</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49,086</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22,105</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14,727</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18,076</w:t>
            </w:r>
          </w:p>
        </w:tc>
      </w:tr>
      <w:tr>
        <w:trPr>
          <w:trHeight w:val="167"/>
        </w:trPr>
        <w:tc>
          <w:tcPr>
            <w:tcW w:w="790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90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301,114</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277,554</w:t>
            </w:r>
          </w:p>
        </w:tc>
      </w:tr>
      <w:tr>
        <w:trPr>
          <w:trHeight w:val="167"/>
        </w:trPr>
        <w:tc>
          <w:tcPr>
            <w:tcW w:w="79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503,426</w:t>
            </w:r>
          </w:p>
        </w:tc>
        <w:tc>
          <w:tcPr>
            <w:tcW w:w="5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509,442</w:t>
            </w:r>
          </w:p>
        </w:tc>
      </w:tr>
      <w:tr>
        <w:trPr>
          <w:trHeight w:val="167"/>
        </w:trPr>
        <w:tc>
          <w:tcPr>
            <w:tcW w:w="790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9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804,540</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786,996</w:t>
            </w:r>
          </w:p>
        </w:tc>
      </w:tr>
      <w:tr>
        <w:trPr>
          <w:trHeight w:val="167"/>
        </w:trPr>
        <w:tc>
          <w:tcPr>
            <w:tcW w:w="790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7900" w:type="dxa"/>
            <w:vAlign w:val="bottom"/>
          </w:tcPr>
          <w:p>
            <w:pPr>
              <w:ind w:left="3300"/>
              <w:spacing w:after="0"/>
              <w:rPr>
                <w:sz w:val="20"/>
                <w:szCs w:val="20"/>
                <w:color w:val="auto"/>
              </w:rPr>
            </w:pPr>
            <w:r>
              <w:rPr>
                <w:rFonts w:ascii="Courier New" w:cs="Courier New" w:eastAsia="Courier New" w:hAnsi="Courier New"/>
                <w:sz w:val="14"/>
                <w:szCs w:val="14"/>
                <w:color w:val="auto"/>
              </w:rPr>
              <w:t>116</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680"/>
          </w:cols>
          <w:pgMar w:left="220" w:top="453" w:right="999" w:bottom="1440" w:gutter="0" w:footer="0" w:header="0"/>
        </w:sectPr>
      </w:pPr>
    </w:p>
    <w:bookmarkStart w:id="145" w:name="page146"/>
    <w:bookmarkEnd w:id="145"/>
    <w:p>
      <w:pPr>
        <w:jc w:val="center"/>
        <w:ind w:right="382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20"/>
                <w:szCs w:val="20"/>
                <w:color w:val="auto"/>
              </w:rPr>
            </w:pPr>
            <w:r>
              <w:rPr>
                <w:rFonts w:ascii="Courier New" w:cs="Courier New" w:eastAsia="Courier New" w:hAnsi="Courier New"/>
                <w:sz w:val="14"/>
                <w:szCs w:val="14"/>
                <w:color w:val="auto"/>
              </w:rPr>
              <w:t>CONDENSED STATEMENTS OF OPERATIONS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8"/>
        </w:trPr>
        <w:tc>
          <w:tcPr>
            <w:tcW w:w="6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For the Years Ended December 31,</w:t>
            </w:r>
          </w:p>
        </w:tc>
        <w:tc>
          <w:tcPr>
            <w:tcW w:w="740" w:type="dxa"/>
            <w:vAlign w:val="bottom"/>
          </w:tcPr>
          <w:p>
            <w:pPr>
              <w:spacing w:after="0"/>
              <w:rPr>
                <w:sz w:val="24"/>
                <w:szCs w:val="24"/>
                <w:color w:val="auto"/>
              </w:rPr>
            </w:pPr>
          </w:p>
        </w:tc>
      </w:tr>
      <w:tr>
        <w:trPr>
          <w:trHeight w:val="167"/>
        </w:trPr>
        <w:tc>
          <w:tcPr>
            <w:tcW w:w="6440" w:type="dxa"/>
            <w:vAlign w:val="bottom"/>
          </w:tcPr>
          <w:p>
            <w:pPr>
              <w:spacing w:after="0"/>
              <w:rPr>
                <w:sz w:val="14"/>
                <w:szCs w:val="14"/>
                <w:color w:val="auto"/>
              </w:rPr>
            </w:pPr>
          </w:p>
        </w:tc>
        <w:tc>
          <w:tcPr>
            <w:tcW w:w="43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2000</w:t>
            </w:r>
          </w:p>
        </w:tc>
        <w:tc>
          <w:tcPr>
            <w:tcW w:w="480" w:type="dxa"/>
            <w:vAlign w:val="bottom"/>
          </w:tcPr>
          <w:p>
            <w:pPr>
              <w:spacing w:after="0"/>
              <w:rPr>
                <w:sz w:val="14"/>
                <w:szCs w:val="14"/>
                <w:color w:val="auto"/>
              </w:rPr>
            </w:pPr>
          </w:p>
        </w:tc>
        <w:tc>
          <w:tcPr>
            <w:tcW w:w="10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644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4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907</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2,510</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11,534</w:t>
            </w:r>
          </w:p>
        </w:tc>
      </w:tr>
      <w:tr>
        <w:trPr>
          <w:trHeight w:val="167"/>
        </w:trPr>
        <w:tc>
          <w:tcPr>
            <w:tcW w:w="6440" w:type="dxa"/>
            <w:vAlign w:val="bottom"/>
          </w:tcPr>
          <w:p>
            <w:pPr>
              <w:spacing w:after="0"/>
              <w:rPr>
                <w:sz w:val="20"/>
                <w:szCs w:val="20"/>
                <w:color w:val="auto"/>
              </w:rPr>
            </w:pPr>
            <w:r>
              <w:rPr>
                <w:rFonts w:ascii="Courier New" w:cs="Courier New" w:eastAsia="Courier New" w:hAnsi="Courier New"/>
                <w:sz w:val="14"/>
                <w:szCs w:val="14"/>
                <w:color w:val="auto"/>
              </w:rPr>
              <w:t>Interest income from subsidiaries: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Bank subsidiary..................................................</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1,438</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1,941</w:t>
            </w:r>
          </w:p>
        </w:tc>
        <w:tc>
          <w:tcPr>
            <w:tcW w:w="5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868</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Non-bank subsidiary..............................................</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2,394</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3,669</w:t>
            </w:r>
          </w:p>
        </w:tc>
        <w:tc>
          <w:tcPr>
            <w:tcW w:w="5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3,149</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Interest expense......................................................</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(12,293)</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(14,656)</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(17,866)</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Interest expense - Non-bank subsidiary................................</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(14,518)</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(14,372)</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(15,508)</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Provision for loan losses.............................................</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(7,504)</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(1,176)</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Non-interest income...................................................</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22,499</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51,464</w:t>
            </w:r>
          </w:p>
        </w:tc>
        <w:tc>
          <w:tcPr>
            <w:tcW w:w="5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6,425</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Impairment charges on securities available for sale...................</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(45,737)</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Non-interest expense..................................................</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(3,783)</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(5,721)</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(5,301)</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Servicing fee expense - Bank subsidiary...............................</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(7,173)</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(3,074)</w:t>
            </w:r>
          </w:p>
        </w:tc>
        <w:tc>
          <w:tcPr>
            <w:tcW w:w="5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Equity in (losses) earnings in unconsolidated entities................</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(5,280)</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(9,154)</w:t>
            </w:r>
          </w:p>
        </w:tc>
        <w:tc>
          <w:tcPr>
            <w:tcW w:w="5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439</w:t>
            </w:r>
          </w:p>
        </w:tc>
      </w:tr>
      <w:tr>
        <w:trPr>
          <w:trHeight w:val="167"/>
        </w:trPr>
        <w:tc>
          <w:tcPr>
            <w:tcW w:w="644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(Loss) income before income taxes and extraordinary gain.........</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(23,313)</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11,431</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(62,159)</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Income tax benefit....................................................</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16,271</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3,990</w:t>
            </w:r>
          </w:p>
        </w:tc>
        <w:tc>
          <w:tcPr>
            <w:tcW w:w="5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42,942</w:t>
            </w:r>
          </w:p>
        </w:tc>
      </w:tr>
      <w:tr>
        <w:trPr>
          <w:trHeight w:val="167"/>
        </w:trPr>
        <w:tc>
          <w:tcPr>
            <w:tcW w:w="644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(Loss) income before equity in net income (losses) of subsidiaries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and extraordinary gain........................................</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(7,042)</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15,421</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(19,217)</w:t>
            </w:r>
          </w:p>
        </w:tc>
      </w:tr>
      <w:tr>
        <w:trPr>
          <w:trHeight w:val="167"/>
        </w:trPr>
        <w:tc>
          <w:tcPr>
            <w:tcW w:w="6440" w:type="dxa"/>
            <w:vAlign w:val="bottom"/>
          </w:tcPr>
          <w:p>
            <w:pPr>
              <w:spacing w:after="0"/>
              <w:rPr>
                <w:sz w:val="20"/>
                <w:szCs w:val="20"/>
                <w:color w:val="auto"/>
              </w:rPr>
            </w:pPr>
            <w:r>
              <w:rPr>
                <w:rFonts w:ascii="Courier New" w:cs="Courier New" w:eastAsia="Courier New" w:hAnsi="Courier New"/>
                <w:sz w:val="14"/>
                <w:szCs w:val="14"/>
                <w:color w:val="auto"/>
              </w:rPr>
              <w:t>Equity in net income (losses) of subsidiaries: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Bank subsidiary..................................................</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6,043</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45,166</w:t>
            </w:r>
          </w:p>
        </w:tc>
        <w:tc>
          <w:tcPr>
            <w:tcW w:w="5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55,780</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Non-bank subsidiaries............................................</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2,915</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(41,182)</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(37,763)</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Extraordinary gain on repurchase of debt, net of tax..................</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427</w:t>
            </w:r>
          </w:p>
        </w:tc>
        <w:tc>
          <w:tcPr>
            <w:tcW w:w="5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44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Net income (loss).....................................................</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2,192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19,832</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r>
      <w:tr>
        <w:trPr>
          <w:trHeight w:val="167"/>
        </w:trPr>
        <w:tc>
          <w:tcPr>
            <w:tcW w:w="644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6440" w:type="dxa"/>
            <w:vAlign w:val="bottom"/>
          </w:tcPr>
          <w:p>
            <w:pPr>
              <w:jc w:val="right"/>
              <w:ind w:right="2808"/>
              <w:spacing w:after="0"/>
              <w:rPr>
                <w:sz w:val="20"/>
                <w:szCs w:val="20"/>
                <w:color w:val="auto"/>
              </w:rPr>
            </w:pPr>
            <w:r>
              <w:rPr>
                <w:rFonts w:ascii="Courier New" w:cs="Courier New" w:eastAsia="Courier New" w:hAnsi="Courier New"/>
                <w:sz w:val="14"/>
                <w:szCs w:val="14"/>
                <w:color w:val="auto"/>
              </w:rPr>
              <w:t>117</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780"/>
          </w:cols>
          <w:pgMar w:left="220" w:top="453" w:right="899" w:bottom="1440" w:gutter="0" w:footer="0" w:header="0"/>
        </w:sectPr>
      </w:pPr>
    </w:p>
    <w:bookmarkStart w:id="146" w:name="page147"/>
    <w:bookmarkEnd w:id="146"/>
    <w:p>
      <w:pPr>
        <w:jc w:val="center"/>
        <w:ind w:right="382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20"/>
                <w:szCs w:val="20"/>
                <w:color w:val="auto"/>
              </w:rPr>
            </w:pPr>
            <w:r>
              <w:rPr>
                <w:rFonts w:ascii="Courier New" w:cs="Courier New" w:eastAsia="Courier New" w:hAnsi="Courier New"/>
                <w:sz w:val="14"/>
                <w:szCs w:val="14"/>
                <w:color w:val="auto"/>
              </w:rPr>
              <w:t>CONDENSED STATEMENTS OF CASH FLOWS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6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For the Years Ended December 31,</w:t>
            </w:r>
          </w:p>
        </w:tc>
        <w:tc>
          <w:tcPr>
            <w:tcW w:w="780" w:type="dxa"/>
            <w:vAlign w:val="bottom"/>
          </w:tcPr>
          <w:p>
            <w:pPr>
              <w:spacing w:after="0"/>
              <w:rPr>
                <w:sz w:val="24"/>
                <w:szCs w:val="24"/>
                <w:color w:val="auto"/>
              </w:rPr>
            </w:pPr>
          </w:p>
        </w:tc>
      </w:tr>
      <w:tr>
        <w:trPr>
          <w:trHeight w:val="167"/>
        </w:trPr>
        <w:tc>
          <w:tcPr>
            <w:tcW w:w="6340" w:type="dxa"/>
            <w:vAlign w:val="bottom"/>
          </w:tcPr>
          <w:p>
            <w:pPr>
              <w:spacing w:after="0"/>
              <w:rPr>
                <w:sz w:val="14"/>
                <w:szCs w:val="14"/>
                <w:color w:val="auto"/>
              </w:rPr>
            </w:pPr>
          </w:p>
        </w:tc>
        <w:tc>
          <w:tcPr>
            <w:tcW w:w="44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2000</w:t>
            </w:r>
          </w:p>
        </w:tc>
        <w:tc>
          <w:tcPr>
            <w:tcW w:w="480" w:type="dxa"/>
            <w:vAlign w:val="bottom"/>
          </w:tcPr>
          <w:p>
            <w:pPr>
              <w:spacing w:after="0"/>
              <w:rPr>
                <w:sz w:val="14"/>
                <w:szCs w:val="14"/>
                <w:color w:val="auto"/>
              </w:rPr>
            </w:pPr>
          </w:p>
        </w:tc>
        <w:tc>
          <w:tcPr>
            <w:tcW w:w="10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634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2,192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19,832</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340" w:type="dxa"/>
            <w:vAlign w:val="bottom"/>
          </w:tcPr>
          <w:p>
            <w:pPr>
              <w:ind w:left="620"/>
              <w:spacing w:after="0"/>
              <w:rPr>
                <w:sz w:val="20"/>
                <w:szCs w:val="20"/>
                <w:color w:val="auto"/>
              </w:rPr>
            </w:pPr>
            <w:r>
              <w:rPr>
                <w:rFonts w:ascii="Courier New" w:cs="Courier New" w:eastAsia="Courier New" w:hAnsi="Courier New"/>
                <w:sz w:val="14"/>
                <w:szCs w:val="14"/>
                <w:color w:val="auto"/>
              </w:rPr>
              <w:t>(used) provided by operating activities: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Equity in income of bank subsidiary.............................</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(6,043)</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(45,166)</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(55,780)</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Equity in (income) loss of non-bank subsidiaries................</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(2,915)</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41,182</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37,763</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Equity in loss (income) of unconsolidated entity, net...........</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5,280</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9,154</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(439)</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Premium amortization, net.......................................</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(5,913)</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18,383</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Provision for loan losses.......................................</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7,503</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1,176</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Loss on interest-earning assets.................................</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(3,462)</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Important charges on securities available for sale..............</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45,737</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Extraordinary gain on repurchase of long-term debt..............</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(439)</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(1,322)</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Gain on sale of real estate held for investment.................</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(1,155)</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(2,389)</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Gain on sale of Ocwen UK........................................</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(50,371)</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Gain on sale of investment in Kensington Group plc..............</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(20,025)</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deferred tax assets......................</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21,988</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(22,581)</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(13,191)</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deferred tax liability...................</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(1,952)</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other assets.............................</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21,483</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(33,168)</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income taxes receivable..................</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(2,556)</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21,718</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(22,327)</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income taxes payable.....................</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(637)</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(953)</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745</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accrued expenses, payables and other</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340" w:type="dxa"/>
            <w:vAlign w:val="bottom"/>
          </w:tcPr>
          <w:p>
            <w:pPr>
              <w:ind w:left="700"/>
              <w:spacing w:after="0"/>
              <w:rPr>
                <w:sz w:val="20"/>
                <w:szCs w:val="20"/>
                <w:color w:val="auto"/>
              </w:rPr>
            </w:pPr>
            <w:r>
              <w:rPr>
                <w:rFonts w:ascii="Courier New" w:cs="Courier New" w:eastAsia="Courier New" w:hAnsi="Courier New"/>
                <w:sz w:val="14"/>
                <w:szCs w:val="14"/>
                <w:color w:val="auto"/>
              </w:rPr>
              <w:t>liabilities..................................................</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(5,305)</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(2,962)</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5,947</w:t>
            </w:r>
          </w:p>
        </w:tc>
      </w:tr>
      <w:tr>
        <w:trPr>
          <w:trHeight w:val="167"/>
        </w:trPr>
        <w:tc>
          <w:tcPr>
            <w:tcW w:w="634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Net cash (used) provided by operating activities................</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(2,235)</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(17,053)</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(23,172)</w:t>
            </w:r>
          </w:p>
        </w:tc>
      </w:tr>
      <w:tr>
        <w:trPr>
          <w:trHeight w:val="167"/>
        </w:trPr>
        <w:tc>
          <w:tcPr>
            <w:tcW w:w="634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Purchase of securities available for sale.......................</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(34,755)</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Maturities of and principal payments received on securities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340" w:type="dxa"/>
            <w:vAlign w:val="bottom"/>
          </w:tcPr>
          <w:p>
            <w:pPr>
              <w:ind w:left="700"/>
              <w:spacing w:after="0"/>
              <w:rPr>
                <w:sz w:val="20"/>
                <w:szCs w:val="20"/>
                <w:color w:val="auto"/>
              </w:rPr>
            </w:pPr>
            <w:r>
              <w:rPr>
                <w:rFonts w:ascii="Courier New" w:cs="Courier New" w:eastAsia="Courier New" w:hAnsi="Courier New"/>
                <w:sz w:val="14"/>
                <w:szCs w:val="14"/>
                <w:color w:val="auto"/>
              </w:rPr>
              <w:t>available for sale...........................................</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Net distributions from bank subsidiary..........................</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(2,921)</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937</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89,277</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Net investments in non-bank subsidiaries........................</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(19,046)</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(22,540)</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(166,247)</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Ocwen UK..................................</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122,101</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investment in Kensington Group plc........</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48,556</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Distributions from (investment in) unconsolidated entity........</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3,143</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(45,886)</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sales of securities available for sale............</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70,893</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Principal payments received on loans held for investment........</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2,119</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Principal payments received on discount loans...................</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10,207</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17,596</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sales of securities held for investment...........</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13,025</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Purchase of discount loans......................................</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(9,730)</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(8,788)</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(2,557)</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Increase in investment in real estate...........................</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(2,145)</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sales of loans held for investment................</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53,949</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Proceeds from real estate held for investment...................</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16,985</w:t>
            </w:r>
          </w:p>
        </w:tc>
      </w:tr>
      <w:tr>
        <w:trPr>
          <w:trHeight w:val="167"/>
        </w:trPr>
        <w:tc>
          <w:tcPr>
            <w:tcW w:w="634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(used) by financing activities................</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28,064</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111,425</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(5,308)</w:t>
            </w:r>
          </w:p>
        </w:tc>
      </w:tr>
      <w:tr>
        <w:trPr>
          <w:trHeight w:val="167"/>
        </w:trPr>
        <w:tc>
          <w:tcPr>
            <w:tcW w:w="634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Repurchase of notes and debentures..............................</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(3,361)</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(19,828)</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securities sold under agreements to</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340" w:type="dxa"/>
            <w:vAlign w:val="bottom"/>
          </w:tcPr>
          <w:p>
            <w:pPr>
              <w:ind w:left="700"/>
              <w:spacing w:after="0"/>
              <w:rPr>
                <w:sz w:val="20"/>
                <w:szCs w:val="20"/>
                <w:color w:val="auto"/>
              </w:rPr>
            </w:pPr>
            <w:r>
              <w:rPr>
                <w:rFonts w:ascii="Courier New" w:cs="Courier New" w:eastAsia="Courier New" w:hAnsi="Courier New"/>
                <w:sz w:val="14"/>
                <w:szCs w:val="14"/>
                <w:color w:val="auto"/>
              </w:rPr>
              <w:t>repurchase...................................................</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(3,075)</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Repayments of loans to executive officers, net..................</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763</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Exercise of common stock options................................</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7,931</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Issuance of shares of common stock..............................</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43</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7,828</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Repurchase of common stock options..............................</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(6,502)</w:t>
            </w:r>
          </w:p>
        </w:tc>
      </w:tr>
      <w:tr>
        <w:trPr>
          <w:trHeight w:val="167"/>
        </w:trPr>
        <w:tc>
          <w:tcPr>
            <w:tcW w:w="6340" w:type="dxa"/>
            <w:vAlign w:val="bottom"/>
          </w:tcPr>
          <w:p>
            <w:pPr>
              <w:ind w:left="440"/>
              <w:spacing w:after="0"/>
              <w:rPr>
                <w:sz w:val="20"/>
                <w:szCs w:val="20"/>
                <w:color w:val="auto"/>
              </w:rPr>
            </w:pPr>
            <w:r>
              <w:rPr>
                <w:rFonts w:ascii="Courier New" w:cs="Courier New" w:eastAsia="Courier New" w:hAnsi="Courier New"/>
                <w:sz w:val="14"/>
                <w:szCs w:val="14"/>
                <w:color w:val="auto"/>
              </w:rPr>
              <w:t>Repurchase of common stock......................................</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(8,996)</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(30,691)</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(7,772)</w:t>
            </w:r>
          </w:p>
        </w:tc>
      </w:tr>
      <w:tr>
        <w:trPr>
          <w:trHeight w:val="167"/>
        </w:trPr>
        <w:tc>
          <w:tcPr>
            <w:tcW w:w="634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Net cash (used) provided by investing activities.....................</w:t>
            </w:r>
          </w:p>
        </w:tc>
        <w:tc>
          <w:tcPr>
            <w:tcW w:w="7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(12,301)</w:t>
            </w:r>
          </w:p>
        </w:tc>
        <w:tc>
          <w:tcPr>
            <w:tcW w:w="4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(49,690)</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(1,590)</w:t>
            </w:r>
          </w:p>
        </w:tc>
      </w:tr>
      <w:tr>
        <w:trPr>
          <w:trHeight w:val="167"/>
        </w:trPr>
        <w:tc>
          <w:tcPr>
            <w:tcW w:w="634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7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13,528</w:t>
            </w:r>
          </w:p>
        </w:tc>
        <w:tc>
          <w:tcPr>
            <w:tcW w:w="480" w:type="dxa"/>
            <w:vAlign w:val="bottom"/>
          </w:tcPr>
          <w:p>
            <w:pPr>
              <w:spacing w:after="0"/>
              <w:rPr>
                <w:sz w:val="24"/>
                <w:szCs w:val="2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44,682</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(30,070)</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7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77,198</w:t>
            </w:r>
          </w:p>
        </w:tc>
        <w:tc>
          <w:tcPr>
            <w:tcW w:w="48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32,516</w:t>
            </w:r>
          </w:p>
        </w:tc>
        <w:tc>
          <w:tcPr>
            <w:tcW w:w="4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62,586</w:t>
            </w:r>
          </w:p>
        </w:tc>
      </w:tr>
      <w:tr>
        <w:trPr>
          <w:trHeight w:val="167"/>
        </w:trPr>
        <w:tc>
          <w:tcPr>
            <w:tcW w:w="634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90,726</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77,198</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32,516</w:t>
            </w:r>
          </w:p>
        </w:tc>
      </w:tr>
      <w:tr>
        <w:trPr>
          <w:trHeight w:val="167"/>
        </w:trPr>
        <w:tc>
          <w:tcPr>
            <w:tcW w:w="634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6340" w:type="dxa"/>
            <w:vAlign w:val="bottom"/>
          </w:tcPr>
          <w:p>
            <w:pPr>
              <w:ind w:left="3300"/>
              <w:spacing w:after="0"/>
              <w:rPr>
                <w:sz w:val="20"/>
                <w:szCs w:val="20"/>
                <w:color w:val="auto"/>
              </w:rPr>
            </w:pPr>
            <w:r>
              <w:rPr>
                <w:rFonts w:ascii="Courier New" w:cs="Courier New" w:eastAsia="Courier New" w:hAnsi="Courier New"/>
                <w:sz w:val="14"/>
                <w:szCs w:val="14"/>
                <w:color w:val="auto"/>
              </w:rPr>
              <w:t>118</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780"/>
          </w:cols>
          <w:pgMar w:left="220" w:top="453" w:right="899" w:bottom="1440" w:gutter="0" w:footer="0" w:header="0"/>
        </w:sectPr>
      </w:pPr>
    </w:p>
    <w:bookmarkStart w:id="147" w:name="page148"/>
    <w:bookmarkEnd w:id="147"/>
    <w:p>
      <w:pPr>
        <w:jc w:val="center"/>
        <w:ind w:right="390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8"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DECEMBER 31, 2000, 1999, AND 1998</w:t>
      </w:r>
    </w:p>
    <w:p>
      <w:pPr>
        <w:spacing w:after="0" w:line="8"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NOTE 35: QUARTERLY RESULTS OF OPERATIONS (UNAUDITED)</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8"/>
        </w:trPr>
        <w:tc>
          <w:tcPr>
            <w:tcW w:w="5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0" w:type="dxa"/>
            <w:vAlign w:val="bottom"/>
            <w:gridSpan w:val="3"/>
          </w:tcPr>
          <w:p>
            <w:pPr>
              <w:jc w:val="right"/>
              <w:ind w:right="928"/>
              <w:spacing w:after="0"/>
              <w:rPr>
                <w:sz w:val="20"/>
                <w:szCs w:val="20"/>
                <w:color w:val="auto"/>
              </w:rPr>
            </w:pPr>
            <w:r>
              <w:rPr>
                <w:rFonts w:ascii="Courier New" w:cs="Courier New" w:eastAsia="Courier New" w:hAnsi="Courier New"/>
                <w:sz w:val="14"/>
                <w:szCs w:val="14"/>
                <w:color w:val="auto"/>
              </w:rPr>
              <w:t>Quarters Ended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5080" w:type="dxa"/>
            <w:vAlign w:val="bottom"/>
          </w:tcPr>
          <w:p>
            <w:pPr>
              <w:spacing w:after="0"/>
              <w:rPr>
                <w:sz w:val="14"/>
                <w:szCs w:val="14"/>
                <w:color w:val="auto"/>
              </w:rPr>
            </w:pPr>
          </w:p>
        </w:tc>
        <w:tc>
          <w:tcPr>
            <w:tcW w:w="578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December 31,</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September 30,</w:t>
            </w:r>
          </w:p>
        </w:tc>
        <w:tc>
          <w:tcPr>
            <w:tcW w:w="400" w:type="dxa"/>
            <w:vAlign w:val="bottom"/>
          </w:tcPr>
          <w:p>
            <w:pPr>
              <w:spacing w:after="0"/>
              <w:rPr>
                <w:sz w:val="14"/>
                <w:szCs w:val="14"/>
                <w:color w:val="auto"/>
              </w:rPr>
            </w:pP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June 30,</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31,</w:t>
            </w:r>
          </w:p>
        </w:tc>
      </w:tr>
      <w:tr>
        <w:trPr>
          <w:trHeight w:val="167"/>
        </w:trPr>
        <w:tc>
          <w:tcPr>
            <w:tcW w:w="5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400" w:type="dxa"/>
            <w:vAlign w:val="bottom"/>
          </w:tcPr>
          <w:p>
            <w:pPr>
              <w:spacing w:after="0"/>
              <w:rPr>
                <w:sz w:val="14"/>
                <w:szCs w:val="14"/>
                <w:color w:val="auto"/>
              </w:rPr>
            </w:pP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0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40,984</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45,287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50,455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48,090</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(35,599)</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(44,433)</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(45,662)</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(43,396)</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(2,573)</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(6,861)</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(3,134)</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(2,609)</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5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2,812</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(6,007)</w:t>
            </w:r>
          </w:p>
        </w:tc>
        <w:tc>
          <w:tcPr>
            <w:tcW w:w="4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1,659</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2,085</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5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59,810</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49,536</w:t>
            </w:r>
          </w:p>
        </w:tc>
        <w:tc>
          <w:tcPr>
            <w:tcW w:w="4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37,234</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30,945</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(45,391)</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(44,700)</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(41,844)</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(38,074)</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Distributions on Capital Securities.....................</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(2,538)</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(2,730)</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(2,918)</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(3,194)</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Equity in losses of investments in</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unconsolidated entities..............................</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(893)</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(1,812)</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(2,260)</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(Loss) income before income taxes and extraordinary</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gain...............................................</w:t>
            </w:r>
          </w:p>
        </w:tc>
        <w:tc>
          <w:tcPr>
            <w:tcW w:w="5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14,409</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(4,794)</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(7,681)</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(10,498)</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Income taxes benefit (expense)..........................</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(15,079)</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1,486</w:t>
            </w:r>
          </w:p>
        </w:tc>
        <w:tc>
          <w:tcPr>
            <w:tcW w:w="4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2,381</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3,255</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Loss before extraordinary gain..........................</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(670)</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(3,308)</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(5,300)</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(7,243)</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Extraordinary gain on repurchase of debt, net of tax....</w:t>
            </w:r>
          </w:p>
        </w:tc>
        <w:tc>
          <w:tcPr>
            <w:tcW w:w="5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10,039</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2,628</w:t>
            </w:r>
          </w:p>
        </w:tc>
        <w:tc>
          <w:tcPr>
            <w:tcW w:w="4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3,901</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2,145</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9,369</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(680)</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(5,098)</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Basic................................................</w:t>
            </w:r>
          </w:p>
        </w:tc>
        <w:tc>
          <w:tcPr>
            <w:tcW w:w="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0.14</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0.07</w:t>
            </w:r>
          </w:p>
        </w:tc>
      </w:tr>
      <w:tr>
        <w:trPr>
          <w:trHeight w:val="167"/>
        </w:trPr>
        <w:tc>
          <w:tcPr>
            <w:tcW w:w="508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Diluted..............................................</w:t>
            </w:r>
          </w:p>
        </w:tc>
        <w:tc>
          <w:tcPr>
            <w:tcW w:w="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0.14</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0.07</w:t>
            </w:r>
          </w:p>
        </w:tc>
      </w:tr>
      <w:tr>
        <w:trPr>
          <w:trHeight w:val="167"/>
        </w:trPr>
        <w:tc>
          <w:tcPr>
            <w:tcW w:w="508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668"/>
        </w:trPr>
        <w:tc>
          <w:tcPr>
            <w:tcW w:w="5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0" w:type="dxa"/>
            <w:vAlign w:val="bottom"/>
            <w:gridSpan w:val="3"/>
          </w:tcPr>
          <w:p>
            <w:pPr>
              <w:jc w:val="right"/>
              <w:ind w:right="928"/>
              <w:spacing w:after="0"/>
              <w:rPr>
                <w:sz w:val="20"/>
                <w:szCs w:val="20"/>
                <w:color w:val="auto"/>
              </w:rPr>
            </w:pPr>
            <w:r>
              <w:rPr>
                <w:rFonts w:ascii="Courier New" w:cs="Courier New" w:eastAsia="Courier New" w:hAnsi="Courier New"/>
                <w:sz w:val="14"/>
                <w:szCs w:val="14"/>
                <w:color w:val="auto"/>
              </w:rPr>
              <w:t>Quarters Ended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5080" w:type="dxa"/>
            <w:vAlign w:val="bottom"/>
          </w:tcPr>
          <w:p>
            <w:pPr>
              <w:spacing w:after="0"/>
              <w:rPr>
                <w:sz w:val="14"/>
                <w:szCs w:val="14"/>
                <w:color w:val="auto"/>
              </w:rPr>
            </w:pPr>
          </w:p>
        </w:tc>
        <w:tc>
          <w:tcPr>
            <w:tcW w:w="578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December 31,</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September 30,</w:t>
            </w:r>
          </w:p>
        </w:tc>
        <w:tc>
          <w:tcPr>
            <w:tcW w:w="400" w:type="dxa"/>
            <w:vAlign w:val="bottom"/>
          </w:tcPr>
          <w:p>
            <w:pPr>
              <w:spacing w:after="0"/>
              <w:rPr>
                <w:sz w:val="14"/>
                <w:szCs w:val="14"/>
                <w:color w:val="auto"/>
              </w:rPr>
            </w:pP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June 30,</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31,</w:t>
            </w:r>
          </w:p>
        </w:tc>
      </w:tr>
      <w:tr>
        <w:trPr>
          <w:trHeight w:val="167"/>
        </w:trPr>
        <w:tc>
          <w:tcPr>
            <w:tcW w:w="5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c>
          <w:tcPr>
            <w:tcW w:w="400" w:type="dxa"/>
            <w:vAlign w:val="bottom"/>
          </w:tcPr>
          <w:p>
            <w:pPr>
              <w:spacing w:after="0"/>
              <w:rPr>
                <w:sz w:val="14"/>
                <w:szCs w:val="14"/>
                <w:color w:val="auto"/>
              </w:rPr>
            </w:pP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0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68,123</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56,019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63,547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65,535</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(42,119)</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(36,787)</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(37,838)</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(38,798)</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(1,522)</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(826)</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(623)</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(3,739)</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5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24,482</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18,406</w:t>
            </w:r>
          </w:p>
        </w:tc>
        <w:tc>
          <w:tcPr>
            <w:tcW w:w="4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25,086</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22,998</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5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11,771</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62,242</w:t>
            </w:r>
          </w:p>
        </w:tc>
        <w:tc>
          <w:tcPr>
            <w:tcW w:w="4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25,037</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45,592</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(42,789)</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(52,128)</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(48,010)</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(52,141)</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Distributions on Capital Securities.....................</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(2,915)</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(3,399)</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(3,398)</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(3,399)</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Equity in losses of investments in</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unconsolidated entities..............................</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(3,134)</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(4,768)</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(3,470)</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(1,244)</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(Loss) income before income taxes and extraordinary</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gain...............................................</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(12,585)</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20,353</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(4,755)</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11,806</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Income taxes benefit (expense)..........................</w:t>
            </w:r>
          </w:p>
        </w:tc>
        <w:tc>
          <w:tcPr>
            <w:tcW w:w="5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6,986</w:t>
            </w:r>
          </w:p>
        </w:tc>
        <w:tc>
          <w:tcPr>
            <w:tcW w:w="4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(8,199)</w:t>
            </w:r>
          </w:p>
        </w:tc>
        <w:tc>
          <w:tcPr>
            <w:tcW w:w="4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972</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(2,367)</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Minority interest in net loss of consolidated</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subsidiary..............................................</w:t>
            </w:r>
          </w:p>
        </w:tc>
        <w:tc>
          <w:tcPr>
            <w:tcW w:w="5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369</w:t>
            </w:r>
          </w:p>
        </w:tc>
        <w:tc>
          <w:tcPr>
            <w:tcW w:w="4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(Loss) income before extraordinary gain.................</w:t>
            </w:r>
          </w:p>
        </w:tc>
        <w:tc>
          <w:tcPr>
            <w:tcW w:w="5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(5,458)</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12,523</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(3,687)</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9,471</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Extraordinary gain on repurchase of debt, net of tax....</w:t>
            </w:r>
          </w:p>
        </w:tc>
        <w:tc>
          <w:tcPr>
            <w:tcW w:w="5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6,730</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253</w:t>
            </w:r>
          </w:p>
        </w:tc>
        <w:tc>
          <w:tcPr>
            <w:tcW w:w="4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12,776</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(3,687)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9,471</w:t>
            </w:r>
          </w:p>
        </w:tc>
      </w:tr>
      <w:tr>
        <w:trPr>
          <w:trHeight w:val="167"/>
        </w:trPr>
        <w:tc>
          <w:tcPr>
            <w:tcW w:w="5080" w:type="dxa"/>
            <w:vAlign w:val="bottom"/>
          </w:tcPr>
          <w:p>
            <w:pPr>
              <w:spacing w:after="0"/>
              <w:rPr>
                <w:sz w:val="14"/>
                <w:szCs w:val="14"/>
                <w:color w:val="auto"/>
              </w:rPr>
            </w:pP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Basic................................................</w:t>
            </w:r>
          </w:p>
        </w:tc>
        <w:tc>
          <w:tcPr>
            <w:tcW w:w="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0.16</w:t>
            </w:r>
          </w:p>
        </w:tc>
      </w:tr>
      <w:tr>
        <w:trPr>
          <w:trHeight w:val="167"/>
        </w:trPr>
        <w:tc>
          <w:tcPr>
            <w:tcW w:w="508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Diluted..............................................</w:t>
            </w:r>
          </w:p>
        </w:tc>
        <w:tc>
          <w:tcPr>
            <w:tcW w:w="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0.16</w:t>
            </w:r>
          </w:p>
        </w:tc>
      </w:tr>
      <w:tr>
        <w:trPr>
          <w:trHeight w:val="167"/>
        </w:trPr>
        <w:tc>
          <w:tcPr>
            <w:tcW w:w="508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501"/>
        </w:trPr>
        <w:tc>
          <w:tcPr>
            <w:tcW w:w="5080" w:type="dxa"/>
            <w:vAlign w:val="bottom"/>
          </w:tcPr>
          <w:p>
            <w:pPr>
              <w:ind w:left="3300"/>
              <w:spacing w:after="0"/>
              <w:rPr>
                <w:sz w:val="20"/>
                <w:szCs w:val="20"/>
                <w:color w:val="auto"/>
              </w:rPr>
            </w:pPr>
            <w:r>
              <w:rPr>
                <w:rFonts w:ascii="Courier New" w:cs="Courier New" w:eastAsia="Courier New" w:hAnsi="Courier New"/>
                <w:sz w:val="14"/>
                <w:szCs w:val="14"/>
                <w:color w:val="auto"/>
              </w:rPr>
              <w:t>119</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860"/>
          </w:cols>
          <w:pgMar w:left="220" w:top="453" w:right="819"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4"/>
          <w:szCs w:val="14"/>
          <w:color w:val="auto"/>
        </w:rPr>
        <w:t>SHAREHOLDER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RANGE OF THE COMPANY'S COMMON STOCK</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Company's common stock is traded under the symbol "OCN" on the New York Stock Exchange ("NYSE"). The following table sets forth for the high and low sales prices for the common stock, as traded on the NYSE: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High</w:t>
            </w:r>
          </w:p>
        </w:tc>
        <w:tc>
          <w:tcPr>
            <w:tcW w:w="38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7.69</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9.56</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8.44</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5.81</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7.44</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5.56</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5.25</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8.63</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5.44</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6.88</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5.44</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6.44</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4.50</w:t>
            </w:r>
          </w:p>
        </w:tc>
      </w:tr>
    </w:tbl>
    <w:p>
      <w:pPr>
        <w:spacing w:after="0" w:line="338"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At the close of business on March 9, 2001, the Company's common stock price was $9.47.</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does not currently pay cash dividends on common stock and has no current plans to do so in the future. The timing and amount of future dividends, if any, will be determined by the Board of Directors of the Company and will depend, among other factors, upon the Company's earnings, financial condition, cash requirements, the capital requirements of the Bank and other subsidiaries and investment opportunities at the time any such payment is considered. In addition, the indentures relating to the Notes and the Junior Subordinated Debentures contain certain limitations on the payment of dividends by the Company.</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As a holding company, the payment of any dividends by the Company will be significantly dependent on dividends and other payments received by the Company from its subsidiaries, including the Bank. For a description of limitations on the ability of the Company to pay dividends on the common stock and on the ability of the Bank to pay dividends on its capital stock to the Company, see Notes 21, 22 and 28 to the Consolidated Financial Statements.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HOLDERS OF COMMON STOCK</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At March 9, 2001, 67,152,363 shares of Company common stock were outstanding and held by approximately 1,283 holders of record. Such number of stockholders does not reflect the number of individuals or institutional investors holding stock in nominee name through banks, brokerage firms and others.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0239"/>
          </w:cols>
          <w:pgMar w:left="220" w:top="453" w:right="1440" w:bottom="1440" w:gutter="0" w:footer="0" w:header="0"/>
        </w:sectPr>
      </w:pPr>
    </w:p>
    <w:bookmarkStart w:id="149" w:name="page150"/>
    <w:bookmarkEnd w:id="149"/>
    <w:p>
      <w:pPr>
        <w:jc w:val="right"/>
        <w:ind w:right="3279"/>
        <w:spacing w:after="0"/>
        <w:rPr>
          <w:sz w:val="20"/>
          <w:szCs w:val="20"/>
          <w:color w:val="auto"/>
        </w:rPr>
      </w:pPr>
      <w:r>
        <w:rPr>
          <w:rFonts w:ascii="Courier New" w:cs="Courier New" w:eastAsia="Courier New" w:hAnsi="Courier New"/>
          <w:sz w:val="14"/>
          <w:szCs w:val="14"/>
          <w:color w:val="auto"/>
        </w:rPr>
        <w:t>EXHIBIT 10.9</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SEPARATION AGREEMENT AND FULL RELEASE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This Separation Agreement and Full Release (the "Agreement") dated as of February 28, 2001 by and between Christine A. Reich ("Reich") and Ocwen Federal Bank FSB, its parent company, subsidiaries and affiliates, including without limitation Ocwen Financial Corporation, its subsidiaries and affiliates (collectively,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rPr>
              <w:t>In consideration</w:t>
            </w: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the mutual covenants</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agreements contained</w:t>
            </w:r>
          </w:p>
        </w:tc>
      </w:tr>
      <w:tr>
        <w:trPr>
          <w:trHeight w:val="167"/>
        </w:trPr>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rPr>
              <w:t>herein and other good and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valuable</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consideration,</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receipt and sufficiency of</w:t>
            </w:r>
          </w:p>
        </w:tc>
      </w:tr>
      <w:tr>
        <w:trPr>
          <w:trHeight w:val="167"/>
        </w:trPr>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which are hereby acknowledged, the</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parties hereto</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 as follows:</w:t>
            </w:r>
          </w:p>
        </w:tc>
      </w:tr>
    </w:tbl>
    <w:p>
      <w:pPr>
        <w:spacing w:after="0" w:line="171" w:lineRule="exact"/>
        <w:rPr>
          <w:sz w:val="20"/>
          <w:szCs w:val="20"/>
          <w:color w:val="auto"/>
        </w:rPr>
      </w:pPr>
    </w:p>
    <w:p>
      <w:pPr>
        <w:ind w:left="1580" w:right="3379" w:hanging="790"/>
        <w:spacing w:after="0" w:line="253" w:lineRule="auto"/>
        <w:tabs>
          <w:tab w:leader="none" w:pos="15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Reich's employment with the Company will end effective March 1, 2001 (the "Separation Date"). Thereafter, Reich will serve as a consultant to the Company subject to termination at any time by either Reich or the Company (the "Consulting Termination Date"), but in any event no later than May 16, 2001. Ocwen shall pay to Reich by check the sum of $12,307.69 every two weeks commencing March 16, 2001 and ending 52 weeks after the Consulting Termination Date.</w:t>
      </w:r>
    </w:p>
    <w:p>
      <w:pPr>
        <w:spacing w:after="0" w:line="164"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the Consulting Termination Date, the Company and Reich shall enter into the Amended and Restated Non-Qualified Option Agreements in the form of Exhibits A through D attached hereto and incorporated herein by reference (the "Amended Option Agreements").</w:t>
      </w:r>
    </w:p>
    <w:p>
      <w:pPr>
        <w:spacing w:after="0" w:line="162"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for the payments set forth above, Reich hereby (i) waives any and all rights to salary, incentive compensation and benefits, whether earned or unearned, and whether due or to become due, from the Company; (ii) agrees that the Amended Option Agreements set forth the full and complete agreement between Reich and the Company regarding any and all right to acquire stock or securities of the Company (via options or otherwise); and (iii) fully and forever releases and discharges from liability, and covenants not to sue, the Company and its affiliates (including parent and subsidiary companies), officers, directors, managers, counsel and agents and representatives of any sort, both present and former, for any and all claims, damages, actions and causes of action, in law or in equity, of every nature which Reich may ever have had, now has or may in the future have which are known or may subsequently be discovered by Reich arising out of, or in connection with or related to Reich's employment with the Company and/or separation from employment with the Company (including as relates to her employment as a consultant to the Company), including but not limited to any contracts, agreements and promises, written and oral; any and all claims of discrimination on account of sex, race, age, disability, handicap, national origin, religion, veteran status, marital status or sexual orientation and claims or causes of action based upon any equal opportunity laws, ordinances, regulations or orders including, but not limited to, Title VII of the Civil Rights Act of 1964, the Age Discrimination in Employment Act, Executive Order 11246, The Americans with Disabilities Act, The Rehabilitation Act and any applicable state or local antidiscrimination statutes; claims for wrongful termination actions of any type; breach of express or implied covenant of good faith and fair dealing; intentional or negligent infliction of emotional distress;</w:t>
      </w:r>
    </w:p>
    <w:p>
      <w:pPr>
        <w:spacing w:after="0" w:line="17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intentional or negligent failure to supervise, train, hire or dismiss; and claims for fraud, misrepresentation, libel, slander or invasion of privacy. Reich agrees that she will not file any claim or join in any claim as an individual or a member of a class in any federal, state or local court or agency in regards to claims of herself or others relating to her employment with the Company or her knowledge gained during the course of that employment. Nothing in this paragraph is intended to limit in any way the Company's responsibility to indemnify Reich for actions taken prior to the Consulting Termination Date in accordance with the Florida Business Corporation Act.</w:t>
      </w:r>
    </w:p>
    <w:p>
      <w:pPr>
        <w:spacing w:after="0" w:line="331" w:lineRule="exact"/>
        <w:rPr>
          <w:sz w:val="20"/>
          <w:szCs w:val="20"/>
          <w:color w:val="auto"/>
        </w:rPr>
      </w:pPr>
    </w:p>
    <w:p>
      <w:pPr>
        <w:ind w:left="1580" w:right="3279" w:hanging="790"/>
        <w:spacing w:after="0" w:line="252" w:lineRule="auto"/>
        <w:tabs>
          <w:tab w:leader="none" w:pos="15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Reich further agrees and covenants that Reich has not and will not remove from the Company premises any item belonging to the Company and its affiliates, including office equipment, files, business records or correspondence, customer lists, computer data and proprietary or confidential information ("Information") and that Reich has not and will not disclose or use any Information and/or trade secrets of the Company and its affiliates. Reich agrees to keep all such Information confidential and not disclose or use the Information for any purpose, or divulge or disclose that Information to any person other than Employees of the Company. Reich acknowledges and agrees that nothing in the preceding sentence shall be interpreted or construed as creating or establishing the relationship of employer and employee between Company and Reich during the period in which Reich serves as a consultant</w:t>
      </w:r>
    </w:p>
    <w:p>
      <w:pPr>
        <w:sectPr>
          <w:pgSz w:w="11900" w:h="16838" w:orient="portrait"/>
          <w:cols w:equalWidth="0" w:num="1">
            <w:col w:w="10239"/>
          </w:cols>
          <w:pgMar w:left="220" w:top="308" w:right="1440" w:bottom="0" w:gutter="0" w:footer="0" w:header="0"/>
        </w:sectPr>
      </w:pPr>
    </w:p>
    <w:bookmarkStart w:id="150" w:name="page151"/>
    <w:bookmarkEnd w:id="150"/>
    <w:p>
      <w:pPr>
        <w:ind w:left="790"/>
        <w:spacing w:after="0"/>
        <w:rPr>
          <w:sz w:val="20"/>
          <w:szCs w:val="20"/>
          <w:color w:val="auto"/>
        </w:rPr>
      </w:pPr>
      <w:r>
        <w:rPr>
          <w:rFonts w:ascii="Courier New" w:cs="Courier New" w:eastAsia="Courier New" w:hAnsi="Courier New"/>
          <w:sz w:val="14"/>
          <w:szCs w:val="14"/>
          <w:color w:val="auto"/>
        </w:rPr>
        <w:t>to the Company.</w:t>
      </w:r>
    </w:p>
    <w:p>
      <w:pPr>
        <w:spacing w:after="0" w:line="175" w:lineRule="exact"/>
        <w:rPr>
          <w:sz w:val="20"/>
          <w:szCs w:val="20"/>
          <w:color w:val="auto"/>
        </w:rPr>
      </w:pPr>
    </w:p>
    <w:p>
      <w:pPr>
        <w:ind w:left="790" w:right="3379" w:hanging="790"/>
        <w:spacing w:after="0" w:line="253" w:lineRule="auto"/>
        <w:tabs>
          <w:tab w:leader="none" w:pos="79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Reich acknowledges that during the term of her employment she has been provided access to confidential information and Company's clients, customers and others with whom Company has formed valuable business arrangements. Reich agrees that during the period in which she serves as a consultant to the Company and for a period of eighteen (18) months from the Consulting Termination Date she will not</w:t>
      </w:r>
    </w:p>
    <w:p>
      <w:pPr>
        <w:spacing w:after="0" w:line="165" w:lineRule="exact"/>
        <w:rPr>
          <w:sz w:val="20"/>
          <w:szCs w:val="20"/>
          <w:color w:val="auto"/>
        </w:rPr>
      </w:pPr>
    </w:p>
    <w:p>
      <w:pPr>
        <w:ind w:left="790" w:right="3279" w:hanging="790"/>
        <w:spacing w:after="0" w:line="254" w:lineRule="auto"/>
        <w:tabs>
          <w:tab w:leader="none" w:pos="79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that would interfere with, diminish or impair the valuable relationships that Company and/or Company's Affiliates have with its or their customers and clients and others with which Company and/or the Company's Affiliates have business relationships or to which services are rendered;</w:t>
      </w:r>
    </w:p>
    <w:p>
      <w:pPr>
        <w:spacing w:after="0" w:line="162" w:lineRule="exact"/>
        <w:rPr>
          <w:rFonts w:ascii="Courier New" w:cs="Courier New" w:eastAsia="Courier New" w:hAnsi="Courier New"/>
          <w:sz w:val="14"/>
          <w:szCs w:val="14"/>
          <w:color w:val="auto"/>
        </w:rPr>
      </w:pPr>
    </w:p>
    <w:p>
      <w:pPr>
        <w:ind w:left="790" w:right="3379" w:hanging="790"/>
        <w:spacing w:after="0" w:line="253" w:lineRule="auto"/>
        <w:tabs>
          <w:tab w:leader="none" w:pos="79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Recruit or otherwise solicit or induce any person (natural or otherwise) who is or becomes an employee or consultant of Company or the Company's Affiliates to terminate his or her employment with, or otherwise cease his or her relationship with, Company or Company's Affiliates or hire any such employee or consultant who has left the employ of the Company or the Company's Affiliates within two (2) years after the termination or expiration of such employee's or consultant's employment with the Company or the Company's Affiliates, as the case may be; or</w:t>
      </w:r>
    </w:p>
    <w:p>
      <w:pPr>
        <w:spacing w:after="0" w:line="164" w:lineRule="exact"/>
        <w:rPr>
          <w:rFonts w:ascii="Courier New" w:cs="Courier New" w:eastAsia="Courier New" w:hAnsi="Courier New"/>
          <w:sz w:val="14"/>
          <w:szCs w:val="14"/>
          <w:color w:val="auto"/>
        </w:rPr>
      </w:pPr>
    </w:p>
    <w:p>
      <w:pPr>
        <w:ind w:left="790" w:hanging="790"/>
        <w:spacing w:after="0"/>
        <w:tabs>
          <w:tab w:leader="none" w:pos="79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with others in engaging in any of the foregoing.</w:t>
      </w:r>
    </w:p>
    <w:p>
      <w:pPr>
        <w:spacing w:after="0" w:line="175" w:lineRule="exact"/>
        <w:rPr>
          <w:sz w:val="20"/>
          <w:szCs w:val="20"/>
          <w:color w:val="auto"/>
        </w:rPr>
      </w:pPr>
    </w:p>
    <w:p>
      <w:pPr>
        <w:ind w:left="790" w:right="3279" w:hanging="790"/>
        <w:spacing w:after="0" w:line="253" w:lineRule="auto"/>
        <w:tabs>
          <w:tab w:leader="none" w:pos="79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Reich shall not, either directly or indirectly, disclose, discuss or communicate to any entity or person, except her attorney and/or her immediate family, any information whatsoever regarding the existence or terms of this Agreement, its nature or scope or the negotiations leading to it, unless she is compelled to disclose such information pursuant to legal process, and then only after reasonable notice to the Company. Reich shall not take any action or make any statement which might tend to impugn, disparage, defame, discredit or detract from the Company, its officers, employees (past or present) or businesses. Reich shall be responsible for assuring that her family complies with the nondisclosure commitments of this section. A breach by Reich's family will be considered a breach by Reich. The Company agrees not to</w:t>
      </w:r>
    </w:p>
    <w:p>
      <w:pPr>
        <w:spacing w:after="0" w:line="163"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449"/>
          </w:cols>
          <w:pgMar w:left="1010" w:top="141" w:right="1440" w:bottom="1440" w:gutter="0" w:footer="0" w:header="0"/>
        </w:sectPr>
      </w:pPr>
    </w:p>
    <w:bookmarkStart w:id="151" w:name="page152"/>
    <w:bookmarkEnd w:id="151"/>
    <w:p>
      <w:pPr>
        <w:ind w:left="790" w:right="3379"/>
        <w:spacing w:after="0" w:line="253" w:lineRule="auto"/>
        <w:rPr>
          <w:sz w:val="20"/>
          <w:szCs w:val="20"/>
          <w:color w:val="auto"/>
        </w:rPr>
      </w:pPr>
      <w:r>
        <w:rPr>
          <w:rFonts w:ascii="Courier New" w:cs="Courier New" w:eastAsia="Courier New" w:hAnsi="Courier New"/>
          <w:sz w:val="14"/>
          <w:szCs w:val="14"/>
          <w:color w:val="auto"/>
        </w:rPr>
        <w:t>disclose or discuss the existence of this Agreement or any of the terms hereof, its nature or its scope with any person other than attorneys for the Company and officers, directors and management employees of the Company who have a legitimate need to know in order to maintain compliance with this Agreement, unless the Company is compelled to disclose such information pursuant to legal process.</w:t>
      </w:r>
    </w:p>
    <w:p>
      <w:pPr>
        <w:spacing w:after="0" w:line="165" w:lineRule="exact"/>
        <w:rPr>
          <w:sz w:val="20"/>
          <w:szCs w:val="20"/>
          <w:color w:val="auto"/>
        </w:rPr>
      </w:pPr>
    </w:p>
    <w:p>
      <w:pPr>
        <w:ind w:left="790" w:right="3279" w:hanging="790"/>
        <w:spacing w:after="0" w:line="253" w:lineRule="auto"/>
        <w:tabs>
          <w:tab w:leader="none" w:pos="79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Reich shall fully cooperate with the Company and, upon reasonable notice, furnish such information and assistance to the Company, at Company's expense, as may be required by the Company in connection with the Company's defense or pursuit of any litigation, administrative action or investigation in which the Company or any of its subsidiaries, parent companies or affiliates is or hereafter becomes a party. Reich affirms that she has made no agreements, promises, representations, express or implied, oral or written, or offered any inducements on behalf of the Company that are not expressly included in any contracts executed by the Company.</w:t>
      </w:r>
    </w:p>
    <w:p>
      <w:pPr>
        <w:spacing w:after="0" w:line="163" w:lineRule="exact"/>
        <w:rPr>
          <w:rFonts w:ascii="Courier New" w:cs="Courier New" w:eastAsia="Courier New" w:hAnsi="Courier New"/>
          <w:sz w:val="14"/>
          <w:szCs w:val="14"/>
          <w:color w:val="auto"/>
        </w:rPr>
      </w:pPr>
    </w:p>
    <w:p>
      <w:pPr>
        <w:ind w:left="790" w:right="3279" w:hanging="790"/>
        <w:spacing w:after="0" w:line="253" w:lineRule="auto"/>
        <w:tabs>
          <w:tab w:leader="none" w:pos="79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Violation of any provision of this Agreement by Reich will entitle the Company, in addition to and not in limitation of any and all other remedies available to the Company at law or in equity, upon proper showing, (a) to reimbursement of all monies paid to Reich pursuant to Paragraph 2 of this Agreement, and (b) to payment by Reich of the gain in value of the Company's common stock received pursuant to the Amended Option Agreement, or if the options have not yet been exercised, the termination of the Amended Option Agreements. Violation of any provision of this Agreement by others who have learned the information from Reich will subject Reich to an action for breach of the Agreement.</w:t>
      </w:r>
    </w:p>
    <w:p>
      <w:pPr>
        <w:spacing w:after="0" w:line="330" w:lineRule="exact"/>
        <w:rPr>
          <w:rFonts w:ascii="Courier New" w:cs="Courier New" w:eastAsia="Courier New" w:hAnsi="Courier New"/>
          <w:sz w:val="14"/>
          <w:szCs w:val="14"/>
          <w:color w:val="auto"/>
        </w:rPr>
      </w:pPr>
    </w:p>
    <w:p>
      <w:pPr>
        <w:ind w:left="790" w:right="3279" w:hanging="790"/>
        <w:spacing w:after="0" w:line="253" w:lineRule="auto"/>
        <w:tabs>
          <w:tab w:leader="none" w:pos="79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dispute with respect to this Agreement or Reich's employment with the Company shall be decided by arbitration, in the City of West Palm Beach, Florida, pursuant to the rules of the American Arbitration Association then in effect. Florida law shall apply to every aspect of this Agreement, including but not limited to the interpretation, application and enforcement of the terms of this Agreement.</w:t>
      </w:r>
    </w:p>
    <w:p>
      <w:pPr>
        <w:spacing w:after="0" w:line="164" w:lineRule="exact"/>
        <w:rPr>
          <w:rFonts w:ascii="Courier New" w:cs="Courier New" w:eastAsia="Courier New" w:hAnsi="Courier New"/>
          <w:sz w:val="14"/>
          <w:szCs w:val="14"/>
          <w:color w:val="auto"/>
        </w:rPr>
      </w:pPr>
    </w:p>
    <w:p>
      <w:pPr>
        <w:ind w:left="790" w:right="3279" w:hanging="790"/>
        <w:spacing w:after="0" w:line="253" w:lineRule="auto"/>
        <w:tabs>
          <w:tab w:leader="none" w:pos="79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this Agreement sets forth all the promises and agreements between them and supersedes all prior and contemporaneous agreements, understandings, inducements or conditions, express or implied, oral or written, except as contained herein. Notwithstanding any other term herein, Reich acknowledges and reaffirms her obligations in the Employee Intellectual Property Agreement and understands that those obligations remain effective following her separation from the Company.</w:t>
      </w:r>
    </w:p>
    <w:p>
      <w:pPr>
        <w:spacing w:after="0" w:line="164" w:lineRule="exact"/>
        <w:rPr>
          <w:rFonts w:ascii="Courier New" w:cs="Courier New" w:eastAsia="Courier New" w:hAnsi="Courier New"/>
          <w:sz w:val="14"/>
          <w:szCs w:val="14"/>
          <w:color w:val="auto"/>
        </w:rPr>
      </w:pPr>
    </w:p>
    <w:p>
      <w:pPr>
        <w:ind w:left="790" w:right="3279" w:hanging="790"/>
        <w:spacing w:after="0" w:line="253" w:lineRule="auto"/>
        <w:tabs>
          <w:tab w:leader="none" w:pos="79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parties acknowledge that they have had the opportunity to freely consult, if they so desire, with attorneys of their own choosing prior to signing this document regarding the contents and consequences of this document. The parties understand that the payment and other matters agreed to herein are not to be construed as an admission of or evidence of liability for any violation of the law, willful or otherwise, by any person or entity.</w:t>
      </w:r>
    </w:p>
    <w:p>
      <w:pPr>
        <w:spacing w:after="0" w:line="164" w:lineRule="exact"/>
        <w:rPr>
          <w:rFonts w:ascii="Courier New" w:cs="Courier New" w:eastAsia="Courier New" w:hAnsi="Courier New"/>
          <w:sz w:val="14"/>
          <w:szCs w:val="14"/>
          <w:color w:val="auto"/>
        </w:rPr>
      </w:pPr>
    </w:p>
    <w:p>
      <w:pPr>
        <w:ind w:left="790" w:right="3279" w:hanging="790"/>
        <w:spacing w:after="0" w:line="253" w:lineRule="auto"/>
        <w:tabs>
          <w:tab w:leader="none" w:pos="79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Reich acknowledges that she has had the opportunity to request and receive from the Company any information she needs in order to make a knowing and voluntary release of all claims and that she has had a sufficient time to consider the consequences of this Agreement and understands each of the statements in this Agreement.</w:t>
      </w:r>
    </w:p>
    <w:p>
      <w:pPr>
        <w:spacing w:after="0" w:line="165"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449"/>
          </w:cols>
          <w:pgMar w:left="1010" w:top="620" w:right="1440" w:bottom="1440" w:gutter="0" w:footer="0" w:header="0"/>
        </w:sectPr>
      </w:pPr>
    </w:p>
    <w:bookmarkStart w:id="152" w:name="page153"/>
    <w:bookmarkEnd w:id="152"/>
    <w:p>
      <w:pPr>
        <w:ind w:right="3279"/>
        <w:spacing w:after="0" w:line="258" w:lineRule="auto"/>
        <w:rPr>
          <w:sz w:val="20"/>
          <w:szCs w:val="20"/>
          <w:color w:val="auto"/>
        </w:rPr>
      </w:pPr>
      <w:r>
        <w:rPr>
          <w:rFonts w:ascii="Courier New" w:cs="Courier New" w:eastAsia="Courier New" w:hAnsi="Courier New"/>
          <w:sz w:val="14"/>
          <w:szCs w:val="14"/>
          <w:color w:val="auto"/>
        </w:rPr>
        <w:t>IN WITNESS WHEREOF, the parties hereby voluntarily and knowingly enter into this unconditional Separation Agreement and Full Release.</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OCWEN FEDERAL BANK FSB</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 CHRISTINE A. REICH</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Christine A. Reich</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line="505" w:lineRule="auto"/>
        <w:rPr>
          <w:sz w:val="20"/>
          <w:szCs w:val="20"/>
          <w:color w:val="auto"/>
        </w:rPr>
      </w:pPr>
      <w:r>
        <w:rPr>
          <w:rFonts w:ascii="Courier New" w:cs="Courier New" w:eastAsia="Courier New" w:hAnsi="Courier New"/>
          <w:sz w:val="14"/>
          <w:szCs w:val="14"/>
          <w:color w:val="auto"/>
        </w:rPr>
        <w:t>STATE OF FLORIDA COUNTY OF PALM BEACH</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6" w:lineRule="exact"/>
        <w:rPr>
          <w:sz w:val="20"/>
          <w:szCs w:val="20"/>
          <w:color w:val="auto"/>
        </w:rPr>
      </w:pPr>
    </w:p>
    <w:p>
      <w:pPr>
        <w:sectPr>
          <w:pgSz w:w="11900" w:h="16838" w:orient="portrait"/>
          <w:cols w:equalWidth="0" w:num="2">
            <w:col w:w="1740" w:space="620"/>
            <w:col w:w="7879"/>
          </w:cols>
          <w:pgMar w:left="220" w:top="620" w:right="1440" w:bottom="1440" w:gutter="0" w:footer="0" w:header="0"/>
          <w:type w:val="continuous"/>
        </w:sect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I hereby certify that on this __ day of March, 2001 personally appeared Christine A. Reich, who is personally known to me, or who produced the following as identification ___________________, and who acknowledged before me that she executed the foregoing document as her free act and deed.</w:t>
      </w:r>
    </w:p>
    <w:p>
      <w:pPr>
        <w:spacing w:after="0" w:line="163"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In Witness Whereof, I have hereunto set my hand and seal in the State and County aforesaid as of this __ day of March, 2001.</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Notary Public Signature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Printed or Typed Name of Notary</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type w:val="continuous"/>
        </w:sectPr>
      </w:pPr>
    </w:p>
    <w:bookmarkStart w:id="153" w:name="page154"/>
    <w:bookmarkEnd w:id="153"/>
    <w:p>
      <w:pPr>
        <w:jc w:val="right"/>
        <w:ind w:right="3279"/>
        <w:spacing w:after="0"/>
        <w:rPr>
          <w:sz w:val="20"/>
          <w:szCs w:val="20"/>
          <w:color w:val="auto"/>
        </w:rPr>
      </w:pPr>
      <w:r>
        <w:rPr>
          <w:rFonts w:ascii="Courier New" w:cs="Courier New" w:eastAsia="Courier New" w:hAnsi="Courier New"/>
          <w:sz w:val="14"/>
          <w:szCs w:val="14"/>
          <w:color w:val="auto"/>
        </w:rPr>
        <w:t>EXHIBIT A</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AMENDED AND RESTATED NON-QUALIFIED STOCK OPTION AGREEMENT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AMENDED AND RESTATED NON-QUALIFIED STOCK OPTION AGREEMENT made in the City of West Palm Beach, Florida as of January 31, 1998, between OCWEN FINANCIAL CORPORATION, a Florida corporation (the "Corporation"), and Christine A. Reich, an employee of the Corporation or of a subsidiary (the "Employee").</w:t>
      </w:r>
    </w:p>
    <w:p>
      <w:pPr>
        <w:spacing w:after="0" w:line="16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As of January 31, 1998 the Corporation and the Employee entered into a Non-Qualified Stock Option Agreement (the "Original Agreement") regarding the Option (as defined therein) to purchase 147,348 shares of the Corporation's common stock, par value $.01 per share ("Stock"). A copy of the Original Agreement is attached hereto as Exhibit 1.</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parties have entered into that Separation Agreement and Full Release dated February 28, 2001 (the "Separation Agreement") which sets forth the terms and conditions by which Employee separated from employment with the Corporation.</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Corporation and the Employee desire hereby to amend and restate the Original Agreement in its entirety to provide, INTER ALIA, for the Options to vest pursuant to the terms and conditions hereof.</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hereinafter set forth and for other good and valuable consideration, and intending to be legally bond hereby, the parties hereto have agreed, and do hereby agree, as follows:</w:t>
      </w:r>
    </w:p>
    <w:p>
      <w:pPr>
        <w:spacing w:after="0" w:line="162" w:lineRule="exact"/>
        <w:rPr>
          <w:sz w:val="20"/>
          <w:szCs w:val="20"/>
          <w:color w:val="auto"/>
        </w:rPr>
      </w:pPr>
    </w:p>
    <w:p>
      <w:pPr>
        <w:ind w:left="800" w:hanging="791"/>
        <w:spacing w:after="0"/>
        <w:tabs>
          <w:tab w:leader="none" w:pos="8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GRANT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Corporation hereby grants to the Employee, pursuant to and subject to the 1991 Plan, the right and option (the "Option") to purchase all or any part of an aggregate of 147,348 shares of Stock from the Corporation for a purchase price of $20.35 per share, on the terms and conditions herein set forth.</w:t>
      </w:r>
    </w:p>
    <w:p>
      <w:pPr>
        <w:spacing w:after="0" w:line="163" w:lineRule="exact"/>
        <w:rPr>
          <w:sz w:val="20"/>
          <w:szCs w:val="20"/>
          <w:color w:val="auto"/>
        </w:rPr>
      </w:pPr>
    </w:p>
    <w:p>
      <w:pPr>
        <w:ind w:left="800" w:hanging="791"/>
        <w:spacing w:after="0"/>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term of the Option shall begin on the date of this Agreement and will continue until the date which is 18 months from the Consulting Termination Date, as such term is defined in the Separation Agreement, unless the Option is earlier terminated under the terms of paragraph 5 hereof.</w:t>
      </w:r>
    </w:p>
    <w:p>
      <w:pPr>
        <w:spacing w:after="0" w:line="163" w:lineRule="exact"/>
        <w:rPr>
          <w:sz w:val="20"/>
          <w:szCs w:val="20"/>
          <w:color w:val="auto"/>
        </w:rPr>
      </w:pPr>
    </w:p>
    <w:p>
      <w:pPr>
        <w:ind w:left="800" w:hanging="791"/>
        <w:spacing w:after="0"/>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Option will be exercisable in whole or in part after the commencement of the second year of the term of the Option and thereafter may, subject to the terms and conditions of this Agreement, be exercised in whole or in part at any time before it terminates. In no case may the Option be exercised as to less than 50 shares at any one time (or the remaining shares then purchasable under the Option, if less than 50 shares). During the Employee's lifetime, the Option may be exercised only by him/her or his/her guardian or legal representative. The Employee shall have none of the rights of a stockholder with respect to any of the shares of the Stock subject to the option until such shares shall be issued in his/her name or the name of his/her designee following the exercise of the Option.</w:t>
      </w:r>
    </w:p>
    <w:p>
      <w:pPr>
        <w:spacing w:after="0" w:line="331" w:lineRule="exact"/>
        <w:rPr>
          <w:sz w:val="20"/>
          <w:szCs w:val="20"/>
          <w:color w:val="auto"/>
        </w:rPr>
      </w:pPr>
    </w:p>
    <w:p>
      <w:pPr>
        <w:ind w:left="800" w:hanging="791"/>
        <w:spacing w:after="0"/>
        <w:tabs>
          <w:tab w:leader="none" w:pos="8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OPTION EXERCISE</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 Subject to the terms and conditions of this Agreement, the Option may be exercised by written notice to the Corporation at its Executive Offices attention of the Secretary. Such notice shall state the election to exercise the Option, shall state the number of shares in respect of which it is being exercised (the "Purchased Shares") and shall be signed by the person or persons so exercising the Option. Such notice shall be accompanied by (i) a personal check payable to the order of the Corporation for payment of the full purchase price of the Purchased Shares, (ii) delivery to the Corporation of the number of shares of Stock duly endorsed for transfer and owned by the Employee which have an aggregate Fair Value equal to the aggregate purchase price of the Purchased Shares or (iii) payment therefor made in such other manner as may be acceptable to the Corporation on such terms as may be determined by the Committee. "Fair Value" shall mean the book value of the Stock as determined by the Committee pursuant to the 1991 Plan. In addition to and at the time of payment of the purchase price, the person exercising the Option shall pay to the Corporation the full amount of any federal and state withholding or other taxes applicable to the taxable income of such person resulting from such exercise in cash unless the Committee in its sole discretion shall permit such taxes to be paid in Stock.</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154" w:name="page155"/>
    <w:bookmarkEnd w:id="154"/>
    <w:p>
      <w:pPr>
        <w:ind w:right="3279"/>
        <w:spacing w:after="0" w:line="253" w:lineRule="auto"/>
        <w:rPr>
          <w:sz w:val="20"/>
          <w:szCs w:val="20"/>
          <w:color w:val="auto"/>
        </w:rPr>
      </w:pPr>
      <w:r>
        <w:rPr>
          <w:rFonts w:ascii="Courier New" w:cs="Courier New" w:eastAsia="Courier New" w:hAnsi="Courier New"/>
          <w:sz w:val="14"/>
          <w:szCs w:val="14"/>
          <w:color w:val="auto"/>
        </w:rPr>
        <w:t>B. The Corporation shall deliver a certificate or certificates representing said shares as soon as practicable after receipt of the notice and all required payments by the person or persons exercising the Option as provided in paragraph 4A. hereof. The certificate or certificates for the shares as to which the Option have been so exercised shall not be registered until at least five business days after the date of the exercise of the Option. Unless the person or persons exercising the Option shall otherwise direct the Corporation in writing, such certificate or certificates for the shares shall be registered in the name of the person or persons so exercising the Option and shall be delivered as aforesaid to or upon the written order of the person or persons exercising the Option.</w:t>
      </w:r>
    </w:p>
    <w:p>
      <w:pPr>
        <w:spacing w:after="0" w:line="331"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 In the event the Option shall be exercised, pursuant to paragraphs 3 and 5 hereof, by any person or persons other than the Employee, such notice shall be accompanied by appropriate proof of the derivative right of such person or persons to exercise the Option.</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 The date of exercise of the Option shall be the date on which the notice, the documents and all payments required under this paragraph 4 are received by the Secretary. All shares that shall be purchased upon the exercise of the Option as provided herein shall be fully paid and non-assessable.</w:t>
      </w:r>
    </w:p>
    <w:p>
      <w:pPr>
        <w:spacing w:after="0" w:line="163" w:lineRule="exact"/>
        <w:rPr>
          <w:sz w:val="20"/>
          <w:szCs w:val="20"/>
          <w:color w:val="auto"/>
        </w:rPr>
      </w:pPr>
    </w:p>
    <w:p>
      <w:pPr>
        <w:ind w:left="800" w:hanging="791"/>
        <w:spacing w:after="0"/>
        <w:tabs>
          <w:tab w:leader="none" w:pos="80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OPTION</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Option may not be exercised to any extent after termination of the Option in one of the ways, whichever first occurs, set forth below in this paragraph 5.</w:t>
      </w:r>
    </w:p>
    <w:p>
      <w:pPr>
        <w:spacing w:after="0" w:line="160"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A. The Option shall terminate upon the exercise of such Option in the manner provided in this Agreement and the 1991 Plan, whether or not the shares are ultimately delivered.</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B. The Option shall terminate on the date which is 18 months from the Consulting Termination Date, as such term is defined in the Separation Agreement, in accordance with paragraph 2 hereof.</w:t>
      </w:r>
    </w:p>
    <w:p>
      <w:pPr>
        <w:spacing w:after="0" w:line="162" w:lineRule="exact"/>
        <w:rPr>
          <w:sz w:val="20"/>
          <w:szCs w:val="20"/>
          <w:color w:val="auto"/>
        </w:rPr>
      </w:pPr>
    </w:p>
    <w:p>
      <w:pPr>
        <w:ind w:left="800" w:hanging="791"/>
        <w:spacing w:after="0"/>
        <w:tabs>
          <w:tab w:leader="none" w:pos="8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UPON CHANGES IN STOCK</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there shall be any change in the stock subject to the Option granted hereunder, through merger, consolidation, reorganization, recapitalization, stock dividend, stock split or other change in the corporate structure, appropriate adjustments may be made by the Board of Directors of the Corporation (or if the Corporation is not the surviving corporation in any such transaction, the Board of Directors of the surviving corporation) in the aggregate number and kind of shares subject to the 1991 Plan and the number and kind of shares and the price per share subject to the Option.</w:t>
      </w:r>
    </w:p>
    <w:p>
      <w:pPr>
        <w:spacing w:after="0" w:line="165" w:lineRule="exact"/>
        <w:rPr>
          <w:sz w:val="20"/>
          <w:szCs w:val="20"/>
          <w:color w:val="auto"/>
        </w:rPr>
      </w:pPr>
    </w:p>
    <w:p>
      <w:pPr>
        <w:ind w:left="800" w:hanging="791"/>
        <w:spacing w:after="0"/>
        <w:tabs>
          <w:tab w:leader="none" w:pos="8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OF OPTION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Option shall not be transferable otherwise than by will or by the applicable laws of descent and distribution. More particularly (but without limiting the generality of the foregoing), the Option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Option contrary to the provisions hereof, and the levy of any execution, attachment or similar process upon the Option, shall be null and void and without effect.</w:t>
      </w:r>
    </w:p>
    <w:p>
      <w:pPr>
        <w:spacing w:after="0" w:line="164" w:lineRule="exact"/>
        <w:rPr>
          <w:sz w:val="20"/>
          <w:szCs w:val="20"/>
          <w:color w:val="auto"/>
        </w:rPr>
      </w:pPr>
    </w:p>
    <w:p>
      <w:pPr>
        <w:ind w:left="800" w:hanging="791"/>
        <w:spacing w:after="0"/>
        <w:tabs>
          <w:tab w:leader="none" w:pos="80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EXPENSES AND COMPLIANCE WITH LAWS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Corporation shall at all times during the term of the Option reserve and keep available such number of shares of Stock as will be sufficient to satisfy the requirements of this Agreement, shall pay all original issue and/or transfer taxes with respect to the issue and/or transfer of shares pursuant hereto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165" w:lineRule="exact"/>
        <w:rPr>
          <w:sz w:val="20"/>
          <w:szCs w:val="20"/>
          <w:color w:val="auto"/>
        </w:rPr>
      </w:pPr>
    </w:p>
    <w:p>
      <w:pPr>
        <w:ind w:left="800" w:hanging="791"/>
        <w:spacing w:after="0"/>
        <w:tabs>
          <w:tab w:leader="none" w:pos="80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As used herein, the term "subsidiary" shall mean any corporation (other than the Corporation) in an unbroken chain of corporations beginning with the Corporation if each of the corporations, other than the last corporation in such chain, owns stock possessing at least 50% of the voting power in one of the other corporations in such chain.</w:t>
      </w:r>
    </w:p>
    <w:p>
      <w:pPr>
        <w:spacing w:after="0" w:line="162" w:lineRule="exact"/>
        <w:rPr>
          <w:sz w:val="20"/>
          <w:szCs w:val="20"/>
          <w:color w:val="auto"/>
        </w:rPr>
      </w:pPr>
    </w:p>
    <w:p>
      <w:pPr>
        <w:ind w:left="800" w:hanging="791"/>
        <w:spacing w:after="0"/>
        <w:tabs>
          <w:tab w:leader="none" w:pos="80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the event that the Board of Directors of the Corporation shall amend the 1991 Plan under the provisions of Article VIII of the 1991 Plan and such amendment shall modify or otherwise affect the subject matter of this Agreement, this Agreement shall, to that extent, be deemed to be amended by such amendment to the 1991 Plan. The Corporation shall notify the Employee in writing of any such amendment to the 1991 Plan and this Agreement as soon as practicable after its approval.</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973" w:gutter="0" w:footer="0" w:header="0"/>
        </w:sectPr>
      </w:pPr>
    </w:p>
    <w:bookmarkStart w:id="155" w:name="page156"/>
    <w:bookmarkEnd w:id="155"/>
    <w:p>
      <w:pPr>
        <w:ind w:left="800" w:hanging="791"/>
        <w:spacing w:after="0"/>
        <w:tabs>
          <w:tab w:leader="none" w:pos="80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In the event of any conflict between the 1991 Plan and this Agreement, the provisions of the 1991 Plan shall control. This Agreement shall be governed in all respects by the laws of the State of Florida.</w:t>
      </w:r>
    </w:p>
    <w:p>
      <w:pPr>
        <w:spacing w:after="0" w:line="162" w:lineRule="exact"/>
        <w:rPr>
          <w:sz w:val="20"/>
          <w:szCs w:val="20"/>
          <w:color w:val="auto"/>
        </w:rPr>
      </w:pPr>
    </w:p>
    <w:p>
      <w:pPr>
        <w:ind w:left="800" w:hanging="791"/>
        <w:spacing w:after="0"/>
        <w:tabs>
          <w:tab w:leader="none" w:pos="80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Agreement constitutes the entire agreement between the Corporation and the Employee and supersedes all other discussions, correspondence, representations, understandings and agreements between the parties, with respect to the subject matter hereof.</w:t>
      </w:r>
    </w:p>
    <w:p>
      <w:pPr>
        <w:spacing w:after="0" w:line="163" w:lineRule="exact"/>
        <w:rPr>
          <w:sz w:val="20"/>
          <w:szCs w:val="20"/>
          <w:color w:val="auto"/>
        </w:rPr>
      </w:pPr>
    </w:p>
    <w:p>
      <w:pPr>
        <w:ind w:left="800" w:hanging="791"/>
        <w:spacing w:after="0"/>
        <w:tabs>
          <w:tab w:leader="none" w:pos="80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headings of the paragraphs of this Agreement are inserted for convenience only and shall not be deemed a part hereof.</w:t>
      </w:r>
    </w:p>
    <w:p>
      <w:pPr>
        <w:sectPr>
          <w:pgSz w:w="11900" w:h="16838" w:orient="portrait"/>
          <w:cols w:equalWidth="0" w:num="1">
            <w:col w:w="10239"/>
          </w:cols>
          <w:pgMar w:left="220" w:top="620"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FINANCIAL CORPORATION</w:t>
      </w:r>
    </w:p>
    <w:p>
      <w:pPr>
        <w:spacing w:after="0" w:line="175" w:lineRule="exact"/>
        <w:rPr>
          <w:sz w:val="20"/>
          <w:szCs w:val="20"/>
          <w:color w:val="auto"/>
        </w:rPr>
      </w:pPr>
    </w:p>
    <w:p>
      <w:pPr>
        <w:sectPr>
          <w:pgSz w:w="11900" w:h="16838" w:orient="portrait"/>
          <w:cols w:equalWidth="0" w:num="2">
            <w:col w:w="2680" w:space="720"/>
            <w:col w:w="683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JOHN R. ERBEY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John R. Erbey,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WILLIAM C. ERBEY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C. Erbey, Chairman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Chief Executive Officer</w:t>
      </w:r>
    </w:p>
    <w:p>
      <w:pPr>
        <w:spacing w:after="0" w:line="175" w:lineRule="exact"/>
        <w:rPr>
          <w:sz w:val="20"/>
          <w:szCs w:val="20"/>
          <w:color w:val="auto"/>
        </w:rPr>
      </w:pPr>
    </w:p>
    <w:p>
      <w:pPr>
        <w:sectPr>
          <w:pgSz w:w="11900" w:h="16838" w:orient="portrait"/>
          <w:cols w:equalWidth="0" w:num="2">
            <w:col w:w="3100" w:space="720"/>
            <w:col w:w="6419"/>
          </w:cols>
          <w:pgMar w:left="220" w:top="620"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4"/>
          <w:szCs w:val="14"/>
          <w:color w:val="auto"/>
        </w:rPr>
        <w:t>EMPLOYEE</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(Legal Signature)</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(Print)</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type w:val="continuous"/>
        </w:sectPr>
      </w:pPr>
    </w:p>
    <w:bookmarkStart w:id="156" w:name="page157"/>
    <w:bookmarkEnd w:id="156"/>
    <w:p>
      <w:pPr>
        <w:jc w:val="right"/>
        <w:ind w:right="3279"/>
        <w:spacing w:after="0"/>
        <w:rPr>
          <w:sz w:val="20"/>
          <w:szCs w:val="20"/>
          <w:color w:val="auto"/>
        </w:rPr>
      </w:pPr>
      <w:r>
        <w:rPr>
          <w:rFonts w:ascii="Courier New" w:cs="Courier New" w:eastAsia="Courier New" w:hAnsi="Courier New"/>
          <w:sz w:val="14"/>
          <w:szCs w:val="14"/>
          <w:color w:val="auto"/>
        </w:rPr>
        <w:t>EXHIBIT B</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AMENDED AND RESTATED NON-QUALIFIED STOCK OPTION AGREEMENT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AMENDED AND RESTATED NON-QUALIFIED STOCK OPTION AGREEMENT made in the City of West Palm Beach, Florida as of January 31, 1999, between OCWEN FINANCIAL CORPORATION, a Florida corporation (the "Corporation"), and Christine A. Reich, an employee of the Corporation or of a subsidiary (the "Employee").</w:t>
      </w:r>
    </w:p>
    <w:p>
      <w:pPr>
        <w:spacing w:after="0" w:line="16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As of January 31, 1999 the Corporation and the Employee entered into a Non-Qualified Stock Option Agreement (the "Original Agreement") regarding the Option (as defined therein) to purchase 12,572 shares of the Corporation's common stock, par value $.01 per share ("Stock"). A copy of the Original Agreement is attached hereto as Exhibit 1.</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parties have entered into that Separation Agreement and Full Release dated February 28, 2001 (the "Separation Agreement") which sets forth the terms and conditions by which Employee separated from employment with the Corporation.</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Corporation and the Employee desire hereby to amend and restate the Original Agreement in its entirety to provide, INTER ALIA, for the Options to vest pursuant to the terms and conditions hereof.</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hereinafter set forth and for other good and valuable consideration, and intending to be legally bond hereby, the parties hereto have agreed, and do hereby agree, as follows:</w:t>
      </w:r>
    </w:p>
    <w:p>
      <w:pPr>
        <w:spacing w:after="0" w:line="162" w:lineRule="exact"/>
        <w:rPr>
          <w:sz w:val="20"/>
          <w:szCs w:val="20"/>
          <w:color w:val="auto"/>
        </w:rPr>
      </w:pPr>
    </w:p>
    <w:p>
      <w:pPr>
        <w:ind w:left="800" w:hanging="791"/>
        <w:spacing w:after="0"/>
        <w:tabs>
          <w:tab w:leader="none" w:pos="80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GRANT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Corporation hereby grants to the Employee, pursuant to and subject to the 1991 Plan, the right and option (the "Option") to purchase all or any part of an aggregate of 12,572 shares of Stock from the Corporation for a purchase price of $12.3125 per share, on the terms and conditions herein set forth.</w:t>
      </w:r>
    </w:p>
    <w:p>
      <w:pPr>
        <w:spacing w:after="0" w:line="163" w:lineRule="exact"/>
        <w:rPr>
          <w:sz w:val="20"/>
          <w:szCs w:val="20"/>
          <w:color w:val="auto"/>
        </w:rPr>
      </w:pPr>
    </w:p>
    <w:p>
      <w:pPr>
        <w:ind w:left="800" w:hanging="791"/>
        <w:spacing w:after="0"/>
        <w:tabs>
          <w:tab w:leader="none" w:pos="80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term of the Option shall begin on the date of this Agreement and will continue until the date which is 18 months from the Consulting Termination Date, as such term is defined in the Separation Agreement, unless the Option is earlier terminated under the terms of paragraph 5 hereof.</w:t>
      </w:r>
    </w:p>
    <w:p>
      <w:pPr>
        <w:spacing w:after="0" w:line="163" w:lineRule="exact"/>
        <w:rPr>
          <w:sz w:val="20"/>
          <w:szCs w:val="20"/>
          <w:color w:val="auto"/>
        </w:rPr>
      </w:pPr>
    </w:p>
    <w:p>
      <w:pPr>
        <w:ind w:left="800" w:hanging="791"/>
        <w:spacing w:after="0"/>
        <w:tabs>
          <w:tab w:leader="none" w:pos="8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One third of the Option will be exercisable in whole or in part after the commencement of each of the second, third and fourth years of the term of the Option and thereafter each such third may, subject to the terms and conditions of this Agreement, be exercised in whole or in part at any time before the Option terminates. In no case may the Option be exercised as to less than 50 shares at any one time (or the remaining shares then purchasable under the Option, if less than 50 shares) or for a fractional share. During the Employee's lifetime, the Option may be exercised only by him/her or his/her guardian or legal representative. The Employee shall have none of the rights of a stockholder with respect to any of the shares of the Stock subject to the option until such shares shall be issued in his/her name or the name of his/her designee following the exercise of the Option.</w:t>
      </w:r>
    </w:p>
    <w:p>
      <w:pPr>
        <w:spacing w:after="0" w:line="164" w:lineRule="exact"/>
        <w:rPr>
          <w:sz w:val="20"/>
          <w:szCs w:val="20"/>
          <w:color w:val="auto"/>
        </w:rPr>
      </w:pPr>
    </w:p>
    <w:p>
      <w:pPr>
        <w:ind w:left="800" w:hanging="791"/>
        <w:spacing w:after="0"/>
        <w:tabs>
          <w:tab w:leader="none" w:pos="8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OPTION EXERCISE</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 Subject to the terms and conditions of this Agreement, the Option may be exercised by written notice to the Corporation at its Executive Offices attention of the Secretary. Such notice shall state the election to exercise the Option, shall state the number of shares in respect of which it is being exercised (the "Purchased Shares") and shall be signed by the person or persons so exercising the Option. Such notice shall be accompanied by (i) a personal check payable to the order of the Corporation for payment of the full purchase price of the Purchased Shares, (ii) delivery to the Corporation of the number of shares of Stock duly endorsed for transfer and owned by the Employee which have an aggregate Fair Value equal to the aggregate purchase price of the Purchased Shares or (iii) payment therefor made in such other manner as may be acceptable to the Corporation on such terms as may be determined by the Committee. "Fair Value" shall mean the book value of the Stock as determined by the Committee pursuant to the 1991 Plan. In addition to and at the time of payment of the purchase price, the person exercising the Option shall pay to the Corporation the full amount of any federal and state withholding or other taxes applicable to the taxable income of such person resulting from such exercise in cash unless the Committee in its sole discretion shall permit such taxes to be paid in Stock.</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157" w:name="page158"/>
    <w:bookmarkEnd w:id="157"/>
    <w:p>
      <w:pPr>
        <w:ind w:right="3279"/>
        <w:spacing w:after="0" w:line="253" w:lineRule="auto"/>
        <w:rPr>
          <w:sz w:val="20"/>
          <w:szCs w:val="20"/>
          <w:color w:val="auto"/>
        </w:rPr>
      </w:pPr>
      <w:r>
        <w:rPr>
          <w:rFonts w:ascii="Courier New" w:cs="Courier New" w:eastAsia="Courier New" w:hAnsi="Courier New"/>
          <w:sz w:val="14"/>
          <w:szCs w:val="14"/>
          <w:color w:val="auto"/>
        </w:rPr>
        <w:t>B. The Corporation shall deliver a certificate or certificates representing said shares as soon as practicable after receipt of the notice and all required payments by the person or persons exercising the Option as provided in paragraph 4A. hereof. The certificate or certificates for the shares as to which the Option have been so exercised shall not be registered until at least five business days after the date of the exercise of the Option. Unless the person or persons exercising the Option shall otherwise direct the Corporation in writing, such certificate or certificates for the shares shall be registered in the name of the person or persons so exercising the Option and shall be delivered as aforesaid to or upon the written order of the person or persons exercising the Option.</w:t>
      </w:r>
    </w:p>
    <w:p>
      <w:pPr>
        <w:spacing w:after="0" w:line="331"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 In the event the Option shall be exercised, pursuant to paragraphs 3 and 5 hereof, by any person or persons other than the Employee, such notice shall be accompanied by appropriate proof of the derivative right of such person or persons to exercise the Option.</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 The date of exercise of the Option shall be the date on which the notice, the documents and all payments required under this paragraph 4 are received by the Secretary. All shares that shall be purchased upon the exercise of the Option as provided herein shall be fully paid and non-assessable.</w:t>
      </w:r>
    </w:p>
    <w:p>
      <w:pPr>
        <w:spacing w:after="0" w:line="163" w:lineRule="exact"/>
        <w:rPr>
          <w:sz w:val="20"/>
          <w:szCs w:val="20"/>
          <w:color w:val="auto"/>
        </w:rPr>
      </w:pPr>
    </w:p>
    <w:p>
      <w:pPr>
        <w:ind w:left="800" w:hanging="791"/>
        <w:spacing w:after="0"/>
        <w:tabs>
          <w:tab w:leader="none" w:pos="8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OPTION</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Option may not be exercised to any extent after termination of the Option in one of the ways, whichever first occurs, set forth below in this paragraph 5.</w:t>
      </w:r>
    </w:p>
    <w:p>
      <w:pPr>
        <w:spacing w:after="0" w:line="160"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A. The Option shall terminate upon the exercise of such Option in the manner provided in this Agreement and the 1991 Plan, whether or not the shares are ultimately delivered.</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B. The Option shall terminate on the date which is 18 months from the Consulting Termination Date, as such term is defined in the Separation Agreement, in accordance with paragraph 2 hereof.</w:t>
      </w:r>
    </w:p>
    <w:p>
      <w:pPr>
        <w:spacing w:after="0" w:line="162" w:lineRule="exact"/>
        <w:rPr>
          <w:sz w:val="20"/>
          <w:szCs w:val="20"/>
          <w:color w:val="auto"/>
        </w:rPr>
      </w:pPr>
    </w:p>
    <w:p>
      <w:pPr>
        <w:ind w:left="800" w:hanging="791"/>
        <w:spacing w:after="0"/>
        <w:tabs>
          <w:tab w:leader="none" w:pos="80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UPON CHANGES IN STOCK</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there shall be any change in the stock subject to the Option granted hereunder, through merger, consolidation, reorganization, recapitalization, stock dividend, stock split or other change in the corporate structure, appropriate adjustments may be made by the Board of Directors of the Corporation (or if the Corporation is not the surviving corporation in any such transaction, the Board of Directors of the surviving corporation) in the aggregate number and kind of shares subject to the 1991 Plan and the number and kind of shares and the price per share subject to the Option.</w:t>
      </w:r>
    </w:p>
    <w:p>
      <w:pPr>
        <w:spacing w:after="0" w:line="165" w:lineRule="exact"/>
        <w:rPr>
          <w:sz w:val="20"/>
          <w:szCs w:val="20"/>
          <w:color w:val="auto"/>
        </w:rPr>
      </w:pPr>
    </w:p>
    <w:p>
      <w:pPr>
        <w:ind w:left="800" w:hanging="791"/>
        <w:spacing w:after="0"/>
        <w:tabs>
          <w:tab w:leader="none" w:pos="8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OF OPTION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Option shall not be transferable otherwise than by will or by the applicable laws of descent and distribution. More particularly (but without limiting the generality of the foregoing), the Option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Option contrary to the provisions hereof, and the levy of any execution, attachment or similar process upon the Option, shall be null and void and without effect.</w:t>
      </w:r>
    </w:p>
    <w:p>
      <w:pPr>
        <w:spacing w:after="0" w:line="164" w:lineRule="exact"/>
        <w:rPr>
          <w:sz w:val="20"/>
          <w:szCs w:val="20"/>
          <w:color w:val="auto"/>
        </w:rPr>
      </w:pPr>
    </w:p>
    <w:p>
      <w:pPr>
        <w:ind w:left="800" w:hanging="791"/>
        <w:spacing w:after="0"/>
        <w:tabs>
          <w:tab w:leader="none" w:pos="80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EXPENSES AND COMPLIANCE WITH LAWS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Corporation shall at all times during the term of the Option reserve and keep available such number of shares of Stock as will be sufficient to satisfy the requirements of this Agreement, shall pay all original issue and/or transfer taxes with respect to the issue and/or transfer of shares pursuant hereto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58" w:name="page159"/>
    <w:bookmarkEnd w:id="158"/>
    <w:p>
      <w:pPr>
        <w:ind w:left="800" w:hanging="791"/>
        <w:spacing w:after="0"/>
        <w:tabs>
          <w:tab w:leader="none" w:pos="80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As used herein, the term "subsidiary" shall mean any corporation (other than the Corporation) in an unbroken chain of corporations beginning with the Corporation if each of the corporations, other than the last corporation in such chain, owns stock possessing at least 50% of the voting power in one of the other corporations in such chain.</w:t>
      </w:r>
    </w:p>
    <w:p>
      <w:pPr>
        <w:spacing w:after="0" w:line="162" w:lineRule="exact"/>
        <w:rPr>
          <w:sz w:val="20"/>
          <w:szCs w:val="20"/>
          <w:color w:val="auto"/>
        </w:rPr>
      </w:pPr>
    </w:p>
    <w:p>
      <w:pPr>
        <w:ind w:left="800" w:hanging="791"/>
        <w:spacing w:after="0"/>
        <w:tabs>
          <w:tab w:leader="none" w:pos="80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the event that the Board of Directors of the Corporation shall amend the 1991 Plan under the provisions of Article VIII of the 1991 Plan and such amendment shall modify or otherwise affect the subject matter of this Agreement, this Agreement shall, to that extent, be deemed to be amended by such amendment to the 1991 Plan. The Corporation shall notify the Employee in writing of any such amendment to the 1991 Plan and this Agreement as soon as practicable after its approval.</w:t>
      </w:r>
    </w:p>
    <w:p>
      <w:pPr>
        <w:spacing w:after="0" w:line="165" w:lineRule="exact"/>
        <w:rPr>
          <w:sz w:val="20"/>
          <w:szCs w:val="20"/>
          <w:color w:val="auto"/>
        </w:rPr>
      </w:pPr>
    </w:p>
    <w:p>
      <w:pPr>
        <w:ind w:left="800" w:hanging="791"/>
        <w:spacing w:after="0"/>
        <w:tabs>
          <w:tab w:leader="none" w:pos="8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In the event of any conflict between the 1991 Plan and this Agreement, the provisions of the 1991 Plan shall control. This Agreement shall be governed in all respects by the laws of the State of Florida.</w:t>
      </w:r>
    </w:p>
    <w:p>
      <w:pPr>
        <w:spacing w:after="0" w:line="162" w:lineRule="exact"/>
        <w:rPr>
          <w:sz w:val="20"/>
          <w:szCs w:val="20"/>
          <w:color w:val="auto"/>
        </w:rPr>
      </w:pPr>
    </w:p>
    <w:p>
      <w:pPr>
        <w:ind w:left="800" w:hanging="791"/>
        <w:spacing w:after="0"/>
        <w:tabs>
          <w:tab w:leader="none" w:pos="8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Agreement constitutes the entire agreement between the Corporation and the Employee and supersedes all other discussions, correspondence, representations, understandings and agreements between the parties, with respect to the subject matter hereof.</w:t>
      </w:r>
    </w:p>
    <w:p>
      <w:pPr>
        <w:spacing w:after="0" w:line="163" w:lineRule="exact"/>
        <w:rPr>
          <w:sz w:val="20"/>
          <w:szCs w:val="20"/>
          <w:color w:val="auto"/>
        </w:rPr>
      </w:pPr>
    </w:p>
    <w:p>
      <w:pPr>
        <w:ind w:left="800" w:hanging="791"/>
        <w:spacing w:after="0"/>
        <w:tabs>
          <w:tab w:leader="none" w:pos="8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headings of the paragraphs of this Agreement are inserted for convenience only and shall not be deemed a part hereof.</w:t>
      </w:r>
    </w:p>
    <w:p>
      <w:pPr>
        <w:sectPr>
          <w:pgSz w:w="11900" w:h="16838" w:orient="portrait"/>
          <w:cols w:equalWidth="0" w:num="1">
            <w:col w:w="10239"/>
          </w:cols>
          <w:pgMar w:left="220" w:top="620"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FINANCIAL CORPORATION</w:t>
      </w:r>
    </w:p>
    <w:p>
      <w:pPr>
        <w:spacing w:after="0" w:line="175" w:lineRule="exact"/>
        <w:rPr>
          <w:sz w:val="20"/>
          <w:szCs w:val="20"/>
          <w:color w:val="auto"/>
        </w:rPr>
      </w:pPr>
    </w:p>
    <w:p>
      <w:pPr>
        <w:sectPr>
          <w:pgSz w:w="11900" w:h="16838" w:orient="portrait"/>
          <w:cols w:equalWidth="0" w:num="2">
            <w:col w:w="2680" w:space="720"/>
            <w:col w:w="6839"/>
          </w:cols>
          <w:pgMar w:left="220" w:top="620" w:right="1440" w:bottom="1440" w:gutter="0" w:footer="0" w:header="0"/>
          <w:type w:val="continuous"/>
        </w:sectPr>
      </w:pPr>
    </w:p>
    <w:p>
      <w:pPr>
        <w:jc w:val="both"/>
        <w:ind w:left="360" w:right="660" w:hanging="359"/>
        <w:spacing w:after="0" w:line="255" w:lineRule="auto"/>
        <w:tabs>
          <w:tab w:leader="none" w:pos="340" w:val="left"/>
        </w:tabs>
        <w:rPr>
          <w:sz w:val="20"/>
          <w:szCs w:val="20"/>
          <w:color w:val="auto"/>
        </w:rPr>
      </w:pPr>
      <w:r>
        <w:rPr>
          <w:rFonts w:ascii="Courier New" w:cs="Courier New" w:eastAsia="Courier New" w:hAnsi="Courier New"/>
          <w:sz w:val="14"/>
          <w:szCs w:val="14"/>
          <w:color w:val="auto"/>
        </w:rPr>
        <w:t>By:</w:t>
        <w:tab/>
        <w:t>/s/ JOHN R. ERBEY ------------------------ John R. Erbey,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By:/s/ WILLIAM C. ERBEY</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William C. Erbey, Chairman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Chief Executive Officer</w:t>
      </w:r>
    </w:p>
    <w:p>
      <w:pPr>
        <w:spacing w:after="0" w:line="175" w:lineRule="exact"/>
        <w:rPr>
          <w:sz w:val="20"/>
          <w:szCs w:val="20"/>
          <w:color w:val="auto"/>
        </w:rPr>
      </w:pPr>
    </w:p>
    <w:p>
      <w:pPr>
        <w:sectPr>
          <w:pgSz w:w="11900" w:h="16838" w:orient="portrait"/>
          <w:cols w:equalWidth="0" w:num="2">
            <w:col w:w="3100" w:space="720"/>
            <w:col w:w="6419"/>
          </w:cols>
          <w:pgMar w:left="220" w:top="620"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4"/>
          <w:szCs w:val="14"/>
          <w:color w:val="auto"/>
        </w:rPr>
        <w:t>EMPLOYEE</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(Legal Signature)</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(Print)</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type w:val="continuous"/>
        </w:sectPr>
      </w:pPr>
    </w:p>
    <w:bookmarkStart w:id="159" w:name="page160"/>
    <w:bookmarkEnd w:id="159"/>
    <w:p>
      <w:pPr>
        <w:ind w:left="6080"/>
        <w:spacing w:after="0"/>
        <w:rPr>
          <w:sz w:val="20"/>
          <w:szCs w:val="20"/>
          <w:color w:val="auto"/>
        </w:rPr>
      </w:pPr>
      <w:r>
        <w:rPr>
          <w:rFonts w:ascii="Courier New" w:cs="Courier New" w:eastAsia="Courier New" w:hAnsi="Courier New"/>
          <w:sz w:val="14"/>
          <w:szCs w:val="14"/>
          <w:color w:val="auto"/>
        </w:rPr>
        <w:t>EXHIBIT C</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AMENDED AND RESTATED NON-QUALIFIED STOCK OPTION AGREEMENT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AMENDED AND RESTATED NON-QUALIFIED STOCK OPTION AGREEMENT made in the City of West Palm Beach, Florida as of March 7, 2000, between OCWEN FINANCIAL CORPORATION, a Florida corporation (the "Corporation"), and Christine A. Reich, an employee of the Corporation or of a subsidiary (the "Employee").</w:t>
      </w:r>
    </w:p>
    <w:p>
      <w:pPr>
        <w:spacing w:after="0" w:line="16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As of March 7, 2000 the Corporation and the Employee entered into a Non-Qualified Stock Option Agreement (the "Original Agreement") regarding the Option (as defined therein) to purchase 28,894 shares of the Corporation's common stock, par value $.01 per share ("Stock"). A copy of the Original Agreement is attached hereto as Exhibit 1.</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parties have entered into that Separation Agreement and Full Release dated as of February 28, 2001 (the "Separation Agreement") which sets forth the terms and conditions by which Employee separated from employment with the Corporation.</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Corporation and the Employee desire hereby to amend and restate the Original Agreement in its entirety to provide, INTER ALIA, for the Options to vest pursuant to the terms and conditions hereof.</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hereinafter set forth and for other good and valuable consideration, and intending to be legally bond hereby, the parties hereto have agreed, and do hereby agree, as follows:</w:t>
      </w:r>
    </w:p>
    <w:p>
      <w:pPr>
        <w:spacing w:after="0" w:line="162" w:lineRule="exact"/>
        <w:rPr>
          <w:sz w:val="20"/>
          <w:szCs w:val="20"/>
          <w:color w:val="auto"/>
        </w:rPr>
      </w:pPr>
    </w:p>
    <w:p>
      <w:pPr>
        <w:ind w:left="800" w:hanging="791"/>
        <w:spacing w:after="0"/>
        <w:tabs>
          <w:tab w:leader="none" w:pos="80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GRANT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Corporation hereby grants to the Employee, pursuant to and subject to the 1991 Plan, the right and option (the "Option") to purchase all or any part of an aggregate of 28,894 shares of Stock from the Corporation for a purchase price of $6.25 per share, on the terms and conditions herein set forth.</w:t>
      </w:r>
    </w:p>
    <w:p>
      <w:pPr>
        <w:spacing w:after="0" w:line="163" w:lineRule="exact"/>
        <w:rPr>
          <w:sz w:val="20"/>
          <w:szCs w:val="20"/>
          <w:color w:val="auto"/>
        </w:rPr>
      </w:pPr>
    </w:p>
    <w:p>
      <w:pPr>
        <w:ind w:left="800" w:hanging="791"/>
        <w:spacing w:after="0"/>
        <w:tabs>
          <w:tab w:leader="none" w:pos="8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term of the Option shall begin on the date of this Agreement and will continue until the date which is 18 months from the Consulting Termination Date, as such term is defined in the Separation Agreement, unless the Option is earlier terminated under the terms of paragraph 5 hereof.</w:t>
      </w:r>
    </w:p>
    <w:p>
      <w:pPr>
        <w:spacing w:after="0" w:line="163" w:lineRule="exact"/>
        <w:rPr>
          <w:sz w:val="20"/>
          <w:szCs w:val="20"/>
          <w:color w:val="auto"/>
        </w:rPr>
      </w:pPr>
    </w:p>
    <w:p>
      <w:pPr>
        <w:ind w:left="800" w:hanging="791"/>
        <w:spacing w:after="0"/>
        <w:tabs>
          <w:tab w:leader="none" w:pos="8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One third of the Option will be exercisable in whole or in part after the commencement of each of the second, third, fourth years of the term of the Option and thereafter each such third may, subject to the terms and conditions of this Agreement, be exercised in whole or in part at any time before the Option terminates. In no case may the Option be exercised as to less than 50 shares at any one time (or the remaining shares then purchasable under the Option, if less than 50 shares) or for a fractional share. During the Employee's lifetime, the Option may be exercised only by him/her or his/her guardian or legal representative. The Employee shall have none of the rights of a stockholder with respect to any of the shares of the Stock subject to the option until such shares shall be issued in his/her name or the name of his/her designee following the exercise of the Option.</w:t>
      </w:r>
    </w:p>
    <w:p>
      <w:pPr>
        <w:spacing w:after="0" w:line="164" w:lineRule="exact"/>
        <w:rPr>
          <w:sz w:val="20"/>
          <w:szCs w:val="20"/>
          <w:color w:val="auto"/>
        </w:rPr>
      </w:pPr>
    </w:p>
    <w:p>
      <w:pPr>
        <w:ind w:left="800" w:hanging="791"/>
        <w:spacing w:after="0"/>
        <w:tabs>
          <w:tab w:leader="none" w:pos="80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OPTION EXERCISE</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 Subject to the terms and conditions of this Agreement, the Option may be exercised by written notice to the Corporation at its Executive Offices attention of the Secretary. Such notice shall state the election to exercise the Option, shall state the number of shares in respect of which it is being exercised (the "Purchased Shares") and shall be signed by the person or persons so exercising the Option. Such notice shall be accompanied by (i) a personal check payable to the order of the Corporation for payment of the full purchase price of the Purchased Shares, (ii) delivery to the Corporation of the number of shares of Stock duly endorsed for transfer and owned by the Employee which have an aggregate Fair Value equal to the aggregate purchase price of the Purchased Shares or (iii) payment therefor made in such other manner as may be acceptable to the Corporation on such terms as may be determined by the Committee. "Fair Value" shall mean the book value of the Stock as determined by the Committee pursuant to the 1991 Plan. In addition to and at the time of payment of the purchase price, the person exercising the Option shall pay to the Corporation the full amount of any federal and state withholding or other taxes applicable to the taxable income of such person resulting from such exercise in cash unless the Committee in its sole discretion shall permit such taxes to be paid in Stock.</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60" w:name="page161"/>
    <w:bookmarkEnd w:id="160"/>
    <w:p>
      <w:pPr>
        <w:ind w:right="3279"/>
        <w:spacing w:after="0" w:line="253" w:lineRule="auto"/>
        <w:rPr>
          <w:sz w:val="20"/>
          <w:szCs w:val="20"/>
          <w:color w:val="auto"/>
        </w:rPr>
      </w:pPr>
      <w:r>
        <w:rPr>
          <w:rFonts w:ascii="Courier New" w:cs="Courier New" w:eastAsia="Courier New" w:hAnsi="Courier New"/>
          <w:sz w:val="14"/>
          <w:szCs w:val="14"/>
          <w:color w:val="auto"/>
        </w:rPr>
        <w:t>B. The Corporation shall deliver a certificate or certificates representing said shares as soon as practicable after receipt of the notice and all required payments by the person or persons exercising the Option as provided in paragraph 4A. hereof. The certificate or certificates for the shares as to which the Option have been so exercised shall not be registered until at least five business days after the date of the exercise of the Option. Unless the person or persons exercising the Option shall otherwise direct the Corporation in writing, such certificate or certificates for the shares shall be registered in the name of the person or persons so exercising the Option and shall be delivered as aforesaid to or upon the written order of the person or persons exercising the Option.</w:t>
      </w:r>
    </w:p>
    <w:p>
      <w:pPr>
        <w:spacing w:after="0" w:line="331"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 In the event the Option shall be exercised, pursuant to paragraphs 3 and 5 hereof, by any person or persons other than the Employee, such notice shall be accompanied by appropriate proof of the derivative right of such person or persons to exercise the Option.</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 The date of exercise of the Option shall be the date on which the notice, the documents and all payments required under this paragraph 4 are received by the Secretary. All shares that shall be purchased upon the exercise of the Option as provided herein shall be fully paid and non-assessable.</w:t>
      </w:r>
    </w:p>
    <w:p>
      <w:pPr>
        <w:spacing w:after="0" w:line="163" w:lineRule="exact"/>
        <w:rPr>
          <w:sz w:val="20"/>
          <w:szCs w:val="20"/>
          <w:color w:val="auto"/>
        </w:rPr>
      </w:pPr>
    </w:p>
    <w:p>
      <w:pPr>
        <w:ind w:left="800" w:hanging="791"/>
        <w:spacing w:after="0"/>
        <w:tabs>
          <w:tab w:leader="none" w:pos="8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OPTION</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Option may not be exercised to any extent after termination of the Option in one of the ways, whichever first occurs, set forth below in this paragraph 5.</w:t>
      </w:r>
    </w:p>
    <w:p>
      <w:pPr>
        <w:spacing w:after="0" w:line="160"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A. The Option shall terminate upon the exercise of such Option in the manner provided in this Agreement and the 1991 Plan, whether or not the shares are ultimately delivered.</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B. The Option shall terminate on the date which is 18 months from the Consulting Termination Date, as such term is defined in the Separation Agreement, in accordance with paragraph 2 hereof.</w:t>
      </w:r>
    </w:p>
    <w:p>
      <w:pPr>
        <w:spacing w:after="0" w:line="162" w:lineRule="exact"/>
        <w:rPr>
          <w:sz w:val="20"/>
          <w:szCs w:val="20"/>
          <w:color w:val="auto"/>
        </w:rPr>
      </w:pPr>
    </w:p>
    <w:p>
      <w:pPr>
        <w:ind w:left="800" w:hanging="791"/>
        <w:spacing w:after="0"/>
        <w:tabs>
          <w:tab w:leader="none" w:pos="80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UPON CHANGES IN STOCK</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there shall be any change in the stock subject to the Option granted hereunder, through merger, consolidation, reorganization, recapitalization, stock dividend, stock split or other change in the corporate structure, appropriate adjustments may be made by the Board of Directors of the Corporation (or if the Corporation is not the surviving corporation in any such transaction, the Board of Directors of the surviving corporation) in the aggregate number and kind of shares subject to the 1991 Plan and the number and kind of shares and the price per share subject to the Option.</w:t>
      </w:r>
    </w:p>
    <w:p>
      <w:pPr>
        <w:spacing w:after="0" w:line="165" w:lineRule="exact"/>
        <w:rPr>
          <w:sz w:val="20"/>
          <w:szCs w:val="20"/>
          <w:color w:val="auto"/>
        </w:rPr>
      </w:pPr>
    </w:p>
    <w:p>
      <w:pPr>
        <w:ind w:left="800" w:hanging="791"/>
        <w:spacing w:after="0"/>
        <w:tabs>
          <w:tab w:leader="none" w:pos="8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OF OPTION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Option shall not be transferable otherwise than by will or by the applicable laws of descent and distribution. More particularly (but without limiting the generality of the foregoing), the Option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Option contrary to the provisions hereof, and the levy of any execution, attachment or similar process upon the Option, shall be null and void and without effect.</w:t>
      </w:r>
    </w:p>
    <w:p>
      <w:pPr>
        <w:spacing w:after="0" w:line="164" w:lineRule="exact"/>
        <w:rPr>
          <w:sz w:val="20"/>
          <w:szCs w:val="20"/>
          <w:color w:val="auto"/>
        </w:rPr>
      </w:pPr>
    </w:p>
    <w:p>
      <w:pPr>
        <w:ind w:left="800" w:hanging="791"/>
        <w:spacing w:after="0"/>
        <w:tabs>
          <w:tab w:leader="none" w:pos="8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EXPENSES AND COMPLIANCE WITH LAWS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Corporation shall at all times during the term of the Option reserve and keep available such number of shares of Stock as will be sufficient to satisfy the requirements of this Agreement, shall pay all original issue and/or transfer taxes with respect to the issue and/or transfer of shares pursuant hereto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61" w:name="page162"/>
    <w:bookmarkEnd w:id="161"/>
    <w:p>
      <w:pPr>
        <w:ind w:left="800" w:hanging="791"/>
        <w:spacing w:after="0"/>
        <w:tabs>
          <w:tab w:leader="none" w:pos="8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As used herein, the term "subsidiary" shall mean any corporation (other than the Corporation) in an unbroken chain of corporations beginning with the Corporation if each of the corporations, other than the last corporation in such chain, owns stock possessing at least 50% of the voting power in one of the other corporations in such chain.</w:t>
      </w:r>
    </w:p>
    <w:p>
      <w:pPr>
        <w:spacing w:after="0" w:line="162" w:lineRule="exact"/>
        <w:rPr>
          <w:sz w:val="20"/>
          <w:szCs w:val="20"/>
          <w:color w:val="auto"/>
        </w:rPr>
      </w:pPr>
    </w:p>
    <w:p>
      <w:pPr>
        <w:ind w:left="800" w:hanging="791"/>
        <w:spacing w:after="0"/>
        <w:tabs>
          <w:tab w:leader="none" w:pos="80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the event that the Board of Directors of the Corporation shall amend the 1991 Plan under the provisions of Article VIII of the 1991 Plan and such amendment shall modify or otherwise affect the subject matter of this Agreement, this Agreement shall, to that extent, be deemed to be amended by such amendment to the 1991 Plan. The Corporation shall notify the Employee in writing of any such amendment to the 1991 Plan and this Agreement as soon as practicable after its approval.</w:t>
      </w:r>
    </w:p>
    <w:p>
      <w:pPr>
        <w:spacing w:after="0" w:line="165" w:lineRule="exact"/>
        <w:rPr>
          <w:sz w:val="20"/>
          <w:szCs w:val="20"/>
          <w:color w:val="auto"/>
        </w:rPr>
      </w:pPr>
    </w:p>
    <w:p>
      <w:pPr>
        <w:ind w:left="800" w:hanging="791"/>
        <w:spacing w:after="0"/>
        <w:tabs>
          <w:tab w:leader="none" w:pos="80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In the event of any conflict between the 1991 Plan and this Agreement, the provisions of the 1991 Plan shall control. This Agreement shall be governed in all respects by the laws of the State of Florida.</w:t>
      </w:r>
    </w:p>
    <w:p>
      <w:pPr>
        <w:spacing w:after="0" w:line="162" w:lineRule="exact"/>
        <w:rPr>
          <w:sz w:val="20"/>
          <w:szCs w:val="20"/>
          <w:color w:val="auto"/>
        </w:rPr>
      </w:pPr>
    </w:p>
    <w:p>
      <w:pPr>
        <w:ind w:left="800" w:hanging="791"/>
        <w:spacing w:after="0"/>
        <w:tabs>
          <w:tab w:leader="none" w:pos="8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Agreement constitutes the entire agreement between the Corporation and the Employee and supersedes all other discussions, correspondence, representations, understandings and agreements between the parties, with respect to the subject matter hereof.</w:t>
      </w:r>
    </w:p>
    <w:p>
      <w:pPr>
        <w:spacing w:after="0" w:line="163" w:lineRule="exact"/>
        <w:rPr>
          <w:sz w:val="20"/>
          <w:szCs w:val="20"/>
          <w:color w:val="auto"/>
        </w:rPr>
      </w:pPr>
    </w:p>
    <w:p>
      <w:pPr>
        <w:ind w:left="800" w:hanging="791"/>
        <w:spacing w:after="0"/>
        <w:tabs>
          <w:tab w:leader="none" w:pos="80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headings of the paragraphs of this Agreement are inserted for convenience only and shall not be deemed a part hereof.</w:t>
      </w:r>
    </w:p>
    <w:p>
      <w:pPr>
        <w:sectPr>
          <w:pgSz w:w="11900" w:h="16838" w:orient="portrait"/>
          <w:cols w:equalWidth="0" w:num="1">
            <w:col w:w="10239"/>
          </w:cols>
          <w:pgMar w:left="220" w:top="620"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FINANCIAL CORPORATION</w:t>
      </w:r>
    </w:p>
    <w:p>
      <w:pPr>
        <w:spacing w:after="0" w:line="175" w:lineRule="exact"/>
        <w:rPr>
          <w:sz w:val="20"/>
          <w:szCs w:val="20"/>
          <w:color w:val="auto"/>
        </w:rPr>
      </w:pPr>
    </w:p>
    <w:p>
      <w:pPr>
        <w:sectPr>
          <w:pgSz w:w="11900" w:h="16838" w:orient="portrait"/>
          <w:cols w:equalWidth="0" w:num="2">
            <w:col w:w="2680" w:space="720"/>
            <w:col w:w="683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JOHN R. ERBEY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John R. Erbey,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WILLIAM C. ERBEY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William C. Erbey, Chairman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and Chief Executive Officer</w:t>
      </w:r>
    </w:p>
    <w:p>
      <w:pPr>
        <w:spacing w:after="0" w:line="175" w:lineRule="exact"/>
        <w:rPr>
          <w:sz w:val="20"/>
          <w:szCs w:val="20"/>
          <w:color w:val="auto"/>
        </w:rPr>
      </w:pPr>
    </w:p>
    <w:p>
      <w:pPr>
        <w:sectPr>
          <w:pgSz w:w="11900" w:h="16838" w:orient="portrait"/>
          <w:cols w:equalWidth="0" w:num="2">
            <w:col w:w="3100" w:space="720"/>
            <w:col w:w="6419"/>
          </w:cols>
          <w:pgMar w:left="220" w:top="620"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4"/>
          <w:szCs w:val="14"/>
          <w:color w:val="auto"/>
        </w:rPr>
        <w:t>EMPLOYEE</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(Legal Signature)</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(Print)</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type w:val="continuous"/>
        </w:sectPr>
      </w:pPr>
    </w:p>
    <w:bookmarkStart w:id="162" w:name="page163"/>
    <w:bookmarkEnd w:id="162"/>
    <w:p>
      <w:pPr>
        <w:jc w:val="right"/>
        <w:ind w:right="3279"/>
        <w:spacing w:after="0"/>
        <w:rPr>
          <w:sz w:val="20"/>
          <w:szCs w:val="20"/>
          <w:color w:val="auto"/>
        </w:rPr>
      </w:pPr>
      <w:r>
        <w:rPr>
          <w:rFonts w:ascii="Courier New" w:cs="Courier New" w:eastAsia="Courier New" w:hAnsi="Courier New"/>
          <w:sz w:val="14"/>
          <w:szCs w:val="14"/>
          <w:color w:val="auto"/>
        </w:rPr>
        <w:t>EXHIBIT D</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AMENDED AND RESTATED NON-QUALIFIED STOCK OPTION AGREEMENT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AMENDED AND RESTATED NON-QUALIFIED STOCK OPTION AGREEMENT made in the City of West Palm Beach, Florida as of January 31, 2001, between OCWEN FINANCIAL CORPORATION, a Florida corporation (the "Corporation"), and Christine A. Reich, an employee of the Corporation or of a subsidiary (the "Employee").</w:t>
      </w:r>
    </w:p>
    <w:p>
      <w:pPr>
        <w:spacing w:after="0" w:line="16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As of January 1, 2001 the Corporation and the Employee entered into a Non-Qualified Stock Option Agreement (the "Original Agreement") regarding the Option (as defined therein) to purchase 85,790 shares of the Corporation's common stock, par value $.01 per share ("Stock"). A copy of the Original Agreement is attached hereto as Exhibit 1.</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parties have entered into that Separation Agreement and Full Release dated as of February 28, 2001 (the "Separation Agreement") which sets forth the terms and conditions by which Employee separated from employment with the Corporation.</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Corporation and the Employee desire hereby to amend and restate the Original Agreement in its entirety to provide, INTER ALIA, for the Options to vest pursuant to the terms and conditions hereof.</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hereinafter set forth and for other good and valuable consideration, and intending to be legally bond hereby, the parties hereto have agreed, and do hereby agree, as follows:</w:t>
      </w:r>
    </w:p>
    <w:p>
      <w:pPr>
        <w:spacing w:after="0" w:line="162" w:lineRule="exact"/>
        <w:rPr>
          <w:sz w:val="20"/>
          <w:szCs w:val="20"/>
          <w:color w:val="auto"/>
        </w:rPr>
      </w:pPr>
    </w:p>
    <w:p>
      <w:pPr>
        <w:ind w:left="800" w:hanging="791"/>
        <w:spacing w:after="0"/>
        <w:tabs>
          <w:tab w:leader="none" w:pos="80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GRANT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Corporation hereby grants to the Employee, pursuant to and subject to the 1991 Plan, the right and option (the "Option") to purchase all or any part of an aggregate of 85,790 shares of Stock from the Corporation for a purchase price of $4.08625 per share, on the terms and conditions herein set forth.</w:t>
      </w:r>
    </w:p>
    <w:p>
      <w:pPr>
        <w:spacing w:after="0" w:line="163" w:lineRule="exact"/>
        <w:rPr>
          <w:sz w:val="20"/>
          <w:szCs w:val="20"/>
          <w:color w:val="auto"/>
        </w:rPr>
      </w:pPr>
    </w:p>
    <w:p>
      <w:pPr>
        <w:ind w:left="800" w:hanging="791"/>
        <w:spacing w:after="0"/>
        <w:tabs>
          <w:tab w:leader="none" w:pos="80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term of the Option shall begin on the date of this Agreement and will continue until the date which is 18 months from the Consulting Termination Date, as such term is defined in the Separation Agreement, unless the Option is earlier terminated under the terms of paragraph 5 hereof.</w:t>
      </w:r>
    </w:p>
    <w:p>
      <w:pPr>
        <w:spacing w:after="0" w:line="163" w:lineRule="exact"/>
        <w:rPr>
          <w:sz w:val="20"/>
          <w:szCs w:val="20"/>
          <w:color w:val="auto"/>
        </w:rPr>
      </w:pPr>
    </w:p>
    <w:p>
      <w:pPr>
        <w:ind w:left="800" w:hanging="791"/>
        <w:spacing w:after="0"/>
        <w:tabs>
          <w:tab w:leader="none" w:pos="8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One fifth of the Option will be exercisable in whole or in part immediately upon grant and one fourth of the of the balance of the Option will be exercisable in whole or in part after the commencement of each of the second, third, fourth and fifth years of the term of the Option and thereafter each such portion may, subject to the terms and conditions of this Agreement, be exercised in whole or in part at any time before the Option terminates. In no case may the Option be exercised as to less than 50 shares at any one time (or the remaining shares then purchasable under the Option, if less than 50 shares) or for a fractional share. During the Employee's lifetime, the Option may be exercised only by him/her or his/her guardian or legal representative. The Employee shall have none of the rights of a stockholder with respect to any of the shares of the Stock subject to the option until such shares shall be issued in his/her name or the name of his/her designee following the exercise of the Option.</w:t>
      </w:r>
    </w:p>
    <w:p>
      <w:pPr>
        <w:spacing w:after="0" w:line="163" w:lineRule="exact"/>
        <w:rPr>
          <w:sz w:val="20"/>
          <w:szCs w:val="20"/>
          <w:color w:val="auto"/>
        </w:rPr>
      </w:pPr>
    </w:p>
    <w:p>
      <w:pPr>
        <w:ind w:left="800" w:hanging="791"/>
        <w:spacing w:after="0"/>
        <w:tabs>
          <w:tab w:leader="none" w:pos="8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OPTION EXERCISE</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 Subject to the terms and conditions of this Agreement, the Option may be exercised by written notice to the Corporation at its Executive Offices attention of the Secretary. Such notice shall state the election to exercise the Option, shall state the number of shares in respect of which it is being exercised (the "Purchased Shares") and shall be signed by the person or persons so exercising the Option. Such notice shall be accompanied by (i) a personal check payable to the order of the Corporation for payment of the full purchase price of the Purchased Shares, (ii) delivery to the Corporation of the number of shares of Stock duly endorsed for transfer and owned by the Employee which have an aggregate Fair Value equal to the aggregate purchase price of the Purchased Shares or (iii) payment therefor made in such other manner as may be acceptable to the Corporation on such terms as may be determined by the Committee. "Fair Value" shall mean the book value of the Stock as determined by the Committee pursuant to the 1991 Plan. In addition to and at the time of payment of the purchase price, the person exercising the Option shall pay to the Corporation the full amount of any federal and state withholding or other taxes applicable to the taxable income of such person resulting from such exercise in cash unless the Committee in its sole discretion shall permit such taxes to be paid in Stock.</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63" w:name="page164"/>
    <w:bookmarkEnd w:id="163"/>
    <w:p>
      <w:pPr>
        <w:ind w:right="3279"/>
        <w:spacing w:after="0" w:line="253" w:lineRule="auto"/>
        <w:rPr>
          <w:sz w:val="20"/>
          <w:szCs w:val="20"/>
          <w:color w:val="auto"/>
        </w:rPr>
      </w:pPr>
      <w:r>
        <w:rPr>
          <w:rFonts w:ascii="Courier New" w:cs="Courier New" w:eastAsia="Courier New" w:hAnsi="Courier New"/>
          <w:sz w:val="14"/>
          <w:szCs w:val="14"/>
          <w:color w:val="auto"/>
        </w:rPr>
        <w:t>B. The Corporation shall deliver a certificate or certificates representing said shares as soon as practicable after receipt of the notice and all required payments by the person or persons exercising the Option as provided in paragraph 4A. hereof. The certificate or certificates for the shares as to which the Option have been so exercised shall not be registered until at least five business days after the date of the exercise of the Option. Unless the person or persons exercising the Option shall otherwise direct the Corporation in writing, such certificate or certificates for the shares shall be registered in the name of the person or persons so exercising the Option and shall be delivered as aforesaid to or upon the written order of the person or persons exercising the Option.</w:t>
      </w:r>
    </w:p>
    <w:p>
      <w:pPr>
        <w:spacing w:after="0" w:line="331"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 In the event the Option shall be exercised, pursuant to paragraphs 3 and 5 hereof, by any person or persons other than the Employee, such notice shall be accompanied by appropriate proof of the derivative right of such person or persons to exercise the Option.</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 The date of exercise of the Option shall be the date on which the notice, the documents and all payments required under this paragraph 4 are received by the Secretary. All shares that shall be purchased upon the exercise of the Option as provided herein shall be fully paid and non-assessable.</w:t>
      </w:r>
    </w:p>
    <w:p>
      <w:pPr>
        <w:spacing w:after="0" w:line="163" w:lineRule="exact"/>
        <w:rPr>
          <w:sz w:val="20"/>
          <w:szCs w:val="20"/>
          <w:color w:val="auto"/>
        </w:rPr>
      </w:pPr>
    </w:p>
    <w:p>
      <w:pPr>
        <w:ind w:left="800" w:hanging="791"/>
        <w:spacing w:after="0"/>
        <w:tabs>
          <w:tab w:leader="none" w:pos="80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OPTION</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Option may not be exercised to any extent after termination of the Option in one of the ways, whichever first occurs, set forth below in this paragraph 5.</w:t>
      </w:r>
    </w:p>
    <w:p>
      <w:pPr>
        <w:spacing w:after="0" w:line="160"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A. The Option shall terminate upon the exercise of such Option in the manner provided in this Agreement and the 1991 Plan, whether or not the shares are ultimately delivered.</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B. The Option shall terminate on the date which is 18 months from the Consulting Termination Date, as such term is defined in the Separation Agreement, in accordance with paragraph 2 hereof.</w:t>
      </w:r>
    </w:p>
    <w:p>
      <w:pPr>
        <w:spacing w:after="0" w:line="162" w:lineRule="exact"/>
        <w:rPr>
          <w:sz w:val="20"/>
          <w:szCs w:val="20"/>
          <w:color w:val="auto"/>
        </w:rPr>
      </w:pPr>
    </w:p>
    <w:p>
      <w:pPr>
        <w:ind w:left="800" w:hanging="791"/>
        <w:spacing w:after="0"/>
        <w:tabs>
          <w:tab w:leader="none" w:pos="80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UPON CHANGES IN STOCK</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there shall be any change in the stock subject to the Option granted hereunder, through merger, consolidation, reorganization, recapitalization, stock dividend, stock split or other change in the corporate structure, appropriate adjustments may be made by the Board of Directors of the Corporation (or if the Corporation is not the surviving corporation in any such transaction, the Board of Directors of the surviving corporation) in the aggregate number and kind of shares subject to the 1991 Plan and the number and kind of shares and the price per share subject to the Option.</w:t>
      </w:r>
    </w:p>
    <w:p>
      <w:pPr>
        <w:spacing w:after="0" w:line="165" w:lineRule="exact"/>
        <w:rPr>
          <w:sz w:val="20"/>
          <w:szCs w:val="20"/>
          <w:color w:val="auto"/>
        </w:rPr>
      </w:pPr>
    </w:p>
    <w:p>
      <w:pPr>
        <w:ind w:left="800" w:hanging="791"/>
        <w:spacing w:after="0"/>
        <w:tabs>
          <w:tab w:leader="none" w:pos="8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OF OPTION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Option shall not be transferable otherwise than by will or by the applicable laws of descent and distribution. More particularly (but without limiting the generality of the foregoing), the Option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Option contrary to the provisions hereof, and the levy of any execution, attachment or similar process upon the Option, shall be null and void and without effect.</w:t>
      </w:r>
    </w:p>
    <w:p>
      <w:pPr>
        <w:spacing w:after="0" w:line="164" w:lineRule="exact"/>
        <w:rPr>
          <w:sz w:val="20"/>
          <w:szCs w:val="20"/>
          <w:color w:val="auto"/>
        </w:rPr>
      </w:pPr>
    </w:p>
    <w:p>
      <w:pPr>
        <w:ind w:left="800" w:hanging="791"/>
        <w:spacing w:after="0"/>
        <w:tabs>
          <w:tab w:leader="none" w:pos="80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EXPENSES AND COMPLIANCE WITH LAWS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Corporation shall at all times during the term of the Option reserve and keep available such number of shares of Stock as will be sufficient to satisfy the requirements of this Agreement, shall pay all original issue and/or transfer taxes with respect to the issue and/or transfer of shares pursuant hereto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164" w:name="page165"/>
    <w:bookmarkEnd w:id="164"/>
    <w:p>
      <w:pPr>
        <w:ind w:left="800" w:hanging="791"/>
        <w:spacing w:after="0"/>
        <w:tabs>
          <w:tab w:leader="none" w:pos="80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As used herein, the term "subsidiary" shall mean any corporation (other than the Corporation) in an unbroken chain of corporations beginning with the Corporation if each of the corporations, other than the last corporation in such chain, owns stock possessing at least 50% of the voting power in one of the other corporations in such chain.</w:t>
      </w:r>
    </w:p>
    <w:p>
      <w:pPr>
        <w:spacing w:after="0" w:line="162" w:lineRule="exact"/>
        <w:rPr>
          <w:sz w:val="20"/>
          <w:szCs w:val="20"/>
          <w:color w:val="auto"/>
        </w:rPr>
      </w:pPr>
    </w:p>
    <w:p>
      <w:pPr>
        <w:ind w:left="800" w:hanging="791"/>
        <w:spacing w:after="0"/>
        <w:tabs>
          <w:tab w:leader="none" w:pos="80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the event that the Board of Directors of the Corporation shall amend the 1991 Plan under the provisions of Article VIII of the 1991 Plan and such amendment shall modify or otherwise affect the subject matter of this Agreement, this Agreement shall, to that extent, be deemed to be amended by such amendment to the 1991 Plan. The Corporation shall notify the Employee in writing of any such amendment to the 1991 Plan and this Agreement as soon as practicable after its approval.</w:t>
      </w:r>
    </w:p>
    <w:p>
      <w:pPr>
        <w:spacing w:after="0" w:line="165" w:lineRule="exact"/>
        <w:rPr>
          <w:sz w:val="20"/>
          <w:szCs w:val="20"/>
          <w:color w:val="auto"/>
        </w:rPr>
      </w:pPr>
    </w:p>
    <w:p>
      <w:pPr>
        <w:ind w:left="800" w:hanging="791"/>
        <w:spacing w:after="0"/>
        <w:tabs>
          <w:tab w:leader="none" w:pos="80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In the event of any conflict between the 1991 Plan and this Agreement, the provisions of the 1991 Plan shall control. This Agreement shall be governed in all respects by the laws of the State of Florida.</w:t>
      </w:r>
    </w:p>
    <w:p>
      <w:pPr>
        <w:spacing w:after="0" w:line="162" w:lineRule="exact"/>
        <w:rPr>
          <w:sz w:val="20"/>
          <w:szCs w:val="20"/>
          <w:color w:val="auto"/>
        </w:rPr>
      </w:pPr>
    </w:p>
    <w:p>
      <w:pPr>
        <w:ind w:left="800" w:hanging="791"/>
        <w:spacing w:after="0"/>
        <w:tabs>
          <w:tab w:leader="none" w:pos="80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Agreement constitutes the entire agreement between the Corporation and the Employee and supersedes all other discussions, correspondence, representations, understandings and agreements between the parties, with respect to the subject matter hereof.</w:t>
      </w:r>
    </w:p>
    <w:p>
      <w:pPr>
        <w:spacing w:after="0" w:line="163" w:lineRule="exact"/>
        <w:rPr>
          <w:sz w:val="20"/>
          <w:szCs w:val="20"/>
          <w:color w:val="auto"/>
        </w:rPr>
      </w:pPr>
    </w:p>
    <w:p>
      <w:pPr>
        <w:ind w:left="800" w:hanging="791"/>
        <w:spacing w:after="0"/>
        <w:tabs>
          <w:tab w:leader="none" w:pos="80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headings of the paragraphs of this Agreement are inserted for convenience only and shall not be deemed a part hereof.</w:t>
      </w:r>
    </w:p>
    <w:p>
      <w:pPr>
        <w:sectPr>
          <w:pgSz w:w="11900" w:h="16838" w:orient="portrait"/>
          <w:cols w:equalWidth="0" w:num="1">
            <w:col w:w="10239"/>
          </w:cols>
          <w:pgMar w:left="220" w:top="620"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FINANCIAL CORPORATION</w:t>
      </w:r>
    </w:p>
    <w:p>
      <w:pPr>
        <w:spacing w:after="0" w:line="175" w:lineRule="exact"/>
        <w:rPr>
          <w:sz w:val="20"/>
          <w:szCs w:val="20"/>
          <w:color w:val="auto"/>
        </w:rPr>
      </w:pPr>
    </w:p>
    <w:p>
      <w:pPr>
        <w:sectPr>
          <w:pgSz w:w="11900" w:h="16838" w:orient="portrait"/>
          <w:cols w:equalWidth="0" w:num="2">
            <w:col w:w="2680" w:space="720"/>
            <w:col w:w="683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JOHN R. ERBEY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John R. Erbey,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By:/s/ WILLIAM C. ERBEY</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William C. Erbey, Chairman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Chief Executive Officer</w:t>
      </w:r>
    </w:p>
    <w:p>
      <w:pPr>
        <w:spacing w:after="0" w:line="175" w:lineRule="exact"/>
        <w:rPr>
          <w:sz w:val="20"/>
          <w:szCs w:val="20"/>
          <w:color w:val="auto"/>
        </w:rPr>
      </w:pPr>
    </w:p>
    <w:p>
      <w:pPr>
        <w:sectPr>
          <w:pgSz w:w="11900" w:h="16838" w:orient="portrait"/>
          <w:cols w:equalWidth="0" w:num="2">
            <w:col w:w="3100" w:space="720"/>
            <w:col w:w="6419"/>
          </w:cols>
          <w:pgMar w:left="220" w:top="620"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4"/>
          <w:szCs w:val="14"/>
          <w:color w:val="auto"/>
        </w:rPr>
        <w:t>EMPLOYEE</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(Legal Signature)</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(Print)</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type w:val="continuous"/>
        </w:sectPr>
      </w:pPr>
    </w:p>
    <w:bookmarkStart w:id="165" w:name="page166"/>
    <w:bookmarkEnd w:id="165"/>
    <w:p>
      <w:pPr>
        <w:ind w:left="5820"/>
        <w:spacing w:after="0"/>
        <w:rPr>
          <w:sz w:val="20"/>
          <w:szCs w:val="20"/>
          <w:color w:val="auto"/>
        </w:rPr>
      </w:pPr>
      <w:r>
        <w:rPr>
          <w:rFonts w:ascii="Courier New" w:cs="Courier New" w:eastAsia="Courier New" w:hAnsi="Courier New"/>
          <w:sz w:val="14"/>
          <w:szCs w:val="14"/>
          <w:color w:val="auto"/>
        </w:rPr>
        <w:t>EXHIBIT 12.1</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OCWEN FINANCIAL COPORATION AND SUBSIDIARIES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COMPUTATION OF EARNINGS TO FIXED CHARGES</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(DOLLARS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ind w:left="400"/>
              <w:spacing w:after="0"/>
              <w:rPr>
                <w:sz w:val="20"/>
                <w:szCs w:val="20"/>
                <w:color w:val="auto"/>
              </w:rPr>
            </w:pPr>
            <w:r>
              <w:rPr>
                <w:rFonts w:ascii="Courier New" w:cs="Courier New" w:eastAsia="Courier New" w:hAnsi="Courier New"/>
                <w:sz w:val="14"/>
                <w:szCs w:val="14"/>
                <w:color w:val="auto"/>
              </w:rPr>
              <w:t>1998</w:t>
            </w:r>
          </w:p>
        </w:tc>
        <w:tc>
          <w:tcPr>
            <w:tcW w:w="10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38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38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(Loss) income from continuing</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operations before income taxes and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extraordinary gain (1) ...............</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(8,564)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23,973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(32,805)</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99,538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61,301</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Add: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3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Interest expensed and capitalized,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except interest on deposits, and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8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amortization of capitalized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debt expenses .........................</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84,897</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72,765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84,596</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44,137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23,162</w:t>
            </w:r>
          </w:p>
        </w:tc>
      </w:tr>
      <w:tr>
        <w:trPr>
          <w:trHeight w:val="167"/>
        </w:trPr>
        <w:tc>
          <w:tcPr>
            <w:tcW w:w="3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Interest on deposits ....................</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98,224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98,370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116,584</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122,070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93,773</w:t>
            </w:r>
          </w:p>
        </w:tc>
      </w:tr>
      <w:tr>
        <w:trPr>
          <w:trHeight w:val="167"/>
        </w:trPr>
        <w:tc>
          <w:tcPr>
            <w:tcW w:w="3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Interest component of rental expense ....</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2,032</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2,135</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520</w:t>
            </w:r>
          </w:p>
        </w:tc>
      </w:tr>
      <w:tr>
        <w:trPr>
          <w:trHeight w:val="167"/>
        </w:trPr>
        <w:tc>
          <w:tcPr>
            <w:tcW w:w="38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fixed charges (2) .................</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184,245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173,167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203,315</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167,165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117,455</w:t>
            </w:r>
          </w:p>
        </w:tc>
      </w:tr>
      <w:tr>
        <w:trPr>
          <w:trHeight w:val="167"/>
        </w:trPr>
        <w:tc>
          <w:tcPr>
            <w:tcW w:w="38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Earnings for computation purposes .........</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175,681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$ 197,140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$ 170,510</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$ 266,703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$ 178,756</w:t>
            </w:r>
          </w:p>
        </w:tc>
      </w:tr>
      <w:tr>
        <w:trPr>
          <w:trHeight w:val="167"/>
        </w:trPr>
        <w:tc>
          <w:tcPr>
            <w:tcW w:w="38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3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Including interest on deposits (3).......</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w:t>
            </w:r>
          </w:p>
        </w:tc>
        <w:tc>
          <w:tcPr>
            <w:tcW w:w="1120" w:type="dxa"/>
            <w:vAlign w:val="bottom"/>
          </w:tcPr>
          <w:p>
            <w:pPr>
              <w:ind w:left="400"/>
              <w:spacing w:after="0"/>
              <w:rPr>
                <w:sz w:val="20"/>
                <w:szCs w:val="20"/>
                <w:color w:val="auto"/>
              </w:rPr>
            </w:pPr>
            <w:r>
              <w:rPr>
                <w:rFonts w:ascii="Courier New" w:cs="Courier New" w:eastAsia="Courier New" w:hAnsi="Courier New"/>
                <w:sz w:val="14"/>
                <w:szCs w:val="14"/>
                <w:color w:val="auto"/>
              </w:rPr>
              <w:t>(4)</w:t>
            </w:r>
          </w:p>
        </w:tc>
        <w:tc>
          <w:tcPr>
            <w:tcW w:w="10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1.58</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w:t>
            </w:r>
          </w:p>
        </w:tc>
      </w:tr>
      <w:tr>
        <w:trPr>
          <w:trHeight w:val="167"/>
        </w:trPr>
        <w:tc>
          <w:tcPr>
            <w:tcW w:w="3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Excluding interest on deposits (3).......</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w:t>
            </w:r>
          </w:p>
        </w:tc>
        <w:tc>
          <w:tcPr>
            <w:tcW w:w="1120" w:type="dxa"/>
            <w:vAlign w:val="bottom"/>
          </w:tcPr>
          <w:p>
            <w:pPr>
              <w:ind w:left="400"/>
              <w:spacing w:after="0"/>
              <w:rPr>
                <w:sz w:val="20"/>
                <w:szCs w:val="20"/>
                <w:color w:val="auto"/>
              </w:rPr>
            </w:pPr>
            <w:r>
              <w:rPr>
                <w:rFonts w:ascii="Courier New" w:cs="Courier New" w:eastAsia="Courier New" w:hAnsi="Courier New"/>
                <w:sz w:val="14"/>
                <w:szCs w:val="14"/>
                <w:color w:val="auto"/>
              </w:rPr>
              <w:t>(5)</w:t>
            </w:r>
          </w:p>
        </w:tc>
        <w:tc>
          <w:tcPr>
            <w:tcW w:w="10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3.39</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3.68</w:t>
            </w:r>
          </w:p>
        </w:tc>
      </w:tr>
    </w:tbl>
    <w:p>
      <w:pPr>
        <w:spacing w:after="0" w:line="338" w:lineRule="exact"/>
        <w:rPr>
          <w:sz w:val="20"/>
          <w:szCs w:val="20"/>
          <w:color w:val="auto"/>
        </w:rPr>
      </w:pPr>
    </w:p>
    <w:p>
      <w:pPr>
        <w:ind w:left="800" w:right="3539" w:hanging="791"/>
        <w:spacing w:after="0" w:line="255" w:lineRule="auto"/>
        <w:tabs>
          <w:tab w:leader="none" w:pos="8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represents pre-tax income from continuing operations before extraordinary gain, adjusted for losses and undistributed income of equity investees.</w:t>
      </w:r>
    </w:p>
    <w:p>
      <w:pPr>
        <w:spacing w:after="0" w:line="162" w:lineRule="exact"/>
        <w:rPr>
          <w:rFonts w:ascii="Courier New" w:cs="Courier New" w:eastAsia="Courier New" w:hAnsi="Courier New"/>
          <w:sz w:val="14"/>
          <w:szCs w:val="14"/>
          <w:color w:val="auto"/>
        </w:rPr>
      </w:pPr>
    </w:p>
    <w:p>
      <w:pPr>
        <w:ind w:left="800" w:right="3379" w:hanging="791"/>
        <w:spacing w:after="0" w:line="254" w:lineRule="auto"/>
        <w:tabs>
          <w:tab w:leader="none" w:pos="8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charges represent total interest expensed and capitalized, including and excluding interest on deposits, amortization of capitalized debt expenses, as well as the interest component of rental expense.</w:t>
      </w:r>
    </w:p>
    <w:p>
      <w:pPr>
        <w:spacing w:after="0" w:line="163"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ratios of earnings to fixed charges were computed by dividing (x) income from continuing operations before income taxes and extraordinary gains, adjusted for losses and undistributed income of equity investees plus fixed charges by (y) fixed charges.</w:t>
      </w:r>
    </w:p>
    <w:p>
      <w:pPr>
        <w:spacing w:after="0" w:line="163" w:lineRule="exact"/>
        <w:rPr>
          <w:rFonts w:ascii="Courier New" w:cs="Courier New" w:eastAsia="Courier New" w:hAnsi="Courier New"/>
          <w:sz w:val="14"/>
          <w:szCs w:val="14"/>
          <w:color w:val="auto"/>
        </w:rPr>
      </w:pPr>
    </w:p>
    <w:p>
      <w:pPr>
        <w:ind w:left="800" w:right="3459" w:hanging="791"/>
        <w:spacing w:after="0" w:line="254" w:lineRule="auto"/>
        <w:tabs>
          <w:tab w:leader="none" w:pos="8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to the Company's loss in 2000 and 1998, the ratio of earnings to fixed charges was less than 1:1. The Company would have had to have generated additional earnings of $9,305 and $34,117, respectively, to achieve a coverage of 1:1.</w:t>
      </w:r>
    </w:p>
    <w:p>
      <w:pPr>
        <w:spacing w:after="0" w:line="163" w:lineRule="exact"/>
        <w:rPr>
          <w:rFonts w:ascii="Courier New" w:cs="Courier New" w:eastAsia="Courier New" w:hAnsi="Courier New"/>
          <w:sz w:val="14"/>
          <w:szCs w:val="14"/>
          <w:color w:val="auto"/>
        </w:rPr>
      </w:pPr>
    </w:p>
    <w:p>
      <w:pPr>
        <w:ind w:left="800" w:right="3459" w:hanging="791"/>
        <w:spacing w:after="0" w:line="254" w:lineRule="auto"/>
        <w:tabs>
          <w:tab w:leader="none" w:pos="8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to the Company's loss in 2000 and 1998, the ratio of earnings to fixed charges was less than 1:1. The Company would have had to have generated additional earnings of $8,564 and $32,805, respectively, to achieve a coverage of 1:1.</w:t>
      </w:r>
    </w:p>
    <w:p>
      <w:pPr>
        <w:sectPr>
          <w:pgSz w:w="11900" w:h="16838" w:orient="portrait"/>
          <w:cols w:equalWidth="0" w:num="1">
            <w:col w:w="10239"/>
          </w:cols>
          <w:pgMar w:left="220" w:top="142" w:right="1440" w:bottom="1440" w:gutter="0" w:footer="0" w:header="0"/>
        </w:sectPr>
      </w:pPr>
    </w:p>
    <w:bookmarkStart w:id="166" w:name="page167"/>
    <w:bookmarkEnd w:id="166"/>
    <w:p>
      <w:pPr>
        <w:ind w:left="5920"/>
        <w:spacing w:after="0"/>
        <w:rPr>
          <w:sz w:val="20"/>
          <w:szCs w:val="20"/>
          <w:color w:val="auto"/>
        </w:rPr>
      </w:pPr>
      <w:r>
        <w:rPr>
          <w:rFonts w:ascii="Courier New" w:cs="Courier New" w:eastAsia="Courier New" w:hAnsi="Courier New"/>
          <w:sz w:val="14"/>
          <w:szCs w:val="14"/>
          <w:color w:val="auto"/>
        </w:rPr>
        <w:t>EXHIBIT 21.0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SUBSIDIARIES OF OCWEN FINANCIAL CORPORATION</w:t>
      </w:r>
    </w:p>
    <w:p>
      <w:pPr>
        <w:sectPr>
          <w:pgSz w:w="11900" w:h="16838" w:orient="portrait"/>
          <w:cols w:equalWidth="0" w:num="1">
            <w:col w:w="10239"/>
          </w:cols>
          <w:pgMar w:left="220" w:top="309"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Organization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400" w:space="720"/>
            <w:col w:w="5119"/>
          </w:cols>
          <w:pgMar w:left="220" w:top="30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Ocwen Federal Bank FSB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Partnership,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Asset Investment Corp.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Limited,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Investors Mortgage Insurance Holding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Properties,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Financial Services,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Capital Trust 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OAIC Mortgage Residential Securities Holdings,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OAIC Bush Street,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OAIC Mortgage Holdings,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Asset Investment - UK,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NHP Affordable Housing Partners,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OAIC Jacksonville,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OAIC California Partnership,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OAIC California Partnership II,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OAIC-Commercial Assets,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NIMS Corp.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Synergy Software,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Service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Ocwen Technology Xchange,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Jersey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175" w:lineRule="exact"/>
        <w:rPr>
          <w:sz w:val="20"/>
          <w:szCs w:val="20"/>
          <w:color w:val="auto"/>
        </w:rPr>
      </w:pPr>
    </w:p>
    <w:p>
      <w:pPr>
        <w:sectPr>
          <w:pgSz w:w="11900" w:h="16838" w:orient="portrait"/>
          <w:cols w:equalWidth="0" w:num="2">
            <w:col w:w="4400" w:space="720"/>
            <w:col w:w="5119"/>
          </w:cols>
          <w:pgMar w:left="220" w:top="309"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39"/>
          </w:cols>
          <w:pgMar w:left="220" w:top="309" w:right="1440" w:bottom="1440" w:gutter="0" w:footer="0" w:header="0"/>
          <w:type w:val="continuous"/>
        </w:sectPr>
      </w:pPr>
    </w:p>
    <w:bookmarkStart w:id="167" w:name="page168"/>
    <w:bookmarkEnd w:id="167"/>
    <w:p>
      <w:pPr>
        <w:jc w:val="right"/>
        <w:ind w:right="3279"/>
        <w:spacing w:after="0"/>
        <w:rPr>
          <w:sz w:val="20"/>
          <w:szCs w:val="20"/>
          <w:color w:val="auto"/>
        </w:rPr>
      </w:pPr>
      <w:r>
        <w:rPr>
          <w:rFonts w:ascii="Courier New" w:cs="Courier New" w:eastAsia="Courier New" w:hAnsi="Courier New"/>
          <w:sz w:val="14"/>
          <w:szCs w:val="14"/>
          <w:color w:val="auto"/>
        </w:rPr>
        <w:t>EXHIBIT 23.0</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CONSENT OF INDEPENDENT CERTIFIED PUBLIC ACCOUNTANTS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filed on January 27, 1998 (Registration No. 333-44999), Registration Statement on Form S-8 filed on August 25, 1998 (Registration No. 333-62217) and Registration Statement on Form S-3 filed on November 5, 1998 (Registration No. 333-64915) of Ocwen Financial Corporation of our report dated February 7, 2001 appearing on page 62 of the 2000 Annual Report to Shareholders which is incorporated by reference into this Annual Report on Form 10-K.</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Fort Lauderdale, Florida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2001</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308" w:right="1440" w:bottom="1440" w:gutter="0" w:footer="0" w:header="0"/>
        </w:sectPr>
      </w:pPr>
    </w:p>
    <w:bookmarkStart w:id="168" w:name="page169"/>
    <w:bookmarkEnd w:id="168"/>
    <w:p>
      <w:pPr>
        <w:spacing w:after="0" w:line="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99.1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 (DOLLARS IN THOUSANDS)</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Each of the factors set forth below could, directly or indirectly, affect the Company's results of operations and financial condition. Capitalized terms that are not defined herein shall have the meanings ascribed to them in the Annual Report on Form 10-K of the Company to which this Exhibit relates.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CHANGING NATURE OF RISKS; NO ASSURANCES AS TO CONSISTENCY OF EARNINGS</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CHANGING NATURE OF RISKS. The Company's corporate strategy emphasizes the identification, development and management of specialized businesses which the Company believes are not accurately evaluated and priced by the marketplace due to market, economic and competitive conditions. This strategy can result in the entry into or development of businesses and investment in assets which produce substantial initial returns, which may be followed by an exit from any of those businesses or the sale of those assets if, for example, results decrease because markets become more efficient in the evaluation and pricing of such businesses and assets. For example, historically, the Company's efforts have focused on lending, the acquisition and resolution of discounted loans, and investment in various types of mortgage-related securities. However, on October 26, 1998, the Company announced that it would refocus its resources on its core competencies, namely the acquisition and management of servicing-intensive assets and the development of exportable loan servicing technology for the mortgage and real estate industries. Given that this strategy involves the potential of entering and exiting different businesses, past financial performance may not be considered a reliable indicator of future performance and historical trends may not be reliable indicators of anticipated results or trends in future periods. In addition, there can be no assurance that the Company will be able to accomplish its strategic objectives as a result of changes in the nature of the Company's operations over time or that such changes will not have a material adverse effect from time to time or generally on the Company's business, financial condition or results of operations.</w:t>
      </w:r>
    </w:p>
    <w:p>
      <w:pPr>
        <w:spacing w:after="0" w:line="342"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INCONSISTENCY OF RESULTS AND NON-RECURRING ITEMS. In addition to inconsistency in results caused by the entry or exit of businesses by the Company, the consistency of the operating results of the Company has and may continue to be significantly affected by inter-period variations in its current operations, including in respect of (i) the amount of assets acquired, particularly discounted loans and the servicing rights to such loans; (ii) the amount of resolutions of discounted loans, particularly large multi-family residential and commercial real estate loans; (iii) the amount of multi-family residential and commercial real estate loans which mature or are prepaid, particularly loans with terms pursuant to which the Company participates in the profits of the underlying real estate; and (iv) sales by the Company of loans and/or securities acquired from the Company's securitization of loans. In addition, the Company's operating results have been significantly affected by certain non-recurring items. For example, the Company has earned significant non-interest income from gains on sales of interest-earning assets and real estate owned. Gains on sales of interest-earning assets and real estate owned generally are dependent on various factors which are not within the control of the Company, including market and economic conditions and accounting regulations. In addition, in the third quarter of 1999, the Company decided to discontinue the practice of structuring securitizations as sales transactions, thus precluding recognition of gain-on-sale accounting. There can be no assurance that the level of gains on sales of interest-earning assets and real estate owned reported by the Company in prior periods will be repeated in future periods or that there will not be substantial inter-period variations in the results from such activities or as a result of other non-recurring items.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NON-TRADITIONAL OPERATING ACTIVITIES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As discussed below, the Company is engaged in a variety of businesses which generally involve more uncertainties and risks than the single-family residential lending activities historically emphasized by savings institutions. In addition, many of the Company's business activities are conducted on a nationwide basis, which reduces the risks associated with concentration in any one particular market area but involves other risks because, among other things, the Company may not be as familiar with market conditions and other relevant factors as it would be in the case of activities which are conducted in the market areas in which its executive offices and branch office are located.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DISCOUNTED LOAN AND SERVICING RIGHTS ACQUISITION AND LOAN RESOLUTION ACTIVITIES. The Company's lending activities include the acquisition (although to a much lesser extent than in prior years) and resolution of non-performing or underperforming single-family (one to four units) residential loans, multi-family (over four units) residential loans and commercial real estate loans which are purchased at a discount. Non-performing and subperforming mortgage loans may be in default or may have a greater than normal risk of future defaults and delinquencies, as compared to newly-originated, high-quality loans of comparable type, size and geographic concentration. Returns on an investment of this type depend on the borrower's ability to make required payments or, in the event of default, the ability of the loan's servicer to foreclose and liquidate the mortgage loan. There can be no assurance that the servicer can liquidate a defaulted mortgage loan successfully or in a timely fashion.</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87"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acquires discounted loans from governmental agencies, which in the early years of the program consisted primarily of the Federal Deposit Insurance Corporation (the "FDIC") and the Resolution Trust Corporation, a federal agency formed to resolve failed savings institutions which has since ceased operations, and in recent years has consisted primarily of the U.S. Department of Housing and Urban Development. In addition to governmental</w:t>
      </w:r>
    </w:p>
    <w:p>
      <w:pPr>
        <w:sectPr>
          <w:pgSz w:w="11900" w:h="16845" w:orient="portrait"/>
          <w:cols w:equalWidth="0" w:num="1">
            <w:col w:w="10239"/>
          </w:cols>
          <w:pgMar w:left="220" w:top="308" w:right="1440" w:bottom="0" w:gutter="0" w:footer="0" w:header="0"/>
        </w:sectPr>
      </w:pPr>
    </w:p>
    <w:bookmarkStart w:id="169" w:name="page170"/>
    <w:bookmarkEnd w:id="169"/>
    <w:p>
      <w:pPr>
        <w:ind w:right="3279"/>
        <w:spacing w:after="0" w:line="252" w:lineRule="auto"/>
        <w:rPr>
          <w:sz w:val="20"/>
          <w:szCs w:val="20"/>
          <w:color w:val="auto"/>
        </w:rPr>
      </w:pPr>
      <w:r>
        <w:rPr>
          <w:rFonts w:ascii="Courier New" w:cs="Courier New" w:eastAsia="Courier New" w:hAnsi="Courier New"/>
          <w:sz w:val="14"/>
          <w:szCs w:val="14"/>
          <w:color w:val="auto"/>
        </w:rPr>
        <w:t>agencies, the Company acquires discounted loans from various private sector sellers, such as banks, savings institutions, mortgage companies and insurance companies. The Company acquires servicing rights principally from private sellers. Although the Company believes that a permanent market for the acquisition of non-performing and underperforming mortgage loans at a discount and the servicing rights to such loans has emerged in recent years, there can be no assurance that the Company will be able to acquire the desired amount and type of discounted loans or servicing rights in future periods or that there will not be significant inter-period variations in the amount of such acquisitions. There also can be no assurance that the discount on the non-performing and underperforming loans acquired by the Company will enable the Company to resolve discounted loans in the future as profitably as in prior periods. Adverse changes in national economic conditions or in the economic conditions in regions in which the Company acquires pools of loans and servicing rights could impair its ability to resolve successfully loans and could have an adverse effect on the value of those loan pools and servicing rights. The yield on the Company's discounted portfolio also is subject to significant inter-period variations as a result of the timing of resolutions of discounted loans, particularly multi-family residential and commercial real estate loans and non-performing single-family residential loans, interest on which is recognized on a cash basis, and the mix of the overall portfolio between performing and non-performing loans. In addition, the volume of discounted loans and servicing rights acquired by the Company may vary over time, thereby affecting results of operations in future periods as the quantity of loans resolved in any one time period may be affected.</w:t>
      </w:r>
    </w:p>
    <w:p>
      <w:pPr>
        <w:spacing w:after="0" w:line="343"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MULTI-FAMILY RESIDENTIAL, COMMERCIAL REAL ESTATE AND CONSTRUCTION LENDING ACTIVITIES. Prior to the Company's decision to cease origination of such loans in 1999, the Company's lending activities included nationwide loans secured by existing commercial real estate, particularly hotels and office buildings, and existing multi-family residential real estate. In addition, from time to time the Company has originated loans for the construction of multi-family residential real estate and land acquisition and development. Multi-family residential real estate, commercial real estate and construction lending generally are considered to involve a higher degree of risk than single-family residential lending due to a variety of factors, including generally larger loan balances, the dependency on successful completion or operation of the project for repayment, the difficulties in estimating construction costs and loan terms which often require little or no amortization of the loan over its term (typically five years) and, instead, provide for a balloon payment at stated maturity. Furthermore, mezzanine loans, which are subordinate to senior loans, and construction loans generally have higher loan-to-value ratios than conventional loans. Although the Company's borrowers generally have an equity investment of 10% to 15% of total project costs, such equity may not be sufficient to protect the Company's investment in these higher-yielding loans. There can be no assurance that any multi-family residential, commercial real estate and construction lending activities engaged in by the Company previously or in the future will not be adversely affected by these and the other risks related to such activities.</w:t>
      </w:r>
    </w:p>
    <w:p>
      <w:pPr>
        <w:spacing w:after="0" w:line="342"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SUBPRIME RESIDENTIAL LENDING ACTIVITIES. The Company closed its domestic subprime origination business in August 1999 and exited the UK subprime origination business by selling its investment in its Ocwen UK subsidiary in September 1999 and its investment in Kensington Group plc in November 2000. Prior to these dates, the Company's lending activities also included the origination or purchase on a nationwide basis of single family residential loans made to borrowers who have significant equity in the properties which secure the loans but who, because of prior credit problems, the absence of a credit history or other factors, were unable or unwilling to qualify as borrowers under federal agency guidelines. These loans were offered pursuant to various programs, including programs which provide for reduced or no documentation for verifying a borrower's income and employment. Subprime loans present a higher level of risk of delinquency or default than loans made to more creditworthy borrowers, and may not be as saleable as loans which conform to the guidelines established by various federal agencies. While the Company believes that the business practices it employed enabled it to reduce higher risks inherent in these loans, no assurance can be given that such practices will afford adequate protection against higher delinquencies, foreclosures or losses than anticipated, and as a result, the Company's financial condition or results of operation could be adversely affected.</w:t>
      </w:r>
    </w:p>
    <w:p>
      <w:pPr>
        <w:spacing w:after="0" w:line="341"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ENVIRONMENTAL RISKS OF LOAN ACQUISITION AND LENDING ACTIVITIES. The Company evaluates the potential for significant environmental problems prior to acquiring or originating a loan because there is a risk for any mortgage loan, particularly a multifamily residential and commercial real estate loan, that hazardous substances or other environmentally restricted substances could be discovered on the related real estate. Through foreclosure, the Company could become the owner of the real estate that secured its loan and might be required to remove such substances from the affected properties or to engage in abatement procedures at its sole cost and expense. There can be no assurance that the cost of such removal or abatement will not substantially exceed the value of the affected properties or the loans secured by such properties, that the Company would have adequate remedies against the prior owners or other responsible parties or that the Company would be able to resell the affected properties either prior to or following completion of any such removal or abatement procedures. If such environmental problems are discovered prior to foreclosure, the Company generally will not foreclose on</w:t>
      </w:r>
    </w:p>
    <w:p>
      <w:pPr>
        <w:sectPr>
          <w:pgSz w:w="11900" w:h="16838" w:orient="portrait"/>
          <w:cols w:equalWidth="0" w:num="1">
            <w:col w:w="10239"/>
          </w:cols>
          <w:pgMar w:left="220" w:top="142" w:right="1440" w:bottom="1440" w:gutter="0" w:footer="0" w:header="0"/>
        </w:sectPr>
      </w:pP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142" w:right="1440" w:bottom="1440" w:gutter="0" w:footer="0" w:header="0"/>
          <w:type w:val="continuous"/>
        </w:sectPr>
      </w:pPr>
    </w:p>
    <w:bookmarkStart w:id="170" w:name="page171"/>
    <w:bookmarkEnd w:id="170"/>
    <w:p>
      <w:pPr>
        <w:ind w:right="3539"/>
        <w:spacing w:after="0" w:line="255" w:lineRule="auto"/>
        <w:rPr>
          <w:sz w:val="20"/>
          <w:szCs w:val="20"/>
          <w:color w:val="auto"/>
        </w:rPr>
      </w:pPr>
      <w:r>
        <w:rPr>
          <w:rFonts w:ascii="Courier New" w:cs="Courier New" w:eastAsia="Courier New" w:hAnsi="Courier New"/>
          <w:sz w:val="14"/>
          <w:szCs w:val="14"/>
          <w:color w:val="auto"/>
        </w:rPr>
        <w:t>the related loan; however, the value of such property as collateral will generally be substantially reduced, and as a result, the Company may suffer a loss upon collection of the loan.</w:t>
      </w:r>
    </w:p>
    <w:p>
      <w:pPr>
        <w:spacing w:after="0" w:line="162"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INVESTMENTS IN LOW-INCOME HOUSING TAX CREDIT INTERESTS. The Company invests in low-income housing tax credit interests (generally limited partnerships) in order to obtain federal income tax credits which are allocated pursuant to Section 42 of the Internal Revenue Code of 1986, as amended (the "Code"). There are many uncertainties and risks associated with an investment in low-income housing tax credit interests, including the risks involved in the construction, lease-up and operation of multi-family residential real estate, the investor's ability to earn sufficient income to utilize the tax credits resulting from such investments in accordance with the requirements of the Code and the possibility of required recapture of previously-earned tax credits. In addition, there are numerous tax risks associated with tax credits resulting from potential changes to the Code. Potential changes in the Code, which have been discussed from time to time, could reduce the benefits associated with the Company's existing investments in low-income housing tax credit interests, including the replacement of the current graduated income taxation provisions in the Code with a "flat tax" based system and increases in the alternative minimum tax, which cannot be reduced by tax credits. Management of the Company is unable to predict whether any of the foregoing or other changes to the Code will be subject to future legislation and, if so, what the contents of such legislation will be and its effects, if any, on the Company.</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INVESTMENTS IN MORTGAGE-RELATED SECURITIES. From time to time the Company invests in a variety of mortgage-related securities, such as senior, subordinate and residual interests in collateralized mortgage obligations ("CMOs"), including CMOs which have qualified as Real Estate Mortgage Investment Conduits. Some mortgage-related securities exhibit considerably more price volatility than mortgages or ordinary mortgage pass-through securities, due in part to the uncertain cash flows that result from changes in the prepayment rates of the underlying mortgages. Other mortgage-related securities, such as subordinate interests, also involve substantially more credit risk than the senior classes of the mortgage-related securities to which such interests relate and generally are not as liquid as such senior classes. The Company has generally acquired subordinate and residual interests primarily in connection with the securitization of its loans, particularly single-family residential loans to non-conforming borrowers and discounted loans, and under circumstances in which it continues to service the loans which back the related securities. The Company has sought to offset the risk of changing interest rates on certain of its mortgage-related securities by selling U.S. Treasury futures contracts and through other hedging techniques, and believes that the resulting interest-rate sensitivity profile compliments the Company's overall exposure to changes in interest rates. See "Economic Conditions" below. Although generally intended to reduce the effects of changing interest rates on the Company, investments in certain mortgage-related securities and hedging transactions could cause the Company to recognize losses depending on the terms of the instrument and the interest rate environment.</w:t>
      </w:r>
    </w:p>
    <w:p>
      <w:pPr>
        <w:spacing w:after="0" w:line="343"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ABILITY TO MANAGE GROWTH. The Company has undergone rapid and significant growth and is continuing to pursue a policy of rapid growth, including growth in foreign countries. The Company's rapid growth has imposed a significant strain on its management resources and there can be no assurance that the Company will be able to attract and retain the necessary personnel to manage its operations effectively, in which event its business, operating results and financial condition could be materially and adversely affected.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OF FUTURE ADJUSTMENTS TO ALLOWANCES FOR LOSSES</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Company believes that it has established adequate allowances for losses for each of its loan portfolio, discounted loan portfolio and match funded loans in accordance with generally accepted accounting principles. Future additions to these allowances, in the form of provisions for losses on loans, discounted loans and match funded loans, may be necessary, however, due to changes in economic conditions, increases in loans and discounted loans and the performance of the Company's loan and discounted loan portfolios. In addition, the OTS, as part of its examination process, periodically reviews the Company's allowances for losses and the carrying value of its assets. As a result of OTS reviews, the Company in the past has increased its allowances for losses on loans and discounted loans and written down the carrying value of certain loans. There can be no assurance that the Company will not determine, at the request of the OTS or otherwise, to further increase its allowances for losses on loans and discounted loans or adjust the carrying value of its real estate owned or other assets. Increases in the Company's provisions for losses on loans would adversely affect the Company's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REAL ESTATE OWNED</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GENERAL. The Company's real estate owned consists almost entirely of single-family residential real estate and multi-family residential and commercial real estate acquired by foreclosure or deed-in-lieu thereof on loans in the Company's discounted loan portfolio. Generally, real estate owned properties are non-earning assets, although multi-family residential and commercial real estate owned may provide some operating income to the Company depending on the circumstances. Such operating income may be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974" w:gutter="0" w:footer="0" w:header="0"/>
        </w:sectPr>
      </w:pPr>
    </w:p>
    <w:bookmarkStart w:id="171" w:name="page172"/>
    <w:bookmarkEnd w:id="171"/>
    <w:p>
      <w:pPr>
        <w:ind w:right="3279"/>
        <w:spacing w:after="0" w:line="252" w:lineRule="auto"/>
        <w:rPr>
          <w:sz w:val="20"/>
          <w:szCs w:val="20"/>
          <w:color w:val="auto"/>
        </w:rPr>
      </w:pPr>
      <w:r>
        <w:rPr>
          <w:rFonts w:ascii="Courier New" w:cs="Courier New" w:eastAsia="Courier New" w:hAnsi="Courier New"/>
          <w:sz w:val="14"/>
          <w:szCs w:val="14"/>
          <w:color w:val="auto"/>
        </w:rPr>
        <w:t>affected by problems experienced by lessees, which may weaken their financial condition and result in failure to make rental payments when due. At any time, a lessee of the Company's properties may seek the protection of bankruptcy laws, which could result in rejection and termination of the lessee's lease and thereby cause a reduction in cash flow available for distribution to the Company. Moreover, the value of real estate can be significantly affected by adverse changes in national or local economic conditions, competition from other properties offering the same or similar services, changes in interest rates and in the availability, cost and terms of mortgage funds, acts of nature, including earthquakes, hurricanes and other natural disasters, and other factors which are beyond the control of the Company. These factors may require the establishment of provisions for losses to ensure that real estate owned properties are carried at the lower of cost or fair value, less estimated costs to dispose of the properties, which may adversely affect operations. Real estate owned</w:t>
      </w:r>
    </w:p>
    <w:p>
      <w:pPr>
        <w:spacing w:after="0" w:line="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also requires increased allocation of resources and expense to the management and work out of the asset, property taxes and compliance with respect to environmental laws and the Americans with Disabilities Act of 1990, which can also adversely affect operations. There can be no assurance that the amount of the Company's real estate owned will not increase in the future as a result of the Company's discounted loan acquisition and resolution activities and the Company's single-family residential, multi-family residential, commercial real estate and construction lending activities.</w:t>
      </w:r>
    </w:p>
    <w:p>
      <w:pPr>
        <w:spacing w:after="0" w:line="16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ENVIRONMENTAL RISKS. Operating costs and the value of real property may be affected by the obligation to pay for the cost of complying with existing environmental laws, ordinances and regulations, as well as the cost of future legislation. 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Therefore, an environmental liability could have a material adverse effect on the underlying value of a real property, and the revenue therefrom. Although the Company believes that its pre-acquisition due diligence identified all material environmental concerns which relate to its current investments in real estate and accurately assessed the costs and liabilities to be concurred by it in this regard, there can be no assurance that such investments will not raise material unanticipated environmental concerns or costs in the future.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ASSOCIATED WITH ACQUISITIONS AND DIVESTITURES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Acquiring businesses and assets has been and may continue to be an important focus of the Company's strategic efforts. Any acquisitions could vary in size and may include those that are large relative to the Company. There can be no assurance that suitable acquisition candidates can be identified, that financing for such acquisitions would be available on satisfactory terms, that the Company would be able to accomplish its strategic objectives as a result of any such acquisitions, that any business or assets acquired by the Company would be integrated successfully or that integration of acquired businesses would not divert management resources or otherwise have a material adverse effect on the Company's business, financial condition or results of operations. The Company is continually evaluating possible acquisitions and engages in discussions with acquisition candidates from time to time.</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addition, in the event that the Company chooses to divest any business or sell any asset in the future, there can be no assurance that a suitable purchaser could be identified, that the Company would be able to accomplish its strategic objectives as a result of any such sale, that any proposed asset or business sold by the Company would be completed or that the separation of any such asset or business from the Company would not diminish management resources or otherwise have a material adverse effect on the Company's business, financial condition or results of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ASSOCIATED WITH TECHNOLOGY</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Company's wholly-owned subsidiary, Ocwen Technology Xchange, Inc. ("OTX"), licenses the Company's mortgage loan servicing resolution and work flow technology to third parties in the mortgage and real estate industries. The products offered by OTX have resulted from the enhancement of software products acquired through the Company's purchases of Amos, Inc., a developer of residential mortgage loan servicing software, DTS Communications, Inc., a real estate technology company, and the assets of Synergy Software, LLC, a developer of commercial and multi-family mortgage servicing software, with the Company's own proprietary technology.</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REVENUE RECOGNITION. A portion of Ocwen's revenue attributable to OTX operations includes license fees and implementation fees related to the installation of its technology products. In certain instances, customers receive certain elements of OTX's products or services over a period of time and in some instances, fees received may be refundable based on the provisions of the underlying agreements. Consequently, certain revenue is deferred and recognized over future periods.</w:t>
      </w:r>
    </w:p>
    <w:p>
      <w:pPr>
        <w:spacing w:after="0" w:line="16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RAPID TECHNOLOGICAL CHANGE AND COMPETITION. Rapid change, uncertainty due to new and emerging technologies, and fierce competition characterize the software industry. OTX's ability to grow is dependent upon the Company's ability to develop and introduce new products and enhance existing products to satisfy</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640" w:gutter="0" w:footer="0" w:header="0"/>
        </w:sectPr>
      </w:pPr>
    </w:p>
    <w:bookmarkStart w:id="172" w:name="page173"/>
    <w:bookmarkEnd w:id="172"/>
    <w:p>
      <w:pPr>
        <w:ind w:right="3379"/>
        <w:spacing w:after="0" w:line="253" w:lineRule="auto"/>
        <w:rPr>
          <w:sz w:val="20"/>
          <w:szCs w:val="20"/>
          <w:color w:val="auto"/>
        </w:rPr>
      </w:pPr>
      <w:r>
        <w:rPr>
          <w:rFonts w:ascii="Courier New" w:cs="Courier New" w:eastAsia="Courier New" w:hAnsi="Courier New"/>
          <w:sz w:val="14"/>
          <w:szCs w:val="14"/>
          <w:color w:val="auto"/>
        </w:rPr>
        <w:t>consumer demand for new technologies. Because the pace of change continues to accelerate, new opportunities for competitors are created and OTX's business planning is subject to substantial uncertainty. Competitors, working with new technology, may arrive at a technology that creates a new market altogether and renders the Company's product offerings obsolete. If the Company does not successfully identify new product opportunities and develop and bring new products to market in a timely and efficient manner, the Company's business growth will suffer and demand for its products will decrease. Competing platforms, and products may gain popularity with customers, vendors and loan originators, reducing or eliminating the potential for OTX's future revenue.</w:t>
      </w:r>
    </w:p>
    <w:p>
      <w:pPr>
        <w:spacing w:after="0" w:line="164"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FUTURE INITIATIVES. The Company plans to continue significant investments in software research and development including the ongoing development of increased functionality for OTX's products, including REALTransSM, _ REAL-eTM and REALSynergyTM, where the Company has the opportunity to capture significant market share through improved efficiencies offered by these products. It is anticipated that these investments in research and development will increase over historical spending levels without corresponding growth in revenue in the near future. Significant revenue from these product opportunities may not be achieved for a number of years, if at all.</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SOFTWARE DEVELOPMENT. The software industry is inherently complex. New products and product enhancements can require long development and testing periods. While the Company believes it has developed products attractive to the mortgage and real estate industries, the computer software industry is subject to rapid technological change, changing customer requirements, frequent new product introductions and evolving industry standards that may render existing products and services obsolete. There can be no assurance that OTX will not experience future difficulties that could delay or prevent the successful development, introduction and marketing of its products, or that its products and product enhancements will meet the requirements of the marketplace and achieve market acceptance. If OTX is unable to develop and introduce products of acceptable quality in a timely manner in response to changing market conditions or customer requirements, the Company's business, operating results and financial condition could be adversely affected.</w:t>
      </w:r>
    </w:p>
    <w:p>
      <w:pPr>
        <w:spacing w:after="0" w:line="163"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PRICES. The competitive factors described above may require OTX to lower product prices to meet competition, reducing the Company's net income.</w:t>
      </w:r>
    </w:p>
    <w:p>
      <w:pPr>
        <w:spacing w:after="0" w:line="160"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INTERNATIONAL OPERATIONS. The Company is beginning to conduct more of its business outside the United States. The costs of selling the Company's products and providing its services in these countries may be higher than the Company's prices in the United States because of the costs incurred in localizing both products and financial services for non-U.S. markets. While the Company seeks to set its prices for its products and services higher to compensate for the additional expense, pressure to globalize its pricing structures might require that the Company reduce the sales price of its financial services and software in other countries, even though the costs continue to be higher than in the United States. Difficulties in staffing and managing foreign operations; unexpected changes in regulatory requirements for financial services and software; negative changes in software "piracy" trade protection laws, policies and measures and other regulatory requirements affecting trade and investment; social, political, labor or economic conditions in a specific country or region; and potential adverse foreign tax consequences; among other factors, could also have an impact on the Company's business and results of operations outside of the United States.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ASSOCIATED WITH MORTGAGE LOANS SERVICING</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EXTENSIVE USE OF FINANCIAL LEVERAGE. The Company is highly leveraged and will continue to be highly leveraged. The Company's ability to make payments of principal or interest on or to refinance its indebtedness depends on its future operating performance and its ability to effect additional debt and/or equity financing, which is subject to economic, financial, competitive and other factors beyond its control, including restrictions on the Company's ability to obtain additional debt financing contained in the indentures relating to its 11 7/8% Notes and 10 7/8% Junior Subordinated Debentures.</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 intends to finance advances it is required to make in connection with the acquisition of servicing rights to pools of loans and the servicing of the loans throughout the life of the loan. Generally, the Company expects to be able to finance up to ninety percent of the advance amounts. While the leveraged nature of the Company's assets offers the opportunity for increased rates of return on the Company's invested capital, it involves a greater degree of risk.</w:t>
      </w:r>
    </w:p>
    <w:p>
      <w:pPr>
        <w:spacing w:after="0" w:line="33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This degree of leverage also makes the Company more vulnerable to a downturn in real estate values or the economy generally. Although management generally expects to repay any indebtedness incurred in connection with an acquisition from the proceeds of the servicing, a downturn in the economy or real estate market could reduce those proceeds. An increase in market interest rates or a decline in the value of the collateral securing the acquired pool of loans could adversely effect the ability of the Company to repay its borrowings and could have a material adverse effect on the Company's results of operations and financial condition.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141" w:gutter="0" w:footer="0" w:header="0"/>
        </w:sectPr>
      </w:pPr>
    </w:p>
    <w:bookmarkStart w:id="173" w:name="page174"/>
    <w:bookmarkEnd w:id="173"/>
    <w:p>
      <w:pPr>
        <w:ind w:right="3279" w:firstLine="521"/>
        <w:spacing w:after="0" w:line="253" w:lineRule="auto"/>
        <w:rPr>
          <w:sz w:val="20"/>
          <w:szCs w:val="20"/>
          <w:color w:val="auto"/>
        </w:rPr>
      </w:pPr>
      <w:r>
        <w:rPr>
          <w:rFonts w:ascii="Courier New" w:cs="Courier New" w:eastAsia="Courier New" w:hAnsi="Courier New"/>
          <w:sz w:val="14"/>
          <w:szCs w:val="14"/>
          <w:color w:val="auto"/>
        </w:rPr>
        <w:t>NEED FOR ADDITIONAL FINANCING. The Company's expansion strategy will result in the need for additional debt and/or equity financing in the future, and there can be no assurance that the Company will be able to obtain such financing on acceptable terms. In addition, the indentures relating to the Company's 11 7/8% Notes and 10 7/8% Junior Subordinated Debentures restrict the Company's ability to obtain additional debt financing. The Company's degree of leverage may make it more difficult for the Company to obtain additional financing for future working capital, capital expenditures, acquisitions, general corporate purposes or other purposes and may cause the Company to dedicate a substantial portion of its cash flow from operations to the payment of principal and interest on indebtedness, thereby reducing the funds available for operations and future business opportunities. To the extent the Company is unable to extend or replace existing facilities or generate sufficient cash flow from the servicing rights, the Company may have to curtail its acquisition of servicing rights, which could have a material adverse effect on its financial position and results of operations.</w:t>
      </w:r>
    </w:p>
    <w:p>
      <w:pPr>
        <w:spacing w:after="0" w:line="330"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RISKS RELATED TO ACQUIRED SERVICING RIGHTS ON POOLS OF LOANS. In determining the purchase price for servicing rights, management makes certain assumptions regarding, among other things, the real estate market and the Company's ability to successfully service and resolve loans and to dispose of any foreclosed real estate. To the extent that the Company's underlying assumptions prove to be inaccurate or the basis for those assumptions change (for example, an unanticipated decline in the real estate market), the price paid by the Company for servicing rights may prove to have been excessive, resulting in a lower yield or a loss to the Company. Therefore, the success of the Company is highly dependent on its pricing of servicing rights as well as general economic conditions in the geographic areas in which the foreclosed real estate or properties underlying the loans are located. Adverse changes in national economic conditions or in the economic conditions in regions in which the Company acquires pools of loans could impair its ability to successfully resolve loans and have an adverse effect on the value of those pools of loans. In addition, because non-performing loans do not make regular cash payments and in various servicing relationships, the Company is repaid for advances out of proceeds from the loans, the return to the Company may be significantly influenced by the time it takes to resolve the loan, which varies based on, among other things, state consumer protection and foreclosure laws, both of which are subject to change.</w:t>
      </w:r>
    </w:p>
    <w:p>
      <w:pPr>
        <w:spacing w:after="0" w:line="341"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RISKS RELATED TO INTERNATIONAL SERVICING OPERATIONS. The Company has invested in a joint venture with servicing operations in Italy. The joint venture plans to use the Company's servicing system, which must be adapted for servicing loans in Western Europe. The Company's international servicing operations are subject to most of the same risks associated with its U.S. operations as well as additional risks as fluctuations in foreign currency exchange rates, unexpected changes in regulatory requirements, heightened risks of political and economic instability, difficulties in managing international operations, potentially adverse tax consequences, enhanced accounting and control expenses and the burden of complying with a wide variety of foreign laws. In addition, the Company's management has only limited experience in servicing loans in foreign countries. Accordingly, there can be no assurance that one or more of these factors will not have a materially adverse effect on the Company's operations.</w:t>
      </w:r>
    </w:p>
    <w:p>
      <w:pPr>
        <w:spacing w:after="0" w:line="330"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RISK OF INCREASED CAPITAL REQUIREMENTS. Federally insured savings associations are required to maintain minimum levels of regulatory capital. These standards generally are as stringent as the comparable capital requirements imposed on national banks. The OTS also is authorized to impose capital requirements in excess of those standards on individual associations on a case-by-case basis. In making such determination, the OTS can take into account a number of factors, including the bank's loan portfolio quality, recent operating losses or anticipated losses, the condition of its holding company and whether the bank is receiving special supervisory attention, among other matters. If the OTS were to impose higher capital requirements than it has currently established for the Bank or additional capital were required as a result of an adverse determination by the OTS or otherwise, the Company might inject additional capital into the Bank, whether or not such usage of capital is optimal for the Company. Such additional capital contributions may have the effect of reducing or eliminating the Company's overall net income or requiring the Company to obtain additional debt or equity capital. In the event that the Company was unable or refused to inject capital into the Bank as required by the OTS significant adverse consequences could result.</w:t>
      </w:r>
    </w:p>
    <w:p>
      <w:pPr>
        <w:spacing w:after="0" w:line="17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RISKS RELATED TO SECURITIZATION. Under certain circumstances, the Company may be required to advance funds to securitization trusts, indemnify the trustee and the underwriters of a securitization and repurchase certain loans that were securitized. In connection with a securitization, the Company may be required to agree that, in the event of a breach of any representation or warranty made by it that materially and adversely affects the value of an underlying mortgage loan, the Company will repurchase that loan at a price equal to the then outstanding principal balance of the loan and any accrued and unpaid interest thereon.</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Company conducts business in the United States, Jamaica and, though a joint venture, Italy, is exploring opportunities in the Republic of Korea and may explore opportunities outside of these markets. The Company is also establishing a software development and servicing operations center in India. The Company's foreign operations are subject to most of the same risks associated with its U.S. operations, as well as additional risks, such as unexpected changes in local regulatory requirements, difficulties in managing</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0" w:gutter="0" w:footer="0" w:header="0"/>
        </w:sectPr>
      </w:pPr>
    </w:p>
    <w:bookmarkStart w:id="174" w:name="page175"/>
    <w:bookmarkEnd w:id="174"/>
    <w:p>
      <w:pPr>
        <w:ind w:right="3459"/>
        <w:spacing w:after="0" w:line="253" w:lineRule="auto"/>
        <w:rPr>
          <w:sz w:val="20"/>
          <w:szCs w:val="20"/>
          <w:color w:val="auto"/>
        </w:rPr>
      </w:pPr>
      <w:r>
        <w:rPr>
          <w:rFonts w:ascii="Courier New" w:cs="Courier New" w:eastAsia="Courier New" w:hAnsi="Courier New"/>
          <w:sz w:val="14"/>
          <w:szCs w:val="14"/>
          <w:color w:val="auto"/>
        </w:rPr>
        <w:t>international operations, potentially adverse tax consequences, enhanced accounting and control expenses and the burden of complying with foreign laws. Changes in foreign currency exchange rates may also affect the value of the Company's foreign assets and the gains realized from the sale of such assets. Although the Company implements hedging strategies to limit the effects of currency exchange rate fluctuations on the Company's results of operations, currency hedging strategies, like those for interest rates, may not perform their intended purpose. See "Economic Conditions". There can be no assurance that such factors will not have a material adverse effect on the Company's business, results of operations or financial condition. In addition, the Company's management has only limited international experience outside of the U.S., which could limit the Company's ability to capitalize on investment opportunities that may arise elsewhere.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AND REGULATORY CAPITAL REQUIREMENTS</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Both the Company, as a savings and loan holding company, and the Bank, as a federally-chartered savings institution, are subject to significant governmental supervision and regulation, which is intended primarily for the protection of depositors. Statutes and regulations affecting the Company and the Bank may be changed at any time, and the interpretation of these statutes and regulations by examining authorities also is subject to change. There can be no assurance that future changes in applicable statutes and regulations or in their interpretation will not adversely affect the business of the Company. The applicable regulatory authorities may, as a result of such regulation and examination, impose regulatory sanctions upon the Company or the Bank, as applicable, as well as various requirements or restrictions which could adversely affect their business activities. A substantial portion of the Bank's operations involves businesses that are not traditionally conducted by savings institutions and, as a result, there can be no assurance that future actions by applicable regulatory authorities, or future changes in applicable statutes or regulations, will not limit or otherwise adversely affect the Bank's ability to engage in such activities.</w:t>
      </w:r>
    </w:p>
    <w:p>
      <w:pPr>
        <w:spacing w:after="0" w:line="173"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Following an examination of the Bank in late 1996 and early 1997 by the Office of Thrift Supervision (the "OTS"), the Bank committed to the OTS to maintain, commencing on June 30, 1997, regulatory capital ratios which significantly exceed the requirements which are generally applicable to federally-chartered savings institutions such as the Bank. Specifically, the Bank has committed to the OTS to maintain a core capital (leverage) ratio and a total risk-based capital ratio of at least 9% and 13%, respectively (the requirements of general applicability are 3% and 8%, respectively). At December 31, 2000, the Bank's core capital, Tier 1 risk-based capital and total risk-based capital ratios amounted to 13.83%, 16.70% and 21.83%, respectively. Based on discussions with the OTS, the Bank believes that this commitment does not affect its status as a "well-capitalized" institution, assuming the Bank's continued compliance with the regulatory capital requirements that it committed to maintain. Under applicable laws and regulations, an institution is considered to be "well-capitalized" if it maintains a total risk-based capital ratio of 10.0% or more, a Tier 1 risk-based capital ratio of 6.0% or more and a core capital (leverage) ratio of 5.0% or more and is not subject to a written agreement, order or directive issued by an appropriate agency to meet and maintain a specific capital level for any capital measure.</w:t>
      </w:r>
    </w:p>
    <w:p>
      <w:pPr>
        <w:spacing w:after="0" w:line="174"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There can be no assurance that in the future the OTS either will agree to a decrease in the 9% core capital (leverage) ratio and the 13% total risk-based capital ratio committed to be maintained by the Bank or will not seek an increase in such requirements. Unless and until these regulatory capital requirements are decreased, the Bank's ability to leverage its capital through future growth in assets (including its ability to continue growing at historical rates) will be adversely affected, as will the Company's ability to receive dividends from the Bank. Although the Company and its non-banking subsidiaries will not be restricted in their growth by these capital requirements, because they do not have access to the Bank's funding sources, their profitability may be different from the Bank's for particular types of businesses. In addition, there can be no assurance that the Bank will continue to meet the regulatory capital requirements that it has committed to maintain or that the OTS will not formally impose such requirements pursuant to a written agreement, order or directive, which would cause the Bank to cease to be a "well-capitalized" institution under applicable laws and regulations. In the event that the Bank ceased to be a "well-capitalized" institution, the Bank would be prohibited from accepting, renewing or rolling over its brokered and other wholesale deposits, which are its principal sources of funding, without the prior approval of the FDIC, and the Bank could become subject to other regulatory restrictions on its operations.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CONDITIONS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GENERAL. The success of the Company is dependent to a certain extent upon the general economic conditions in the geographic areas in which it conducts substantial business activities. Adverse changes in national economic conditions or in the economic conditions of regions in which the Company conducts substantial business likely would impair the ability of the Company to collect on outstanding loans or dispose of real estate owned and would otherwise have an adverse effect on its business, including the demand for new loans, the ability of customers to repay loans and the value of both the collateral pledged to the Company to secure its loans and its real estate owned. Moreover, earthquakes and</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806" w:gutter="0" w:footer="0" w:header="0"/>
        </w:sectPr>
      </w:pPr>
    </w:p>
    <w:bookmarkStart w:id="175" w:name="page176"/>
    <w:bookmarkEnd w:id="175"/>
    <w:p>
      <w:pPr>
        <w:ind w:right="3279"/>
        <w:spacing w:after="0" w:line="253" w:lineRule="auto"/>
        <w:rPr>
          <w:sz w:val="20"/>
          <w:szCs w:val="20"/>
          <w:color w:val="auto"/>
        </w:rPr>
      </w:pPr>
      <w:r>
        <w:rPr>
          <w:rFonts w:ascii="Courier New" w:cs="Courier New" w:eastAsia="Courier New" w:hAnsi="Courier New"/>
          <w:sz w:val="14"/>
          <w:szCs w:val="14"/>
          <w:color w:val="auto"/>
        </w:rPr>
        <w:t>other natural disasters could have similar effects. Although such disasters have not significantly adversely affected the Company to date, the availability of insurance for such disasters in California, in which the Company conducts substantial business activities, is severely limited. Moreover, changes in building codes and ordinances, environmental considerations and other factors also might make it infeasible to use insurance proceeds to replace a property if it is damaged or destroyed. Under such circumstances, the insurance proceeds received by a borrower or the Company might not be adequate to restore the Company's economic position with respect to the affected collateral or real estate. At December 31, 2000, the Company had loans aggregating $100,036 (including match funded loans and loans available for sale) secured by properties located in California and $3,847 of the Company's real estate owned was located in California, which collectively represented 5% of the Company's total assets at such date.</w:t>
      </w:r>
    </w:p>
    <w:p>
      <w:pPr>
        <w:spacing w:after="0" w:line="330"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EFFECTS OF CHANGES IN INTEREST RATES. Net interest income is the difference between the interest income earned on interest-earning assets and the interest expense incurred in connection with its interest-bearing liabilities. Changes in the general level of interest rates can affect the Company's net interest income by affecting the spread between the Company's return on interest-earning assets and the Company's cost of interest-bearing liabilities, as well as, among other things, the ability of the Company to originate loans; the value of the Company's interest-earning assets and its ability to realize gains from the sale of such assets; the average life of the Company's interest-earning assets; the value of the Company's mortgage servicing rights; and the Company's ability to obtain deposits in competition with other available investment alternatives. Interest rates are highly sensitive to many factors, including governmental monetary policies, domestic and international economic and political conditions and other factors beyond the control of the Company. Although management believes that the maturities of the Company's assets are well balanced in relation to its liabilities (which involves various estimates and assumptions, including as to how changes in the general level of interest rates will impact its assets and liabilities), there can be no assurance that the profitability of the Company would not be adversely affected during any period of changing interest rates.</w:t>
      </w:r>
    </w:p>
    <w:p>
      <w:pPr>
        <w:spacing w:after="0" w:line="341"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POTENTIAL ADVERSE EFFECTS OF HEDGING STRATEGIES. The Company may utilize a variety of financial instruments, including interest rate swaps, caps, floors and other interest rate exchange contracts and foreign currency futures contracts, in order to limit the effects of interest rates or changes in foreign currency exchange rates on its operations. Among the risks inherent with respect to the purchase and/or sale of such derivative instruments are (i) interest rate risk, which consists of the risks relating to fluctuating interest rates; (ii) basis risk, which consists of the risk of loss associated with variations in the spread between the asset yield and the funding and/or hedge costs; (iii) credit or default risk, which consists of the risk of insolvency or other inability of the counterparty to a particular transaction to perform its obligations thereunder; (iv) prepayment risk, which consists of reinvestment risk to the extent the Company is not able to reinvest repayments, if any, at a yield which is comparable to the yield being generated on the particular security; (v) liquidity risk, which consists of the risk that the Company may not be able to sell a particular security at a particular price; (vi) legal enforceability risk, which consists of the risks related to Company's ability to enforce the terms of a particular instrument or to obtain or collect upon a legal judgment in the United States in the event that the counterparty to the transaction is a foreign entity or the underlying collateral is located in a foreign jurisdiction; and (vii) volatility risk, which consists of the risk that actual volatility (i.e., the degree of uncertainty relating to the price of the underlying asset) differs from the historical volatility or "implied" volatility of the instrument.</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RELIANCE ON BROKERED AND OTHER WHOLESALE DEPOSITS</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Company currently utilizes as its principal source of funds certificates of deposit obtained through national investment banking firms which obtain funds from their customers for deposit with the Company ("brokered deposits") and, to a lesser extent, certificates of deposit obtained from customers of regional and local investment banking firms and direct solicitation efforts by the Company of institutional investors and high net worth individuals. The Company believes that the effective cost of brokered and other wholesale deposits, as well as other non-branch dependent sources of funds, such as securities sold under agreements to repurchase ("reverse repurchase agreements") and advances from the Federal Home Loan Bank ("FHLB") of New York, generally is more attractive to the Company than deposits obtained through branch offices after the general and administrative costs associated with operating a branch office network are taken into account. However, such funding sources, when compared to retail deposits attracted through a branch network, are generally more sensitive to changes in interest rates and volatility in the capital markets and their availability and terms are more likely to be subject to competitive pressures. In addition, such funding sources may be more sensitive to significant changes in the financial condition of the Company. There are also regulatory limitations on an insured institution's ability to solicit and obtain brokered deposits in certain circumstances, which currently are not applicable to the Bank because of its status as a "well capitalized" institution under applicable laws and regulations. See "Regulation and Regulatory Capital Requirements" above. As a result of the Company's reliance on brokered and other wholesale deposits, significant changes in prevailing interest rates, in the availability of alternative investments for individual and institutional investors or in the Company's financial condition, among other factors, could have a much more significant affect on the Company's liquidity and results of operations than might be the case with an institution that attracted a greater portion of its funds from retail or core deposits obtained through a branch network.</w:t>
      </w:r>
    </w:p>
    <w:p>
      <w:pPr>
        <w:spacing w:after="0" w:line="200" w:lineRule="exact"/>
        <w:rPr>
          <w:sz w:val="20"/>
          <w:szCs w:val="20"/>
          <w:color w:val="auto"/>
        </w:rPr>
      </w:pPr>
    </w:p>
    <w:p>
      <w:pPr>
        <w:spacing w:after="0" w:line="31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0" w:gutter="0" w:footer="0" w:header="0"/>
        </w:sectPr>
      </w:pPr>
    </w:p>
    <w:bookmarkStart w:id="176" w:name="page177"/>
    <w:bookmarkEnd w:id="176"/>
    <w:p>
      <w:pPr>
        <w:ind w:right="3379"/>
        <w:spacing w:after="0" w:line="258" w:lineRule="auto"/>
        <w:rPr>
          <w:sz w:val="20"/>
          <w:szCs w:val="20"/>
          <w:color w:val="auto"/>
        </w:rPr>
      </w:pPr>
      <w:r>
        <w:rPr>
          <w:rFonts w:ascii="Courier New" w:cs="Courier New" w:eastAsia="Courier New" w:hAnsi="Courier New"/>
          <w:sz w:val="14"/>
          <w:szCs w:val="14"/>
          <w:color w:val="auto"/>
        </w:rPr>
        <w:t>RISKS ASSOCIATED WITH CURRENT SOURCES OF LIQUIDITY AND ADDITIONAL FINANCING FOR GROWTH</w:t>
      </w:r>
    </w:p>
    <w:p>
      <w:pPr>
        <w:spacing w:after="0" w:line="160"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CURRENT SOURCES OF LIQUIDITY. The Company's primary sources of funds for liquidity consist of deposits, FHLB advances, reverse repurchase agreements, lines of credit and maturities and principal payments on loans and securities and proceeds from sales thereof. The Company believes that its existing sources of liquidity will be adequate to fund planned activities for the foreseeable future, although there can be no assurances in this regard. Moreover, the Company continues to evaluate other sources of liquidity, such as lines of credit from unaffiliated parties, which will enhance the Company's ability to increase its liquidity position. The inability of the Company to maintain adequate sources of liquidity, including as a result of the failure to extend or replace existing lines of credit or as a result of the factors described under "Risks Related to Reliance on Brokered and Other Wholesale Deposits" above or "Risks of Securitization" below, could have a material adverse effect on the Company's business, financial condition or results of operations.</w:t>
      </w:r>
    </w:p>
    <w:p>
      <w:pPr>
        <w:spacing w:after="0" w:line="163"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ADDITIONAL FINANCING FOR GROWTH. The Company's ability to enter into and exit from certain business lines as opportunities emerge depends to a significant degree on its ability to obtain additional indebtedness, obtain additional equity capital or have access to other sources of capital (e.g., through partnering, joint venturing or other economic or contractual relationships). The Company has no commitments for borrowings in addition to those under its current debt securities and lines of credit, no commitments for future sales of equity capital and no commitments to provide access to other sources of capital. There can be no assurance that the Company will be successful in consummating future financing transactions, if any, on terms satisfactory to the Company, if at all. Factors which could affect the Company's access to the capital markets or other economic or contractual relationships, or the conditions under which the Company could obtain additional financing, involve the perception in the capital markets and the financial services industry of the Company's business, results of operations, leverage, financial condition and business prospects. Each of these factors is to a large extent subject to economic, financial and competitive factors beyond the Company's control. In addition, covenants under the Company's current debt securities and lines of credit do, and future ones may, significantly restrict the Company's ability to incur additional indebtedness, to issue Preferred Stock and to enter into certain other contractual relationships.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ASSOCIATED WITH HOLDING COMPANY STRUCTURE</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As a holding company, the ability of the Company to pay dividends, to pay indebtedness and to conduct its financial operating activities directly or in non-banking subsidiaries will depend on cash reserves and other liquid assets held by the Company, any proceeds from securities offerings or other borrowings, any dividends from non-banking subsidiaries of the Company and the receipt of dividends or other distributions from the Bank. The ability of the Bank to pay dividends or make other distributions to the Company generally is dependent on the Bank's compliance with applicable regulatory capital requirements and regulatory restrictions. The Bank is also subject to contractual restrictions on its ability to pay dividends under its debt indenture.</w:t>
      </w:r>
    </w:p>
    <w:p>
      <w:pPr>
        <w:spacing w:after="0" w:line="164"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Bank's ability to make capital distributions as a Tier 1 association pursuant to the OTS capital distribution regulation are limited by the regulatory capital levels which it has committed to the OTS it would maintain, commencing on June 30, 1997. As a result of a verbal agreement between the Bank and the OTS to dividend subordinate and residual mortgage-related securities resulting from securitization activities conducted by the Bank, the Bank has been limited in its ability to pay cash dividends to the Company.</w:t>
      </w:r>
    </w:p>
    <w:p>
      <w:pPr>
        <w:spacing w:after="0" w:line="16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In addition, the right of the Company to participate in any distribution of assets of any subsidiary, including the Bank, upon such subsidiary's liquidation or reorganization or otherwise, will be subject to the prior claims of creditors of that subsidiary, except to the extent that any claims of the Company as a creditor of such subsidiary may be recognized as such.</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OF SECURITIZATION</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Prior to the third quarter of 1999, the Company has historically generated a significant amount of revenues, earnings and cash flows from its pooling and selling through securitizations of mortgages and other loans originated or purchased by the Company. Adverse changes in the secondary market for such loans could impair the Company's ability to originate or sell mortgages and other loans on a favorable or timely basis. Accordingly, such impairments could have an adverse effect upon the Company's business and results of operations. Market and other considerations, including rating agency requirements, could also affect the timing of such transactions. Any delay in the sale of loans beyond the reporting period in which such sale is anticipated to take place may adversely affect the Company's reported earnings for such reporting period. In addition, the Company retains some degree of credit risk on substantially all loans sold. During the period of time that loans are held pending sale, the Company is at risk for loan delinquencies and defaults and the risk that the rapid increase in interest rates would result in a decline in the value of loans to potential purchasers. Following the sale of loans through a securitization, the Company's direct risk with respect to loan delinquency or default on such loan is limited to those circumstances in which it is required to repurchase such loan due to a breach of a representation or warranty in connection with the securitization.</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473" w:gutter="0" w:footer="0" w:header="0"/>
        </w:sectPr>
      </w:pPr>
    </w:p>
    <w:bookmarkStart w:id="177" w:name="page178"/>
    <w:bookmarkEnd w:id="177"/>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businesses in which the Company is engaged generally are highly competitive. The acquisitions of discounted loans and servicing rights to pools of loans are particularly competitive, as such acquisitions are often based on competitive bidding. Although many of the Company's competitors have access to greater capital and have other advantages, the Company believes that it has a competitive advantage relative to many of its competitors as a result of its experience in managing, servicing and resolving discount loans, its investment in the computer systems, technology and other resources which are necessary to conduct this business, its reputation and the strategic relationships and contacts which it has developed in connection with these activities. The Company also encounters significant competition in connection with its other lending activities, its investment activities, its deposit-gathering activities, its servicing activities and its information technology activities. Many of the Company's competitors are significantly larger than the Company and have access to greater capital and other resources. In addition, many of the Company's competitors are not subject to the same extensive federal regulation that govern federally-insured institutions such as the Bank and their holding companies. As a result, many of the Company's competitors have advantages over the Company.</w:t>
      </w:r>
    </w:p>
    <w:p>
      <w:pPr>
        <w:spacing w:after="0" w:line="174"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Company also faces competition in purchasing the servicing rights to pools of loans from several other companies that specialize in this business, some of which have greater resources than the Company. The current level of return realized by the Company and its competitors in purchasing pools of loans and foreclosed real estate could attract additional competitors to these markets. Heightened competition would likely result in higher prices for pools of loans and correspondingly lower yields on the Company's investment in those pools.</w:t>
      </w:r>
    </w:p>
    <w:p>
      <w:pPr>
        <w:spacing w:after="0" w:line="33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With respect to information technology, OTX's products compete in a limited market. While the Company believes REAL-e, REALTrans and REALSynergy each present to the market greater functionality and a better value than the products against which they compete, there can be no assurance that the Company will be successful in preserving any competitive advantage of its products on value or functionality, in introducing the product to the market on a commercial basis or translating the product's business, marketing and pricing models into revenue sufficient to produce net income.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IMPORTANCE OF THE CHIEF EXECUTIVE OFFICER</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William C. Erbey, Chairman and Chief Executive Officer of the Company, has had, and will continue to have, a significant role in the development and management of the Company's business. The loss of his services could have an adverse effect on the Company. The Company and Mr. Erbey are not parties to an employment agreement, and the Company currently does not maintain key man life insurance relating to Mr. Erbey or any of its other officers.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 OF CURRENT SHAREHOLDERS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As of March 9, 2001, the Company's directors and executive officers and</w:t>
      </w:r>
    </w:p>
    <w:p>
      <w:pPr>
        <w:spacing w:after="0" w:line="8"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4"/>
          <w:szCs w:val="14"/>
          <w:color w:val="auto"/>
        </w:rPr>
        <w:t>their affiliates in the aggregate</w:t>
        <w:tab/>
        <w:t>beneficially owned or controlled 45.4%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outstanding Common Stock of the Company, including 28.2% owned or controlled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William C. Erbey, Chairman and Chief Executive Officer of the Company,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 owned or controlled by Barry N. Wish, currently a director and formerly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Chairman of the Company. As a result, these shareholders, acting together,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would be able effectively to decisively influence if not control virtually 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requiring approval by the shareholders of the Company, including</w:t>
      </w:r>
    </w:p>
    <w:p>
      <w:pPr>
        <w:spacing w:after="0" w:line="8" w:lineRule="exact"/>
        <w:rPr>
          <w:sz w:val="20"/>
          <w:szCs w:val="20"/>
          <w:color w:val="auto"/>
        </w:rPr>
      </w:pPr>
    </w:p>
    <w:p>
      <w:pPr>
        <w:spacing w:after="0"/>
        <w:tabs>
          <w:tab w:leader="none" w:pos="3460" w:val="left"/>
          <w:tab w:leader="none" w:pos="4840" w:val="left"/>
          <w:tab w:leader="none" w:pos="5280" w:val="left"/>
        </w:tabs>
        <w:rPr>
          <w:sz w:val="20"/>
          <w:szCs w:val="20"/>
          <w:color w:val="auto"/>
        </w:rPr>
      </w:pPr>
      <w:r>
        <w:rPr>
          <w:rFonts w:ascii="Courier New" w:cs="Courier New" w:eastAsia="Courier New" w:hAnsi="Courier New"/>
          <w:sz w:val="14"/>
          <w:szCs w:val="14"/>
          <w:color w:val="auto"/>
        </w:rPr>
        <w:t>amendment of the Company's Articles of</w:t>
        <w:tab/>
        <w:t>Incorporation,</w:t>
        <w:tab/>
        <w:t>the</w:t>
        <w:tab/>
        <w:t>approval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mergers or similar transactions and the election of all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DEPENDENCE ON PROPRIETARY INFORMATION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Company's success is in part dependent upon its proprietary information and technology. The Company relies on a combination of copyright, trade secret and contract protection to establish and protect its proprietary rights in its products and technology. The Company generally enters into confidentiality agreements with its management and technical staff and limits access to and distribution of its proprietary information. There can be no assurance that the steps taken by the Company in this regard will be adequate to deter misappropriation of its proprietary rights or information or independent third party development of substantially similar products and technology. Although the Company believes that its products and technology do not infringe any proprietary rights of others, the growing use of copyrights and patents to protect proprietary rights has increased the risk that third parties will increasingly assert claims of infringement in the future.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sectPr>
      <w:pgSz w:w="11900" w:h="16838" w:orient="portrait"/>
      <w:cols w:equalWidth="0" w:num="1">
        <w:col w:w="10239"/>
      </w:cols>
      <w:pgMar w:left="220" w:top="6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1]"/>
      <w:numFmt w:val="upperLetter"/>
      <w:start w:val="24"/>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1)"/>
      <w:numFmt w:val="lowerRoman"/>
      <w:start w:val="4"/>
    </w:lvl>
  </w:abstractNum>
  <w:abstractNum w:abstractNumId="3">
    <w:nsid w:val="6590700B"/>
    <w:multiLevelType w:val="hybridMultilevel"/>
    <w:lvl w:ilvl="0">
      <w:lvlJc w:val="left"/>
      <w:lvlText w:val="(%1)"/>
      <w:numFmt w:val="lowerLetter"/>
      <w:start w:val="1"/>
    </w:lvl>
  </w:abstractNum>
  <w:abstractNum w:abstractNumId="4">
    <w:nsid w:val="15014ACB"/>
    <w:multiLevelType w:val="hybridMultilevel"/>
    <w:lvl w:ilvl="0">
      <w:lvlJc w:val="left"/>
      <w:lvlText w:val="(%1)"/>
      <w:numFmt w:val="decimal"/>
      <w:start w:val="1"/>
    </w:lvl>
  </w:abstractNum>
  <w:abstractNum w:abstractNumId="5">
    <w:nsid w:val="5F5E7FD0"/>
    <w:multiLevelType w:val="hybridMultilevel"/>
    <w:lvl w:ilvl="0">
      <w:lvlJc w:val="left"/>
      <w:lvlText w:val="(%1)"/>
      <w:numFmt w:val="decimal"/>
      <w:start w:val="3"/>
    </w:lvl>
  </w:abstractNum>
  <w:abstractNum w:abstractNumId="6">
    <w:nsid w:val="98A3148"/>
    <w:multiLevelType w:val="hybridMultilevel"/>
    <w:lvl w:ilvl="0">
      <w:lvlJc w:val="left"/>
      <w:lvlText w:val="(%1)"/>
      <w:numFmt w:val="lowerLetter"/>
      <w:start w:val="2"/>
    </w:lvl>
  </w:abstractNum>
  <w:abstractNum w:abstractNumId="7">
    <w:nsid w:val="799D0247"/>
    <w:multiLevelType w:val="hybridMultilevel"/>
    <w:lvl w:ilvl="0">
      <w:lvlJc w:val="left"/>
      <w:lvlText w:val="(%1)"/>
      <w:numFmt w:val="decimal"/>
      <w:start w:val="1"/>
    </w:lvl>
  </w:abstractNum>
  <w:abstractNum w:abstractNumId="8">
    <w:nsid w:val="6B94764"/>
    <w:multiLevelType w:val="hybridMultilevel"/>
    <w:lvl w:ilvl="0">
      <w:lvlJc w:val="left"/>
      <w:lvlText w:val="(%1)"/>
      <w:numFmt w:val="decimal"/>
      <w:start w:val="1"/>
    </w:lvl>
  </w:abstractNum>
  <w:abstractNum w:abstractNumId="9">
    <w:nsid w:val="42C296BD"/>
    <w:multiLevelType w:val="hybridMultilevel"/>
    <w:lvl w:ilvl="0">
      <w:lvlJc w:val="left"/>
      <w:lvlText w:val="(%1)"/>
      <w:numFmt w:val="decimal"/>
      <w:start w:val="14"/>
    </w:lvl>
  </w:abstractNum>
  <w:abstractNum w:abstractNumId="10">
    <w:nsid w:val="168E121F"/>
    <w:multiLevelType w:val="hybridMultilevel"/>
    <w:lvl w:ilvl="0">
      <w:lvlJc w:val="left"/>
      <w:lvlText w:val="(%1)"/>
      <w:numFmt w:val="decimal"/>
      <w:start w:val="15"/>
    </w:lvl>
  </w:abstractNum>
  <w:abstractNum w:abstractNumId="11">
    <w:nsid w:val="1EBA5D23"/>
    <w:multiLevelType w:val="hybridMultilevel"/>
    <w:lvl w:ilvl="0">
      <w:lvlJc w:val="left"/>
      <w:lvlText w:val="o"/>
      <w:numFmt w:val="bullet"/>
      <w:start w:val="1"/>
    </w:lvl>
  </w:abstractNum>
  <w:abstractNum w:abstractNumId="12">
    <w:nsid w:val="661E3F1E"/>
    <w:multiLevelType w:val="hybridMultilevel"/>
    <w:lvl w:ilvl="0">
      <w:lvlJc w:val="left"/>
      <w:lvlText w:val="o"/>
      <w:numFmt w:val="bullet"/>
      <w:start w:val="1"/>
    </w:lvl>
  </w:abstractNum>
  <w:abstractNum w:abstractNumId="13">
    <w:nsid w:val="5DC79EA8"/>
    <w:multiLevelType w:val="hybridMultilevel"/>
    <w:lvl w:ilvl="0">
      <w:lvlJc w:val="left"/>
      <w:lvlText w:val="(%1)"/>
      <w:numFmt w:val="decimal"/>
      <w:start w:val="1"/>
    </w:lvl>
  </w:abstractNum>
  <w:abstractNum w:abstractNumId="14">
    <w:nsid w:val="540A471C"/>
    <w:multiLevelType w:val="hybridMultilevel"/>
    <w:lvl w:ilvl="0">
      <w:lvlJc w:val="left"/>
      <w:lvlText w:val="(%1)"/>
      <w:numFmt w:val="lowerRoman"/>
      <w:start w:val="1"/>
    </w:lvl>
  </w:abstractNum>
  <w:abstractNum w:abstractNumId="15">
    <w:nsid w:val="7BD3EE7B"/>
    <w:multiLevelType w:val="hybridMultilevel"/>
    <w:lvl w:ilvl="0">
      <w:lvlJc w:val="left"/>
      <w:lvlText w:val="(%1)"/>
      <w:numFmt w:val="decimal"/>
      <w:start w:val="1"/>
    </w:lvl>
  </w:abstractNum>
  <w:abstractNum w:abstractNumId="16">
    <w:nsid w:val="51D9C564"/>
    <w:multiLevelType w:val="hybridMultilevel"/>
    <w:lvl w:ilvl="0">
      <w:lvlJc w:val="left"/>
      <w:lvlText w:val="(%1)"/>
      <w:numFmt w:val="decimal"/>
      <w:start w:val="1"/>
    </w:lvl>
  </w:abstractNum>
  <w:abstractNum w:abstractNumId="17">
    <w:nsid w:val="613EFDC5"/>
    <w:multiLevelType w:val="hybridMultilevel"/>
    <w:lvl w:ilvl="0">
      <w:lvlJc w:val="left"/>
      <w:lvlText w:val="(%1)"/>
      <w:numFmt w:val="decimal"/>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1)"/>
      <w:numFmt w:val="decimal"/>
      <w:start w:val="1"/>
    </w:lvl>
  </w:abstractNum>
  <w:abstractNum w:abstractNumId="20">
    <w:nsid w:val="42963E5A"/>
    <w:multiLevelType w:val="hybridMultilevel"/>
    <w:lvl w:ilvl="0">
      <w:lvlJc w:val="left"/>
      <w:lvlText w:val="(%1)"/>
      <w:numFmt w:val="decimal"/>
      <w:start w:val="1"/>
    </w:lvl>
  </w:abstractNum>
  <w:abstractNum w:abstractNumId="21">
    <w:nsid w:val="A0382C5"/>
    <w:multiLevelType w:val="hybridMultilevel"/>
    <w:lvl w:ilvl="0">
      <w:lvlJc w:val="left"/>
      <w:lvlText w:val="(%1)"/>
      <w:numFmt w:val="decimal"/>
      <w:start w:val="1"/>
    </w:lvl>
  </w:abstractNum>
  <w:abstractNum w:abstractNumId="22">
    <w:nsid w:val="8F2B15E"/>
    <w:multiLevelType w:val="hybridMultilevel"/>
    <w:lvl w:ilvl="0">
      <w:lvlJc w:val="left"/>
      <w:lvlText w:val="(%1)"/>
      <w:numFmt w:val="decimal"/>
      <w:start w:val="1"/>
    </w:lvl>
  </w:abstractNum>
  <w:abstractNum w:abstractNumId="23">
    <w:nsid w:val="1A32234B"/>
    <w:multiLevelType w:val="hybridMultilevel"/>
    <w:lvl w:ilvl="0">
      <w:lvlJc w:val="left"/>
      <w:lvlText w:val="(%1)"/>
      <w:numFmt w:val="decimal"/>
      <w:start w:val="2"/>
    </w:lvl>
  </w:abstractNum>
  <w:abstractNum w:abstractNumId="24">
    <w:nsid w:val="3B0FD379"/>
    <w:multiLevelType w:val="hybridMultilevel"/>
    <w:lvl w:ilvl="0">
      <w:lvlJc w:val="left"/>
      <w:lvlText w:val="(%1)"/>
      <w:numFmt w:val="decimal"/>
      <w:start w:val="1"/>
    </w:lvl>
  </w:abstractNum>
  <w:abstractNum w:abstractNumId="25">
    <w:nsid w:val="68EB2F63"/>
    <w:multiLevelType w:val="hybridMultilevel"/>
    <w:lvl w:ilvl="0">
      <w:lvlJc w:val="left"/>
      <w:lvlText w:val="(%1)"/>
      <w:numFmt w:val="decimal"/>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1)"/>
      <w:numFmt w:val="decimal"/>
      <w:start w:val="1"/>
    </w:lvl>
  </w:abstractNum>
  <w:abstractNum w:abstractNumId="30">
    <w:nsid w:val="7FFFCA11"/>
    <w:multiLevelType w:val="hybridMultilevel"/>
    <w:lvl w:ilvl="0">
      <w:lvlJc w:val="left"/>
      <w:lvlText w:val="(%1)"/>
      <w:numFmt w:val="decimal"/>
      <w:start w:val="1"/>
    </w:lvl>
  </w:abstractNum>
  <w:abstractNum w:abstractNumId="31">
    <w:nsid w:val="1A27709E"/>
    <w:multiLevelType w:val="hybridMultilevel"/>
    <w:lvl w:ilvl="0">
      <w:lvlJc w:val="left"/>
      <w:lvlText w:val="(%1)"/>
      <w:numFmt w:val="decimal"/>
      <w:start w:val="1"/>
    </w:lvl>
  </w:abstractNum>
  <w:abstractNum w:abstractNumId="32">
    <w:nsid w:val="71EA1109"/>
    <w:multiLevelType w:val="hybridMultilevel"/>
    <w:lvl w:ilvl="0">
      <w:lvlJc w:val="left"/>
      <w:lvlText w:val="(%1)"/>
      <w:numFmt w:val="decimal"/>
      <w:start w:val="1"/>
    </w:lvl>
  </w:abstractNum>
  <w:abstractNum w:abstractNumId="33">
    <w:nsid w:val="100F59DC"/>
    <w:multiLevelType w:val="hybridMultilevel"/>
    <w:lvl w:ilvl="0">
      <w:lvlJc w:val="left"/>
      <w:lvlText w:val="(%1)"/>
      <w:numFmt w:val="decimal"/>
      <w:start w:val="1"/>
    </w:lvl>
  </w:abstractNum>
  <w:abstractNum w:abstractNumId="34">
    <w:nsid w:val="7FB7E0AA"/>
    <w:multiLevelType w:val="hybridMultilevel"/>
    <w:lvl w:ilvl="0">
      <w:lvlJc w:val="left"/>
      <w:lvlText w:val="(%1)"/>
      <w:numFmt w:val="decimal"/>
      <w:start w:val="1"/>
    </w:lvl>
  </w:abstractNum>
  <w:abstractNum w:abstractNumId="35">
    <w:nsid w:val="6EB5BD4"/>
    <w:multiLevelType w:val="hybridMultilevel"/>
    <w:lvl w:ilvl="0">
      <w:lvlJc w:val="left"/>
      <w:lvlText w:val="(%1)"/>
      <w:numFmt w:val="decimal"/>
      <w:start w:val="1"/>
    </w:lvl>
  </w:abstractNum>
  <w:abstractNum w:abstractNumId="36">
    <w:nsid w:val="6F6DD9AC"/>
    <w:multiLevelType w:val="hybridMultilevel"/>
    <w:lvl w:ilvl="0">
      <w:lvlJc w:val="left"/>
      <w:lvlText w:val="(%1)"/>
      <w:numFmt w:val="decimal"/>
      <w:start w:val="1"/>
    </w:lvl>
  </w:abstractNum>
  <w:abstractNum w:abstractNumId="37">
    <w:nsid w:val="94211F2"/>
    <w:multiLevelType w:val="hybridMultilevel"/>
    <w:lvl w:ilvl="0">
      <w:lvlJc w:val="left"/>
      <w:lvlText w:val="(%1)"/>
      <w:numFmt w:val="decimal"/>
      <w:start w:val="1"/>
    </w:lvl>
  </w:abstractNum>
  <w:abstractNum w:abstractNumId="38">
    <w:nsid w:val="885E1B"/>
    <w:multiLevelType w:val="hybridMultilevel"/>
    <w:lvl w:ilvl="0">
      <w:lvlJc w:val="left"/>
      <w:lvlText w:val="(%1)"/>
      <w:numFmt w:val="decimal"/>
      <w:start w:val="1"/>
    </w:lvl>
  </w:abstractNum>
  <w:abstractNum w:abstractNumId="39">
    <w:nsid w:val="76272110"/>
    <w:multiLevelType w:val="hybridMultilevel"/>
    <w:lvl w:ilvl="0">
      <w:lvlJc w:val="left"/>
      <w:lvlText w:val="(%1)"/>
      <w:numFmt w:val="decimal"/>
      <w:start w:val="1"/>
    </w:lvl>
  </w:abstractNum>
  <w:abstractNum w:abstractNumId="40">
    <w:nsid w:val="4C04A8AF"/>
    <w:multiLevelType w:val="hybridMultilevel"/>
    <w:lvl w:ilvl="0">
      <w:lvlJc w:val="left"/>
      <w:lvlText w:val="(%1)"/>
      <w:numFmt w:val="decimal"/>
      <w:start w:val="1"/>
    </w:lvl>
  </w:abstractNum>
  <w:abstractNum w:abstractNumId="41">
    <w:nsid w:val="1716703B"/>
    <w:multiLevelType w:val="hybridMultilevel"/>
    <w:lvl w:ilvl="0">
      <w:lvlJc w:val="left"/>
      <w:lvlText w:val="(%1)"/>
      <w:numFmt w:val="decimal"/>
      <w:start w:val="1"/>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1)"/>
      <w:numFmt w:val="decimal"/>
      <w:start w:val="1"/>
    </w:lvl>
  </w:abstractNum>
  <w:abstractNum w:abstractNumId="44">
    <w:nsid w:val="74DE0EE3"/>
    <w:multiLevelType w:val="hybridMultilevel"/>
    <w:lvl w:ilvl="0">
      <w:lvlJc w:val="left"/>
      <w:lvlText w:val="(%1)"/>
      <w:numFmt w:val="decimal"/>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1)"/>
      <w:numFmt w:val="lowerRoman"/>
      <w:start w:val="2"/>
    </w:lvl>
  </w:abstractNum>
  <w:abstractNum w:abstractNumId="47">
    <w:nsid w:val="46B7D447"/>
    <w:multiLevelType w:val="hybridMultilevel"/>
    <w:lvl w:ilvl="0">
      <w:lvlJc w:val="left"/>
      <w:lvlText w:val="(%1)"/>
      <w:numFmt w:val="decimal"/>
      <w:start w:val="1"/>
    </w:lvl>
  </w:abstractNum>
  <w:abstractNum w:abstractNumId="48">
    <w:nsid w:val="4A2AC315"/>
    <w:multiLevelType w:val="hybridMultilevel"/>
    <w:lvl w:ilvl="0">
      <w:lvlJc w:val="left"/>
      <w:lvlText w:val="(%1)"/>
      <w:numFmt w:val="decimal"/>
      <w:start w:val="1"/>
    </w:lvl>
  </w:abstractNum>
  <w:abstractNum w:abstractNumId="49">
    <w:nsid w:val="39EE015C"/>
    <w:multiLevelType w:val="hybridMultilevel"/>
    <w:lvl w:ilvl="0">
      <w:lvlJc w:val="left"/>
      <w:lvlText w:val="(%1)"/>
      <w:numFmt w:val="decimal"/>
      <w:start w:val="3"/>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1)"/>
      <w:numFmt w:val="decimal"/>
      <w:start w:val="1"/>
    </w:lvl>
  </w:abstractNum>
  <w:abstractNum w:abstractNumId="52">
    <w:nsid w:val="43F18422"/>
    <w:multiLevelType w:val="hybridMultilevel"/>
    <w:lvl w:ilvl="0">
      <w:lvlJc w:val="left"/>
      <w:lvlText w:val="o"/>
      <w:numFmt w:val="bullet"/>
      <w:start w:val="1"/>
    </w:lvl>
  </w:abstractNum>
  <w:abstractNum w:abstractNumId="53">
    <w:nsid w:val="60EF0119"/>
    <w:multiLevelType w:val="hybridMultilevel"/>
    <w:lvl w:ilvl="0">
      <w:lvlJc w:val="left"/>
      <w:lvlText w:val="o"/>
      <w:numFmt w:val="bullet"/>
      <w:start w:val="1"/>
    </w:lvl>
  </w:abstractNum>
  <w:abstractNum w:abstractNumId="54">
    <w:nsid w:val="26F324BA"/>
    <w:multiLevelType w:val="hybridMultilevel"/>
    <w:lvl w:ilvl="0">
      <w:lvlJc w:val="left"/>
      <w:lvlText w:val="(%1)"/>
      <w:numFmt w:val="decimal"/>
      <w:start w:val="1"/>
    </w:lvl>
  </w:abstractNum>
  <w:abstractNum w:abstractNumId="55">
    <w:nsid w:val="7F01579B"/>
    <w:multiLevelType w:val="hybridMultilevel"/>
    <w:lvl w:ilvl="0">
      <w:lvlJc w:val="left"/>
      <w:lvlText w:val="(%1)"/>
      <w:numFmt w:val="decimal"/>
      <w:start w:val="1"/>
    </w:lvl>
  </w:abstractNum>
  <w:abstractNum w:abstractNumId="56">
    <w:nsid w:val="49DA307D"/>
    <w:multiLevelType w:val="hybridMultilevel"/>
    <w:lvl w:ilvl="0">
      <w:lvlJc w:val="left"/>
      <w:lvlText w:val="(%1)"/>
      <w:numFmt w:val="decimal"/>
      <w:start w:val="1"/>
    </w:lvl>
  </w:abstractNum>
  <w:abstractNum w:abstractNumId="57">
    <w:nsid w:val="7055A5F5"/>
    <w:multiLevelType w:val="hybridMultilevel"/>
    <w:lvl w:ilvl="0">
      <w:lvlJc w:val="left"/>
      <w:lvlText w:val="(%1)"/>
      <w:numFmt w:val="lowerRoman"/>
      <w:start w:val="1"/>
    </w:lvl>
  </w:abstractNum>
  <w:abstractNum w:abstractNumId="58">
    <w:nsid w:val="5FB8370B"/>
    <w:multiLevelType w:val="hybridMultilevel"/>
    <w:lvl w:ilvl="0">
      <w:lvlJc w:val="left"/>
      <w:lvlText w:val="(%1)"/>
      <w:numFmt w:val="decimal"/>
      <w:start w:val="1"/>
    </w:lvl>
  </w:abstractNum>
  <w:abstractNum w:abstractNumId="59">
    <w:nsid w:val="50801EE1"/>
    <w:multiLevelType w:val="hybridMultilevel"/>
    <w:lvl w:ilvl="0">
      <w:lvlJc w:val="left"/>
      <w:lvlText w:val="(%1)"/>
      <w:numFmt w:val="decimal"/>
      <w:start w:val="1"/>
    </w:lvl>
  </w:abstractNum>
  <w:abstractNum w:abstractNumId="60">
    <w:nsid w:val="488AC1A"/>
    <w:multiLevelType w:val="hybridMultilevel"/>
    <w:lvl w:ilvl="0">
      <w:lvlJc w:val="left"/>
      <w:lvlText w:val="(%1)"/>
      <w:numFmt w:val="decimal"/>
      <w:start w:val="1"/>
    </w:lvl>
  </w:abstractNum>
  <w:abstractNum w:abstractNumId="61">
    <w:nsid w:val="5FB8011C"/>
    <w:multiLevelType w:val="hybridMultilevel"/>
    <w:lvl w:ilvl="0">
      <w:lvlJc w:val="left"/>
      <w:lvlText w:val="(%1)"/>
      <w:numFmt w:val="decimal"/>
      <w:start w:val="1"/>
    </w:lvl>
  </w:abstractNum>
  <w:abstractNum w:abstractNumId="62">
    <w:nsid w:val="6AA78F7F"/>
    <w:multiLevelType w:val="hybridMultilevel"/>
    <w:lvl w:ilvl="0">
      <w:lvlJc w:val="left"/>
      <w:lvlText w:val="(%1)"/>
      <w:numFmt w:val="decimal"/>
      <w:start w:val="1"/>
    </w:lvl>
  </w:abstractNum>
  <w:abstractNum w:abstractNumId="63">
    <w:nsid w:val="7672BD23"/>
    <w:multiLevelType w:val="hybridMultilevel"/>
    <w:lvl w:ilvl="0">
      <w:lvlJc w:val="left"/>
      <w:lvlText w:val="(%1)"/>
      <w:numFmt w:val="decimal"/>
      <w:start w:val="1"/>
    </w:lvl>
  </w:abstractNum>
  <w:abstractNum w:abstractNumId="64">
    <w:nsid w:val="6FC75AF8"/>
    <w:multiLevelType w:val="hybridMultilevel"/>
    <w:lvl w:ilvl="0">
      <w:lvlJc w:val="left"/>
      <w:lvlText w:val="(%1)"/>
      <w:numFmt w:val="decimal"/>
      <w:start w:val="1"/>
    </w:lvl>
  </w:abstractNum>
  <w:abstractNum w:abstractNumId="65">
    <w:nsid w:val="6A5F7029"/>
    <w:multiLevelType w:val="hybridMultilevel"/>
    <w:lvl w:ilvl="0">
      <w:lvlJc w:val="left"/>
      <w:lvlText w:val="(%1)"/>
      <w:numFmt w:val="decimal"/>
      <w:start w:val="1"/>
    </w:lvl>
  </w:abstractNum>
  <w:abstractNum w:abstractNumId="66">
    <w:nsid w:val="7D5E18F8"/>
    <w:multiLevelType w:val="hybridMultilevel"/>
    <w:lvl w:ilvl="0">
      <w:lvlJc w:val="left"/>
      <w:lvlText w:val="(%1)"/>
      <w:numFmt w:val="decimal"/>
      <w:start w:val="1"/>
    </w:lvl>
  </w:abstractNum>
  <w:abstractNum w:abstractNumId="67">
    <w:nsid w:val="5F3534A4"/>
    <w:multiLevelType w:val="hybridMultilevel"/>
    <w:lvl w:ilvl="0">
      <w:lvlJc w:val="left"/>
      <w:lvlText w:val="(%1)"/>
      <w:numFmt w:val="decimal"/>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1)"/>
      <w:numFmt w:val="decimal"/>
    </w:lvl>
    <w:lvl w:ilvl="1">
      <w:lvlJc w:val="left"/>
      <w:lvlText w:val="$"/>
      <w:numFmt w:val="bullet"/>
      <w:start w:val="1"/>
    </w:lvl>
  </w:abstractNum>
  <w:abstractNum w:abstractNumId="70">
    <w:nsid w:val="555C55B5"/>
    <w:multiLevelType w:val="hybridMultilevel"/>
    <w:lvl w:ilvl="0">
      <w:lvlJc w:val="left"/>
      <w:lvlText w:val="(%1)"/>
      <w:numFmt w:val="decimal"/>
      <w:start w:val="1"/>
    </w:lvl>
  </w:abstractNum>
  <w:abstractNum w:abstractNumId="71">
    <w:nsid w:val="3FA62ACA"/>
    <w:multiLevelType w:val="hybridMultilevel"/>
    <w:lvl w:ilvl="0">
      <w:lvlJc w:val="left"/>
      <w:lvlText w:val="(%1)"/>
      <w:numFmt w:val="decimal"/>
      <w:start w:val="1"/>
    </w:lvl>
  </w:abstractNum>
  <w:abstractNum w:abstractNumId="72">
    <w:nsid w:val="14FCE74E"/>
    <w:multiLevelType w:val="hybridMultilevel"/>
    <w:lvl w:ilvl="0">
      <w:lvlJc w:val="left"/>
      <w:lvlText w:val="(%1)"/>
      <w:numFmt w:val="decimal"/>
      <w:start w:val="1"/>
    </w:lvl>
  </w:abstractNum>
  <w:abstractNum w:abstractNumId="73">
    <w:nsid w:val="6A3DD3E8"/>
    <w:multiLevelType w:val="hybridMultilevel"/>
    <w:lvl w:ilvl="0">
      <w:lvlJc w:val="left"/>
      <w:lvlText w:val="o"/>
      <w:numFmt w:val="bullet"/>
      <w:start w:val="1"/>
    </w:lvl>
  </w:abstractNum>
  <w:abstractNum w:abstractNumId="74">
    <w:nsid w:val="71C91298"/>
    <w:multiLevelType w:val="hybridMultilevel"/>
    <w:lvl w:ilvl="0">
      <w:lvlJc w:val="left"/>
      <w:lvlText w:val="(%1)"/>
      <w:numFmt w:val="decimal"/>
      <w:start w:val="1"/>
    </w:lvl>
  </w:abstractNum>
  <w:abstractNum w:abstractNumId="75">
    <w:nsid w:val="9DAF632"/>
    <w:multiLevelType w:val="hybridMultilevel"/>
    <w:lvl w:ilvl="0">
      <w:lvlJc w:val="left"/>
      <w:lvlText w:val="%1."/>
      <w:numFmt w:val="decimal"/>
      <w:start w:val="1"/>
    </w:lvl>
  </w:abstractNum>
  <w:abstractNum w:abstractNumId="76">
    <w:nsid w:val="53299938"/>
    <w:multiLevelType w:val="hybridMultilevel"/>
    <w:lvl w:ilvl="0">
      <w:lvlJc w:val="left"/>
      <w:lvlText w:val="%1."/>
      <w:numFmt w:val="decimal"/>
      <w:start w:val="4"/>
    </w:lvl>
  </w:abstractNum>
  <w:abstractNum w:abstractNumId="77">
    <w:nsid w:val="1FBFE8E0"/>
    <w:multiLevelType w:val="hybridMultilevel"/>
    <w:lvl w:ilvl="0">
      <w:lvlJc w:val="left"/>
      <w:lvlText w:val="%1."/>
      <w:numFmt w:val="decimal"/>
      <w:start w:val="5"/>
    </w:lvl>
  </w:abstractNum>
  <w:abstractNum w:abstractNumId="78">
    <w:nsid w:val="5092CA79"/>
    <w:multiLevelType w:val="hybridMultilevel"/>
    <w:lvl w:ilvl="0">
      <w:lvlJc w:val="left"/>
      <w:lvlText w:val="(%1)"/>
      <w:numFmt w:val="lowerRoman"/>
      <w:start w:val="1"/>
    </w:lvl>
  </w:abstractNum>
  <w:abstractNum w:abstractNumId="79">
    <w:nsid w:val="1D545C4D"/>
    <w:multiLevelType w:val="hybridMultilevel"/>
    <w:lvl w:ilvl="0">
      <w:lvlJc w:val="left"/>
      <w:lvlText w:val="%1."/>
      <w:numFmt w:val="decimal"/>
      <w:start w:val="6"/>
    </w:lvl>
  </w:abstractNum>
  <w:abstractNum w:abstractNumId="80">
    <w:nsid w:val="59ADEA3D"/>
    <w:multiLevelType w:val="hybridMultilevel"/>
    <w:lvl w:ilvl="0">
      <w:lvlJc w:val="left"/>
      <w:lvlText w:val="%1."/>
      <w:numFmt w:val="decimal"/>
      <w:start w:val="7"/>
    </w:lvl>
  </w:abstractNum>
  <w:abstractNum w:abstractNumId="81">
    <w:nsid w:val="288F1A34"/>
    <w:multiLevelType w:val="hybridMultilevel"/>
    <w:lvl w:ilvl="0">
      <w:lvlJc w:val="left"/>
      <w:lvlText w:val="%1."/>
      <w:numFmt w:val="decimal"/>
      <w:start w:val="1"/>
    </w:lvl>
  </w:abstractNum>
  <w:abstractNum w:abstractNumId="82">
    <w:nsid w:val="2A155DBC"/>
    <w:multiLevelType w:val="hybridMultilevel"/>
    <w:lvl w:ilvl="0">
      <w:lvlJc w:val="left"/>
      <w:lvlText w:val="%1."/>
      <w:numFmt w:val="decimal"/>
      <w:start w:val="2"/>
    </w:lvl>
  </w:abstractNum>
  <w:abstractNum w:abstractNumId="83">
    <w:nsid w:val="1D9F6E5F"/>
    <w:multiLevelType w:val="hybridMultilevel"/>
    <w:lvl w:ilvl="0">
      <w:lvlJc w:val="left"/>
      <w:lvlText w:val="%1."/>
      <w:numFmt w:val="decimal"/>
      <w:start w:val="3"/>
    </w:lvl>
  </w:abstractNum>
  <w:abstractNum w:abstractNumId="84">
    <w:nsid w:val="97E1B4E"/>
    <w:multiLevelType w:val="hybridMultilevel"/>
    <w:lvl w:ilvl="0">
      <w:lvlJc w:val="left"/>
      <w:lvlText w:val="%1."/>
      <w:numFmt w:val="decimal"/>
      <w:start w:val="4"/>
    </w:lvl>
  </w:abstractNum>
  <w:abstractNum w:abstractNumId="85">
    <w:nsid w:val="51088277"/>
    <w:multiLevelType w:val="hybridMultilevel"/>
    <w:lvl w:ilvl="0">
      <w:lvlJc w:val="left"/>
      <w:lvlText w:val="%1."/>
      <w:numFmt w:val="decimal"/>
      <w:start w:val="5"/>
    </w:lvl>
  </w:abstractNum>
  <w:abstractNum w:abstractNumId="86">
    <w:nsid w:val="1CA0C5FA"/>
    <w:multiLevelType w:val="hybridMultilevel"/>
    <w:lvl w:ilvl="0">
      <w:lvlJc w:val="left"/>
      <w:lvlText w:val="%1."/>
      <w:numFmt w:val="decimal"/>
      <w:start w:val="6"/>
    </w:lvl>
  </w:abstractNum>
  <w:abstractNum w:abstractNumId="87">
    <w:nsid w:val="53584BCB"/>
    <w:multiLevelType w:val="hybridMultilevel"/>
    <w:lvl w:ilvl="0">
      <w:lvlJc w:val="left"/>
      <w:lvlText w:val="%1."/>
      <w:numFmt w:val="decimal"/>
      <w:start w:val="7"/>
    </w:lvl>
  </w:abstractNum>
  <w:abstractNum w:abstractNumId="88">
    <w:nsid w:val="415E286C"/>
    <w:multiLevelType w:val="hybridMultilevel"/>
    <w:lvl w:ilvl="0">
      <w:lvlJc w:val="left"/>
      <w:lvlText w:val="%1."/>
      <w:numFmt w:val="decimal"/>
      <w:start w:val="8"/>
    </w:lvl>
  </w:abstractNum>
  <w:abstractNum w:abstractNumId="89">
    <w:nsid w:val="7C58FD05"/>
    <w:multiLevelType w:val="hybridMultilevel"/>
    <w:lvl w:ilvl="0">
      <w:lvlJc w:val="left"/>
      <w:lvlText w:val="%1."/>
      <w:numFmt w:val="decimal"/>
      <w:start w:val="9"/>
    </w:lvl>
  </w:abstractNum>
  <w:abstractNum w:abstractNumId="90">
    <w:nsid w:val="23D86AAC"/>
    <w:multiLevelType w:val="hybridMultilevel"/>
    <w:lvl w:ilvl="0">
      <w:lvlJc w:val="left"/>
      <w:lvlText w:val="%1."/>
      <w:numFmt w:val="decimal"/>
      <w:start w:val="10"/>
    </w:lvl>
  </w:abstractNum>
  <w:abstractNum w:abstractNumId="91">
    <w:nsid w:val="45E6D486"/>
    <w:multiLevelType w:val="hybridMultilevel"/>
    <w:lvl w:ilvl="0">
      <w:lvlJc w:val="left"/>
      <w:lvlText w:val="%1."/>
      <w:numFmt w:val="decimal"/>
      <w:start w:val="11"/>
    </w:lvl>
  </w:abstractNum>
  <w:abstractNum w:abstractNumId="92">
    <w:nsid w:val="5C10FE21"/>
    <w:multiLevelType w:val="hybridMultilevel"/>
    <w:lvl w:ilvl="0">
      <w:lvlJc w:val="left"/>
      <w:lvlText w:val="%1."/>
      <w:numFmt w:val="decimal"/>
      <w:start w:val="12"/>
    </w:lvl>
  </w:abstractNum>
  <w:abstractNum w:abstractNumId="93">
    <w:nsid w:val="E7FFA2B"/>
    <w:multiLevelType w:val="hybridMultilevel"/>
    <w:lvl w:ilvl="0">
      <w:lvlJc w:val="left"/>
      <w:lvlText w:val="%1."/>
      <w:numFmt w:val="decimal"/>
      <w:start w:val="13"/>
    </w:lvl>
  </w:abstractNum>
  <w:abstractNum w:abstractNumId="94">
    <w:nsid w:val="3C5991AA"/>
    <w:multiLevelType w:val="hybridMultilevel"/>
    <w:lvl w:ilvl="0">
      <w:lvlJc w:val="left"/>
      <w:lvlText w:val="%1."/>
      <w:numFmt w:val="decimal"/>
      <w:start w:val="1"/>
    </w:lvl>
  </w:abstractNum>
  <w:abstractNum w:abstractNumId="95">
    <w:nsid w:val="4BD8591A"/>
    <w:multiLevelType w:val="hybridMultilevel"/>
    <w:lvl w:ilvl="0">
      <w:lvlJc w:val="left"/>
      <w:lvlText w:val="%1."/>
      <w:numFmt w:val="decimal"/>
      <w:start w:val="2"/>
    </w:lvl>
  </w:abstractNum>
  <w:abstractNum w:abstractNumId="96">
    <w:nsid w:val="78DF6A55"/>
    <w:multiLevelType w:val="hybridMultilevel"/>
    <w:lvl w:ilvl="0">
      <w:lvlJc w:val="left"/>
      <w:lvlText w:val="%1."/>
      <w:numFmt w:val="decimal"/>
      <w:start w:val="3"/>
    </w:lvl>
  </w:abstractNum>
  <w:abstractNum w:abstractNumId="97">
    <w:nsid w:val="39B7AAA2"/>
    <w:multiLevelType w:val="hybridMultilevel"/>
    <w:lvl w:ilvl="0">
      <w:lvlJc w:val="left"/>
      <w:lvlText w:val="%1."/>
      <w:numFmt w:val="decimal"/>
      <w:start w:val="4"/>
    </w:lvl>
  </w:abstractNum>
  <w:abstractNum w:abstractNumId="98">
    <w:nsid w:val="2B0D8DBE"/>
    <w:multiLevelType w:val="hybridMultilevel"/>
    <w:lvl w:ilvl="0">
      <w:lvlJc w:val="left"/>
      <w:lvlText w:val="%1."/>
      <w:numFmt w:val="decimal"/>
      <w:start w:val="5"/>
    </w:lvl>
  </w:abstractNum>
  <w:abstractNum w:abstractNumId="99">
    <w:nsid w:val="6C80EC70"/>
    <w:multiLevelType w:val="hybridMultilevel"/>
    <w:lvl w:ilvl="0">
      <w:lvlJc w:val="left"/>
      <w:lvlText w:val="%1."/>
      <w:numFmt w:val="decimal"/>
      <w:start w:val="6"/>
    </w:lvl>
  </w:abstractNum>
  <w:abstractNum w:abstractNumId="100">
    <w:nsid w:val="379E21B5"/>
    <w:multiLevelType w:val="hybridMultilevel"/>
    <w:lvl w:ilvl="0">
      <w:lvlJc w:val="left"/>
      <w:lvlText w:val="%1."/>
      <w:numFmt w:val="decimal"/>
      <w:start w:val="7"/>
    </w:lvl>
  </w:abstractNum>
  <w:abstractNum w:abstractNumId="101">
    <w:nsid w:val="69E373"/>
    <w:multiLevelType w:val="hybridMultilevel"/>
    <w:lvl w:ilvl="0">
      <w:lvlJc w:val="left"/>
      <w:lvlText w:val="%1."/>
      <w:numFmt w:val="decimal"/>
      <w:start w:val="8"/>
    </w:lvl>
  </w:abstractNum>
  <w:abstractNum w:abstractNumId="102">
    <w:nsid w:val="2C27173B"/>
    <w:multiLevelType w:val="hybridMultilevel"/>
    <w:lvl w:ilvl="0">
      <w:lvlJc w:val="left"/>
      <w:lvlText w:val="%1."/>
      <w:numFmt w:val="decimal"/>
      <w:start w:val="9"/>
    </w:lvl>
  </w:abstractNum>
  <w:abstractNum w:abstractNumId="103">
    <w:nsid w:val="4C9B0904"/>
    <w:multiLevelType w:val="hybridMultilevel"/>
    <w:lvl w:ilvl="0">
      <w:lvlJc w:val="left"/>
      <w:lvlText w:val="%1."/>
      <w:numFmt w:val="decimal"/>
      <w:start w:val="10"/>
    </w:lvl>
  </w:abstractNum>
  <w:abstractNum w:abstractNumId="104">
    <w:nsid w:val="6AA7B75C"/>
    <w:multiLevelType w:val="hybridMultilevel"/>
    <w:lvl w:ilvl="0">
      <w:lvlJc w:val="left"/>
      <w:lvlText w:val="%1."/>
      <w:numFmt w:val="decimal"/>
      <w:start w:val="11"/>
    </w:lvl>
  </w:abstractNum>
  <w:abstractNum w:abstractNumId="105">
    <w:nsid w:val="1DF029D3"/>
    <w:multiLevelType w:val="hybridMultilevel"/>
    <w:lvl w:ilvl="0">
      <w:lvlJc w:val="left"/>
      <w:lvlText w:val="%1."/>
      <w:numFmt w:val="decimal"/>
      <w:start w:val="12"/>
    </w:lvl>
  </w:abstractNum>
  <w:abstractNum w:abstractNumId="106">
    <w:nsid w:val="5675FF36"/>
    <w:multiLevelType w:val="hybridMultilevel"/>
    <w:lvl w:ilvl="0">
      <w:lvlJc w:val="left"/>
      <w:lvlText w:val="%1."/>
      <w:numFmt w:val="decimal"/>
      <w:start w:val="13"/>
    </w:lvl>
  </w:abstractNum>
  <w:abstractNum w:abstractNumId="107">
    <w:nsid w:val="3DD15094"/>
    <w:multiLevelType w:val="hybridMultilevel"/>
    <w:lvl w:ilvl="0">
      <w:lvlJc w:val="left"/>
      <w:lvlText w:val="%1."/>
      <w:numFmt w:val="decimal"/>
      <w:start w:val="1"/>
    </w:lvl>
  </w:abstractNum>
  <w:abstractNum w:abstractNumId="108">
    <w:nsid w:val="3DB012B3"/>
    <w:multiLevelType w:val="hybridMultilevel"/>
    <w:lvl w:ilvl="0">
      <w:lvlJc w:val="left"/>
      <w:lvlText w:val="%1."/>
      <w:numFmt w:val="decimal"/>
      <w:start w:val="2"/>
    </w:lvl>
  </w:abstractNum>
  <w:abstractNum w:abstractNumId="109">
    <w:nsid w:val="2708C9AF"/>
    <w:multiLevelType w:val="hybridMultilevel"/>
    <w:lvl w:ilvl="0">
      <w:lvlJc w:val="left"/>
      <w:lvlText w:val="%1."/>
      <w:numFmt w:val="decimal"/>
      <w:start w:val="3"/>
    </w:lvl>
  </w:abstractNum>
  <w:abstractNum w:abstractNumId="110">
    <w:nsid w:val="5B25ACE2"/>
    <w:multiLevelType w:val="hybridMultilevel"/>
    <w:lvl w:ilvl="0">
      <w:lvlJc w:val="left"/>
      <w:lvlText w:val="%1."/>
      <w:numFmt w:val="decimal"/>
      <w:start w:val="4"/>
    </w:lvl>
  </w:abstractNum>
  <w:abstractNum w:abstractNumId="111">
    <w:nsid w:val="175DFCF0"/>
    <w:multiLevelType w:val="hybridMultilevel"/>
    <w:lvl w:ilvl="0">
      <w:lvlJc w:val="left"/>
      <w:lvlText w:val="%1."/>
      <w:numFmt w:val="decimal"/>
      <w:start w:val="5"/>
    </w:lvl>
  </w:abstractNum>
  <w:abstractNum w:abstractNumId="112">
    <w:nsid w:val="4F97E3E4"/>
    <w:multiLevelType w:val="hybridMultilevel"/>
    <w:lvl w:ilvl="0">
      <w:lvlJc w:val="left"/>
      <w:lvlText w:val="%1."/>
      <w:numFmt w:val="decimal"/>
      <w:start w:val="6"/>
    </w:lvl>
  </w:abstractNum>
  <w:abstractNum w:abstractNumId="113">
    <w:nsid w:val="53B0A9E"/>
    <w:multiLevelType w:val="hybridMultilevel"/>
    <w:lvl w:ilvl="0">
      <w:lvlJc w:val="left"/>
      <w:lvlText w:val="%1."/>
      <w:numFmt w:val="decimal"/>
      <w:start w:val="7"/>
    </w:lvl>
  </w:abstractNum>
  <w:abstractNum w:abstractNumId="114">
    <w:nsid w:val="34FD6B4F"/>
    <w:multiLevelType w:val="hybridMultilevel"/>
    <w:lvl w:ilvl="0">
      <w:lvlJc w:val="left"/>
      <w:lvlText w:val="%1."/>
      <w:numFmt w:val="decimal"/>
      <w:start w:val="8"/>
    </w:lvl>
  </w:abstractNum>
  <w:abstractNum w:abstractNumId="115">
    <w:nsid w:val="5915FF32"/>
    <w:multiLevelType w:val="hybridMultilevel"/>
    <w:lvl w:ilvl="0">
      <w:lvlJc w:val="left"/>
      <w:lvlText w:val="%1."/>
      <w:numFmt w:val="decimal"/>
      <w:start w:val="9"/>
    </w:lvl>
  </w:abstractNum>
  <w:abstractNum w:abstractNumId="116">
    <w:nsid w:val="56438D15"/>
    <w:multiLevelType w:val="hybridMultilevel"/>
    <w:lvl w:ilvl="0">
      <w:lvlJc w:val="left"/>
      <w:lvlText w:val="%1."/>
      <w:numFmt w:val="decimal"/>
      <w:start w:val="10"/>
    </w:lvl>
  </w:abstractNum>
  <w:abstractNum w:abstractNumId="117">
    <w:nsid w:val="519E3149"/>
    <w:multiLevelType w:val="hybridMultilevel"/>
    <w:lvl w:ilvl="0">
      <w:lvlJc w:val="left"/>
      <w:lvlText w:val="%1."/>
      <w:numFmt w:val="decimal"/>
      <w:start w:val="11"/>
    </w:lvl>
  </w:abstractNum>
  <w:abstractNum w:abstractNumId="118">
    <w:nsid w:val="2C6E4AFD"/>
    <w:multiLevelType w:val="hybridMultilevel"/>
    <w:lvl w:ilvl="0">
      <w:lvlJc w:val="left"/>
      <w:lvlText w:val="%1."/>
      <w:numFmt w:val="decimal"/>
      <w:start w:val="12"/>
    </w:lvl>
  </w:abstractNum>
  <w:abstractNum w:abstractNumId="119">
    <w:nsid w:val="17A1B582"/>
    <w:multiLevelType w:val="hybridMultilevel"/>
    <w:lvl w:ilvl="0">
      <w:lvlJc w:val="left"/>
      <w:lvlText w:val="%1."/>
      <w:numFmt w:val="decimal"/>
      <w:start w:val="13"/>
    </w:lvl>
  </w:abstractNum>
  <w:abstractNum w:abstractNumId="120">
    <w:nsid w:val="4DF72E4E"/>
    <w:multiLevelType w:val="hybridMultilevel"/>
    <w:lvl w:ilvl="0">
      <w:lvlJc w:val="left"/>
      <w:lvlText w:val="%1."/>
      <w:numFmt w:val="decimal"/>
      <w:start w:val="1"/>
    </w:lvl>
  </w:abstractNum>
  <w:abstractNum w:abstractNumId="121">
    <w:nsid w:val="5046B5A9"/>
    <w:multiLevelType w:val="hybridMultilevel"/>
    <w:lvl w:ilvl="0">
      <w:lvlJc w:val="left"/>
      <w:lvlText w:val="%1."/>
      <w:numFmt w:val="decimal"/>
      <w:start w:val="2"/>
    </w:lvl>
  </w:abstractNum>
  <w:abstractNum w:abstractNumId="122">
    <w:nsid w:val="5D888A08"/>
    <w:multiLevelType w:val="hybridMultilevel"/>
    <w:lvl w:ilvl="0">
      <w:lvlJc w:val="left"/>
      <w:lvlText w:val="%1."/>
      <w:numFmt w:val="decimal"/>
      <w:start w:val="3"/>
    </w:lvl>
  </w:abstractNum>
  <w:abstractNum w:abstractNumId="123">
    <w:nsid w:val="2A082C70"/>
    <w:multiLevelType w:val="hybridMultilevel"/>
    <w:lvl w:ilvl="0">
      <w:lvlJc w:val="left"/>
      <w:lvlText w:val="%1."/>
      <w:numFmt w:val="decimal"/>
      <w:start w:val="4"/>
    </w:lvl>
  </w:abstractNum>
  <w:abstractNum w:abstractNumId="124">
    <w:nsid w:val="5EC6AFD4"/>
    <w:multiLevelType w:val="hybridMultilevel"/>
    <w:lvl w:ilvl="0">
      <w:lvlJc w:val="left"/>
      <w:lvlText w:val="%1."/>
      <w:numFmt w:val="decimal"/>
      <w:start w:val="5"/>
    </w:lvl>
  </w:abstractNum>
  <w:abstractNum w:abstractNumId="125">
    <w:nsid w:val="19E21BB2"/>
    <w:multiLevelType w:val="hybridMultilevel"/>
    <w:lvl w:ilvl="0">
      <w:lvlJc w:val="left"/>
      <w:lvlText w:val="%1."/>
      <w:numFmt w:val="decimal"/>
      <w:start w:val="6"/>
    </w:lvl>
  </w:abstractNum>
  <w:abstractNum w:abstractNumId="126">
    <w:nsid w:val="75E0858A"/>
    <w:multiLevelType w:val="hybridMultilevel"/>
    <w:lvl w:ilvl="0">
      <w:lvlJc w:val="left"/>
      <w:lvlText w:val="%1."/>
      <w:numFmt w:val="decimal"/>
      <w:start w:val="7"/>
    </w:lvl>
  </w:abstractNum>
  <w:abstractNum w:abstractNumId="127">
    <w:nsid w:val="57A61A29"/>
    <w:multiLevelType w:val="hybridMultilevel"/>
    <w:lvl w:ilvl="0">
      <w:lvlJc w:val="left"/>
      <w:lvlText w:val="%1."/>
      <w:numFmt w:val="decimal"/>
      <w:start w:val="8"/>
    </w:lvl>
  </w:abstractNum>
  <w:abstractNum w:abstractNumId="128">
    <w:nsid w:val="5399C654"/>
    <w:multiLevelType w:val="hybridMultilevel"/>
    <w:lvl w:ilvl="0">
      <w:lvlJc w:val="left"/>
      <w:lvlText w:val="%1."/>
      <w:numFmt w:val="decimal"/>
      <w:start w:val="9"/>
    </w:lvl>
  </w:abstractNum>
  <w:abstractNum w:abstractNumId="129">
    <w:nsid w:val="20EE1348"/>
    <w:multiLevelType w:val="hybridMultilevel"/>
    <w:lvl w:ilvl="0">
      <w:lvlJc w:val="left"/>
      <w:lvlText w:val="%1."/>
      <w:numFmt w:val="decimal"/>
      <w:start w:val="10"/>
    </w:lvl>
  </w:abstractNum>
  <w:abstractNum w:abstractNumId="130">
    <w:nsid w:val="4427069A"/>
    <w:multiLevelType w:val="hybridMultilevel"/>
    <w:lvl w:ilvl="0">
      <w:lvlJc w:val="left"/>
      <w:lvlText w:val="%1."/>
      <w:numFmt w:val="decimal"/>
      <w:start w:val="11"/>
    </w:lvl>
  </w:abstractNum>
  <w:abstractNum w:abstractNumId="131">
    <w:nsid w:val="B37E80A"/>
    <w:multiLevelType w:val="hybridMultilevel"/>
    <w:lvl w:ilvl="0">
      <w:lvlJc w:val="left"/>
      <w:lvlText w:val="%1."/>
      <w:numFmt w:val="decimal"/>
      <w:start w:val="12"/>
    </w:lvl>
  </w:abstractNum>
  <w:abstractNum w:abstractNumId="132">
    <w:nsid w:val="2157F6BC"/>
    <w:multiLevelType w:val="hybridMultilevel"/>
    <w:lvl w:ilvl="0">
      <w:lvlJc w:val="left"/>
      <w:lvlText w:val="%1."/>
      <w:numFmt w:val="decimal"/>
      <w:start w:val="13"/>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2019-12-20T06:46:48Z</dcterms:created>
  <dcterms:modified xsi:type="dcterms:W3CDTF">2019-12-20T06:46:48Z</dcterms:modified>
</cp:coreProperties>
</file>