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 Preliminary Proxy Statement</w:t>
      </w:r>
    </w:p>
    <w:p>
      <w:pPr>
        <w:spacing w:after="0" w:line="23" w:lineRule="exact"/>
        <w:rPr>
          <w:sz w:val="24"/>
          <w:szCs w:val="24"/>
          <w:color w:val="auto"/>
        </w:rPr>
      </w:pPr>
    </w:p>
    <w:p>
      <w:pPr>
        <w:ind w:left="660" w:right="4400" w:hanging="4"/>
        <w:spacing w:after="0" w:line="250" w:lineRule="auto"/>
        <w:tabs>
          <w:tab w:leader="none" w:pos="8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ss.240.14a-12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 Fee computed on table below per Exchange Act Rules 14a-6(i)(1) and 0-11</w:t>
      </w:r>
    </w:p>
    <w:p>
      <w:pPr>
        <w:spacing w:after="0" w:line="211"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 Fee paid previously with preliminary materials.</w:t>
      </w:r>
    </w:p>
    <w:p>
      <w:pPr>
        <w:spacing w:after="0" w:line="23" w:lineRule="exact"/>
        <w:rPr>
          <w:sz w:val="24"/>
          <w:szCs w:val="24"/>
          <w:color w:val="auto"/>
        </w:rPr>
      </w:pPr>
    </w:p>
    <w:p>
      <w:pPr>
        <w:ind w:left="660" w:hanging="328"/>
        <w:spacing w:after="0" w:line="290" w:lineRule="auto"/>
        <w:tabs>
          <w:tab w:leader="none" w:pos="486" w:val="left"/>
        </w:tabs>
        <w:numPr>
          <w:ilvl w:val="1"/>
          <w:numId w:val="3"/>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414655</wp:posOffset>
            </wp:positionV>
            <wp:extent cx="1431290" cy="1680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behalf of the Board of Directors, I cordially invite you to participate in the Annual Meeting of Shareholders of Ocwen Financial Corporation, which will be held on Tuesday, May 25, 2021, at 9:00 a.m., Eastern Daylight Time. In light of public health concerns regarding COVID-19, we will again be hosting this year’s Annual Meeting in a virtual format only via live audiocast on the Internet at </w:t>
      </w:r>
      <w:r>
        <w:rPr>
          <w:rFonts w:ascii="Arial" w:cs="Arial" w:eastAsia="Arial" w:hAnsi="Arial"/>
          <w:sz w:val="17"/>
          <w:szCs w:val="17"/>
          <w:u w:val="single" w:color="auto"/>
          <w:color w:val="auto"/>
        </w:rPr>
        <w:t>www.virtualshareholdermeeting.com/OCN2021</w:t>
      </w:r>
      <w:r>
        <w:rPr>
          <w:rFonts w:ascii="Arial" w:cs="Arial" w:eastAsia="Arial" w:hAnsi="Arial"/>
          <w:sz w:val="17"/>
          <w:szCs w:val="17"/>
          <w:color w:val="auto"/>
        </w:rPr>
        <w:t>. To participate, vote or submit questions during the Annual Meeting via live audiocast, please review the detailed procedures included in our Notice of Annual Meeting. You will not be able to attend the Annual Meeting physically in person. For purposes of attendance at the Annual Meeting, all references herein to “present,” “participate,” or “in person,” shall mean virtually present at the Annual Meeting. This does not represent a change in our shareholder engagement philosophy and we continue planning to return to in-person meetings as soon as it is possible to safely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matters to be considered by shareholders at the Annual Meeting are described in detail in the accompanying materials.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cannot vote your shares at the Annual Meeting unless you have obtained a legal proxy from your brokerage firm, bank, broker-dealer, or similar organization.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91615"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1661 Worthington Road, Suite 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25,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2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Tuesday, May 25, 2021</w:t>
      </w:r>
    </w:p>
    <w:p>
      <w:pPr>
        <w:spacing w:after="0" w:line="2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9"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Virtual Meeting Only via Live Audiocast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review the instructions contained in this Proxy Statement if you wish to participate in the virtual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for one-year terms or until their successors are elected and qualified;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Ocwen Financial Corporation 2021 Equity Incentive Plan;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Board of Directors has fixed March 26, 2021 as the record date for the determination of shareholders entitled to notice of and to vote at the Annual Meeting. A list of stockholders entitled to vote at the Annual Meeting will be available for examination at our offices for ten days prior to the Annual Meeting. The list of stockholders may also be accessed during the virtual Annual Meeting at </w:t>
      </w:r>
      <w:r>
        <w:rPr>
          <w:rFonts w:ascii="Arial" w:cs="Arial" w:eastAsia="Arial" w:hAnsi="Arial"/>
          <w:sz w:val="18"/>
          <w:szCs w:val="18"/>
          <w:u w:val="single" w:color="auto"/>
          <w:color w:val="auto"/>
        </w:rPr>
        <w:t>www.virtualshareholdermeeting.com/OCN2021</w:t>
      </w:r>
      <w:r>
        <w:rPr>
          <w:rFonts w:ascii="Arial" w:cs="Arial" w:eastAsia="Arial" w:hAnsi="Arial"/>
          <w:sz w:val="18"/>
          <w:szCs w:val="18"/>
          <w:color w:val="auto"/>
        </w:rPr>
        <w:t xml:space="preserve"> by using the control number on your proxy card or voting instruction form.</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83"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If you would like to attend the virtual meeting and you have your control number, please go to </w:t>
      </w:r>
      <w:r>
        <w:rPr>
          <w:rFonts w:ascii="Arial" w:cs="Arial" w:eastAsia="Arial" w:hAnsi="Arial"/>
          <w:sz w:val="16"/>
          <w:szCs w:val="16"/>
          <w:u w:val="single" w:color="auto"/>
          <w:color w:val="auto"/>
        </w:rPr>
        <w:t>www.virtualshareholdermeeting.com/OCN2021</w:t>
      </w:r>
      <w:r>
        <w:rPr>
          <w:rFonts w:ascii="Arial" w:cs="Arial" w:eastAsia="Arial" w:hAnsi="Arial"/>
          <w:sz w:val="16"/>
          <w:szCs w:val="16"/>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Ocwen’s Annual Meeting, please call 844-976-0738 (US) or 303-562-9301 (International).</w:t>
      </w:r>
    </w:p>
    <w:p>
      <w:pPr>
        <w:spacing w:after="0" w:line="16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If you wish to submit a question during the Annual Meeting, log into the virtual meeting platform at </w:t>
      </w:r>
      <w:r>
        <w:rPr>
          <w:rFonts w:ascii="Arial" w:cs="Arial" w:eastAsia="Arial" w:hAnsi="Arial"/>
          <w:sz w:val="18"/>
          <w:szCs w:val="18"/>
          <w:u w:val="single" w:color="auto"/>
          <w:color w:val="auto"/>
        </w:rPr>
        <w:t>www.virtualshareholdermeeting.com/OCN2021</w:t>
      </w:r>
      <w:r>
        <w:rPr>
          <w:rFonts w:ascii="Arial" w:cs="Arial" w:eastAsia="Arial" w:hAnsi="Arial"/>
          <w:sz w:val="18"/>
          <w:szCs w:val="18"/>
          <w:color w:val="auto"/>
        </w:rPr>
        <w:t>, type your question into the “Ask a Question” field, and click “Submit.”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This proxy statement for our 2021 Annual Meeting of Shareholders and our Annual Report to shareholders on Form 10-K for the year ended December 31, 2020 will be available on or about April 16, 2021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in the Financial Information section under the “Shareholders” tab. The approximate date on which this proxy statement, the proxy card and other accompanying materials are first being sent or given to shareholders is April 16, 2021. Additionally, and in accordance with Securities and Exchange Commission rules, you may access our annual report and proxy materials at </w:t>
      </w:r>
      <w:r>
        <w:rPr>
          <w:rFonts w:ascii="Arial" w:cs="Arial" w:eastAsia="Arial" w:hAnsi="Arial"/>
          <w:sz w:val="17"/>
          <w:szCs w:val="17"/>
          <w:u w:val="single" w:color="auto"/>
          <w:color w:val="auto"/>
        </w:rPr>
        <w:t>http://shareholders.ocwen.com/sec.cfm</w:t>
      </w:r>
      <w:r>
        <w:rPr>
          <w:rFonts w:ascii="Arial" w:cs="Arial" w:eastAsia="Arial" w:hAnsi="Arial"/>
          <w:sz w:val="17"/>
          <w:szCs w:val="17"/>
          <w:color w:val="auto"/>
        </w:rPr>
        <w:t>, a website that does not identify or track visitors of the site.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have questions for Ocwen Financial Corporation regarding this virtual Annual Meeting, please contact our shareholder relations department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Joseph J. Samarias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362"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proxy statement is being furnished to you in connection with the solicitation of proxies by the Board of Directors of Ocwen Financial Corporation (“Ocwen,” the “Company,” “we,” “us,” or “our”) for use at our 2021 Annual Meeting of Shareholders (the “Annual Meeting”) and at any postponement or adjournment of this meeting. The approximate date on which this proxy statement, the proxy card and other accompanying materials are first being sent or given to shareholders is April 16, 2021. The Annual Meeting will be held on Tuesday, May 25, 2021, at 9:00 a.m., Eastern Daylight Time, for the purposes listed in the Notice of Annual Meeting of Shareholders. In light of COVID-19 health concerns, we will be hosting this year’s Annual Meeting via live audiocast on the Internet at </w:t>
      </w:r>
      <w:r>
        <w:rPr>
          <w:rFonts w:ascii="Arial" w:cs="Arial" w:eastAsia="Arial" w:hAnsi="Arial"/>
          <w:sz w:val="17"/>
          <w:szCs w:val="17"/>
          <w:u w:val="single" w:color="auto"/>
          <w:color w:val="auto"/>
        </w:rPr>
        <w:t>www.virtualshareholdermeeting.com/OCN2021</w:t>
      </w:r>
      <w:r>
        <w:rPr>
          <w:rFonts w:ascii="Arial" w:cs="Arial" w:eastAsia="Arial" w:hAnsi="Arial"/>
          <w:sz w:val="17"/>
          <w:szCs w:val="17"/>
          <w:color w:val="auto"/>
        </w:rPr>
        <w:t>. This does not represent a change in our shareholder engagement philosophy and we are planning to return to in-person meetings as soon as it is safe to do so. If you are interested in participating in the virtual meeting, voting or submitting questions at that time, please see “Annual Meeting Participation” below for further details. You will not be able to attend the Annual Meeting physically in person. For purposes of attendance at the Annual Meeting, all references herein to “present,” “participate,” or “in person,” shall mean virtually present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has appointed Glen A. Messina, President and Chief Executive Officer, and Joseph J. Samarias, Executive Vice President,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seven nominees for Director;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2021;</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 (“Say-on-Pay”);</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Four (Approval of the Ocwen Financial Corporation 2021 Equity Incentive Plan (the “2021 Plan”)) - “FOR” approval; and</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of revocation with our Secretary at the following address:</w:t>
      </w:r>
    </w:p>
    <w:p>
      <w:pPr>
        <w:spacing w:after="0" w:line="225" w:lineRule="exact"/>
        <w:rPr>
          <w:rFonts w:ascii="Arial" w:cs="Arial" w:eastAsia="Arial" w:hAnsi="Arial"/>
          <w:sz w:val="18"/>
          <w:szCs w:val="18"/>
          <w:color w:val="auto"/>
        </w:rPr>
      </w:pPr>
    </w:p>
    <w:p>
      <w:pPr>
        <w:ind w:left="660" w:right="8080"/>
        <w:spacing w:after="0" w:line="301" w:lineRule="auto"/>
        <w:rPr>
          <w:rFonts w:ascii="Arial" w:cs="Arial" w:eastAsia="Arial" w:hAnsi="Arial"/>
          <w:sz w:val="18"/>
          <w:szCs w:val="18"/>
          <w:color w:val="auto"/>
        </w:rPr>
      </w:pPr>
      <w:r>
        <w:rPr>
          <w:rFonts w:ascii="Arial" w:cs="Arial" w:eastAsia="Arial" w:hAnsi="Arial"/>
          <w:sz w:val="16"/>
          <w:szCs w:val="16"/>
          <w:color w:val="auto"/>
        </w:rPr>
        <w:t>Joseph J. Samarias, Secretary c/o Ocwen Financial Corporation 1661 Worthington Road, Suite 100 West Palm Beach, Florida 33409</w:t>
      </w:r>
    </w:p>
    <w:p>
      <w:pPr>
        <w:spacing w:after="0" w:line="15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card bearing a later date or submitting another proxy using the Internet or by telephone (your latest Internet or telephone voting instructions will be followed),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participating in the virtual Annual Meeting and giving the Secretary notice of your intention to vote at that time.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are interested in participating in the virtual Annual Meeting, voting or submitting questions at that time, please see “Annual Meeting Participation” below for further details.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all matters properly presented at the Annual Meeting, each share of our common stock is entitled to one vote. All shareholders who owned our common stock as of the close of business on March 26, 2021 (the “Record Date”) are cordially invited to participate in the 2021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American Stock Transfer &amp; Trust Company,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8,688,115 shares of common stock issued and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cannot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such as the proposals to elect directors, approve Say-on-Pay and approve the 2021 Plan, then Brokers are not permitted to vote your shares without instruction from you. If you do not submit voting instructions to your Broker and your Broker exercises its discretion to vote your shares on Proposal Two to ratify the appointment of Deloitte &amp; Touche LLP as our independent registered public accounting firm for 2021, your shares will constitute broker “non-votes” on each of the other proposals at the Annual Meeting. Therefore, it is important that you provide instructions to your Broker if your shares are held by a Broker so that your votes with respect to election of directors, Say-on-Pay, and the 2021 Plan are counted.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7"/>
          <w:szCs w:val="17"/>
          <w:color w:val="auto"/>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2021, Proposal Three to approve Say-on-Pay, and Proposal Four to approve the 2021 Plan,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2021 and Proposal Three to approve Say-on-Pay are advisory in nature, there is no specific requirement for approval for these proposals. It will be up to the Audit Committee and the Compensation and Human Capital Committee with respect to Proposals Two and Three, respectively, as well as the Board of Directors, to determine whether and how to implement the advisory votes on the ratification of the appointment of our independent registered public accounting firm and Say-on-Pay.</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2021 or Proposal Three to approve Say-on-Pay. Under New York Stock Exchange listing standards applicable to shareholder approval of equity compensation plans, abstentions will be counted as votes cast on Proposal Four to approve the 2021 Plan and therefore will have the same effect as votes against that proposal.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Proposal Three to approve Say-on-Pay, or Proposal Four to approve the 2021 Plan and therefore will not be counted in determining the outcome of those proposals presented for your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Because we continue to prioritize the health and wellbeing of our shareholders, our directors, and our employees, we will again be hosting our Annual Meeting via live audiocast on the Internet at </w:t>
      </w:r>
      <w:r>
        <w:rPr>
          <w:rFonts w:ascii="Arial" w:cs="Arial" w:eastAsia="Arial" w:hAnsi="Arial"/>
          <w:sz w:val="18"/>
          <w:szCs w:val="18"/>
          <w:u w:val="single" w:color="auto"/>
          <w:color w:val="auto"/>
        </w:rPr>
        <w:t>www.virtualshareholdermeeting.com/OCN2021</w:t>
      </w:r>
      <w:r>
        <w:rPr>
          <w:rFonts w:ascii="Arial" w:cs="Arial" w:eastAsia="Arial" w:hAnsi="Arial"/>
          <w:sz w:val="18"/>
          <w:szCs w:val="18"/>
          <w:color w:val="auto"/>
        </w:rPr>
        <w:t>. You will not be able to attend the Annual Meeting physically in person. Our shareholders will be afforded the same opportunities to participate at the virtual Annual Meeting as they would at an in-person annual meeting of shareholders.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color w:val="auto"/>
        </w:rPr>
        <w:t>hareholders of record will be able to vote and ask questions online during the meeting. If you would like to attend the virtual Annual Meeting and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your control number, please go to </w:t>
      </w:r>
      <w:r>
        <w:rPr>
          <w:rFonts w:ascii="Arial" w:cs="Arial" w:eastAsia="Arial" w:hAnsi="Arial"/>
          <w:sz w:val="18"/>
          <w:szCs w:val="18"/>
          <w:u w:val="single" w:color="auto"/>
          <w:color w:val="auto"/>
        </w:rPr>
        <w:t>www.virtualshareholdermeeting.com/OCN2021</w:t>
      </w:r>
      <w:r>
        <w:rPr>
          <w:rFonts w:ascii="Arial" w:cs="Arial" w:eastAsia="Arial" w:hAnsi="Arial"/>
          <w:sz w:val="18"/>
          <w:szCs w:val="18"/>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cannot vote your shares at the Annual Meeting unless you have obtained a legal proxy from your Broker. Please contact your Broker for further information.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Arial" w:cs="Arial" w:eastAsia="Arial" w:hAnsi="Arial"/>
          <w:sz w:val="18"/>
          <w:szCs w:val="18"/>
          <w:u w:val="single" w:color="auto"/>
          <w:color w:val="auto"/>
        </w:rPr>
        <w:t>http://www.ocwen.com</w:t>
      </w:r>
      <w:r>
        <w:rPr>
          <w:rFonts w:ascii="Arial" w:cs="Arial" w:eastAsia="Arial" w:hAnsi="Arial"/>
          <w:sz w:val="18"/>
          <w:szCs w:val="18"/>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technical assistance when logging into the virtual Annual Meeting, please call 800-586-1548 (US) or 303-562-9288 (International).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If you plan to attend the virtual Annual Meeting, we request you notify us no less than seven days in advance at </w:t>
      </w:r>
      <w:r>
        <w:rPr>
          <w:rFonts w:ascii="Arial" w:cs="Arial" w:eastAsia="Arial" w:hAnsi="Arial"/>
          <w:sz w:val="18"/>
          <w:szCs w:val="18"/>
          <w:b w:val="1"/>
          <w:bCs w:val="1"/>
          <w:u w:val="single" w:color="auto"/>
          <w:color w:val="auto"/>
        </w:rPr>
        <w:t>shareholderrelations@ocwen.com</w:t>
      </w:r>
      <w:r>
        <w:rPr>
          <w:rFonts w:ascii="Arial" w:cs="Arial" w:eastAsia="Arial" w:hAnsi="Arial"/>
          <w:sz w:val="18"/>
          <w:szCs w:val="18"/>
          <w:b w:val="1"/>
          <w:bCs w:val="1"/>
          <w:color w:val="auto"/>
        </w:rPr>
        <w:t xml:space="preserve"> (i.e. no later than May 18, 2021) to assist us in our preparations for the virtual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and address matters that are, to different degrees, uncertain. Because forward-looking statements involve a number of assumptions, risks and uncertainties that could cause actual results to differ materially, readers should not place undue reliance on such statements.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2020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eleven members with the exact number to be fixed by our Board of Directors. Effective May 27, 2020, our Board of Directors fixed the number of directors at seven.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leadership of our Board, the Company demonstrated strong execution on our key strategic initiatives throughout 2020: expanding our originations business to replenish and grow our servicing portfolio, driving continuous cost improvement to maintain an industry cost competitive position, effectively managing our balance sheet to ensure adequate liquidity, finance our ongoing business needs and provide a solid platform for growth, and fulfilling our regulatory commitments while resolving remaining legacy and regulatory matters. In addition, the Board guided the Company through the highly challenging environment created by the global COVID-19 pandemic, including disruption in the financial markets and our industry, rapidly changing regulatory requirements, and the transition of most of our workforce to a remote working environment. As the Board navigated these critical near-term challenges, they remained committed to positioning the Company to execute on our strategic priorities while working to maximize value for our shareholders, shepherding the Company through a strategic process that resulted in early 2021 in the refinancing of our corporate debt and the launch of a long-term strategic relationship with Oaktree Capital Management L.P.</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put the Company in the best position to execute on these initiatives, the Nomination/Governance Committee and the Board evaluate on an ongoing basis the skillsets and experiential perspectives of our directors as well as individuals recommended as potential nominees. Consistent with our Board Diversity Policy and our Corporate Governance Guidelines, the Board has identified a set of director nominees with individual backgrounds that, when combined, provide a portfolio of experience and knowledge that will best serve the Company’s strategic and governance needs.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about the attributes of our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w:t>
      </w:r>
    </w:p>
    <w:p>
      <w:pPr>
        <w:jc w:val="center"/>
        <w:spacing w:after="0" w:line="204" w:lineRule="auto"/>
        <w:rPr>
          <w:sz w:val="20"/>
          <w:szCs w:val="20"/>
          <w:color w:val="auto"/>
        </w:rPr>
      </w:pPr>
      <w:r>
        <w:rPr>
          <w:rFonts w:ascii="Arial" w:cs="Arial" w:eastAsia="Arial" w:hAnsi="Arial"/>
          <w:sz w:val="18"/>
          <w:szCs w:val="18"/>
          <w:b w:val="1"/>
          <w:bCs w:val="1"/>
          <w:color w:val="auto"/>
        </w:rPr>
        <w:t>Board of Directors Skills and Experiences</w:t>
      </w:r>
      <w:r>
        <w:rPr>
          <w:rFonts w:ascii="Arial" w:cs="Arial" w:eastAsia="Arial" w:hAnsi="Arial"/>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30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1"/>
              </w:rPr>
              <w:t>Phyllis R.</w:t>
            </w:r>
          </w:p>
        </w:tc>
        <w:tc>
          <w:tcPr>
            <w:tcW w:w="112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1"/>
              </w:rPr>
              <w:t>Alan J.</w:t>
            </w:r>
          </w:p>
        </w:tc>
        <w:tc>
          <w:tcPr>
            <w:tcW w:w="114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84"/>
              </w:rPr>
              <w:t>Jenne</w:t>
            </w:r>
          </w:p>
        </w:tc>
        <w:tc>
          <w:tcPr>
            <w:tcW w:w="144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86"/>
              </w:rPr>
              <w:t>Jacques J.</w:t>
            </w:r>
          </w:p>
        </w:tc>
        <w:tc>
          <w:tcPr>
            <w:tcW w:w="112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1"/>
              </w:rPr>
              <w:t>Glen A.</w:t>
            </w:r>
          </w:p>
        </w:tc>
        <w:tc>
          <w:tcPr>
            <w:tcW w:w="132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89"/>
              </w:rPr>
              <w:t>DeForest B.</w:t>
            </w:r>
          </w:p>
        </w:tc>
        <w:tc>
          <w:tcPr>
            <w:tcW w:w="9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Kevin</w:t>
            </w:r>
          </w:p>
        </w:tc>
        <w:tc>
          <w:tcPr>
            <w:tcW w:w="0" w:type="dxa"/>
            <w:vAlign w:val="bottom"/>
          </w:tcPr>
          <w:p>
            <w:pPr>
              <w:spacing w:after="0"/>
              <w:rPr>
                <w:sz w:val="1"/>
                <w:szCs w:val="1"/>
                <w:color w:val="auto"/>
              </w:rPr>
            </w:pPr>
          </w:p>
        </w:tc>
      </w:tr>
      <w:tr>
        <w:trPr>
          <w:trHeight w:val="241"/>
        </w:trPr>
        <w:tc>
          <w:tcPr>
            <w:tcW w:w="30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Caldwell</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Bowers</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Britell</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Busquet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Messina</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Soaries, Jr.</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Stein</w:t>
            </w: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Company Board Experience</w:t>
            </w: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w w:val="99"/>
              </w:rPr>
              <w:t>Served as a Chief Executive Officer or</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Head of Comparably Sized</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Organization</w:t>
            </w:r>
          </w:p>
        </w:tc>
        <w:tc>
          <w:tcPr>
            <w:tcW w:w="11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Financial Services Industry</w:t>
            </w:r>
          </w:p>
        </w:tc>
        <w:tc>
          <w:tcPr>
            <w:tcW w:w="1140" w:type="dxa"/>
            <w:vAlign w:val="bottom"/>
            <w:gridSpan w:val="2"/>
            <w:vMerge w:val="restart"/>
            <w:shd w:val="clear" w:color="auto" w:fill="CCEEFF"/>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shd w:val="clear" w:color="auto" w:fill="CCEEFF"/>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Experience</w:t>
            </w:r>
          </w:p>
        </w:tc>
        <w:tc>
          <w:tcPr>
            <w:tcW w:w="11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Audit Committee Financial Expert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Regulatory Compliance and Risk</w:t>
            </w:r>
          </w:p>
        </w:tc>
        <w:tc>
          <w:tcPr>
            <w:tcW w:w="1140" w:type="dxa"/>
            <w:vAlign w:val="bottom"/>
            <w:gridSpan w:val="2"/>
            <w:vMerge w:val="restart"/>
            <w:shd w:val="clear" w:color="auto" w:fill="CCEEFF"/>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shd w:val="clear" w:color="auto" w:fill="CCEEFF"/>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Management Experience</w:t>
            </w:r>
          </w:p>
        </w:tc>
        <w:tc>
          <w:tcPr>
            <w:tcW w:w="11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Mortgage Servicing, Lending, or</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Community Housing Organization</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3060" w:type="dxa"/>
            <w:vAlign w:val="bottom"/>
          </w:tcPr>
          <w:p>
            <w:pPr>
              <w:spacing w:after="0"/>
              <w:rPr>
                <w:sz w:val="20"/>
                <w:szCs w:val="20"/>
                <w:color w:val="auto"/>
              </w:rPr>
            </w:pPr>
            <w:r>
              <w:rPr>
                <w:rFonts w:ascii="Arial" w:cs="Arial" w:eastAsia="Arial" w:hAnsi="Arial"/>
                <w:sz w:val="18"/>
                <w:szCs w:val="18"/>
                <w:color w:val="auto"/>
              </w:rPr>
              <w:t>Experience</w:t>
            </w:r>
          </w:p>
        </w:tc>
        <w:tc>
          <w:tcPr>
            <w:tcW w:w="1140" w:type="dxa"/>
            <w:vAlign w:val="bottom"/>
            <w:gridSpan w:val="2"/>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580" w:right="2960" w:hanging="5248"/>
        <w:spacing w:after="0" w:line="352" w:lineRule="auto"/>
        <w:tabs>
          <w:tab w:leader="none" w:pos="657"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Includes outside managerial and director experience only (i.e., does not include Ocwen-based experience)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417820" cy="4954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782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414655</wp:posOffset>
            </wp:positionV>
            <wp:extent cx="1285875" cy="128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Phyllis R.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1486535</wp:posOffset>
            </wp:positionV>
            <wp:extent cx="1285875" cy="1491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Alan J. Bowers</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Ms. Caldwell became Chair of the Board of Directors in March 2016 and has served as a director of Ocwen since January 2015. In March 2021, Ms. Caldwell was appointed as a member of the Board of Trustees of JBG SMITH (NYSE:JBGS), an owner and developer of mixed-use properties in the Washington, D.C. market. In December 2020, Ms. Caldwell was also appointed to the Board of Directors of Revolution Acceleration Acquisition Corp (Nasdaq:RAAC), a special purpose acquisition company. Ms. Caldwell is founder and has served since 2012 as the managing member of Wroxton Civic Ventures, which provides advisory services on various financial, housing and economic development matters.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In addition, Ms. Caldwell held various leadership roles during eleven years at Bank of America, including serving as President of Community Development Banking. From January 2014 through September 2018, Ms. Caldwell served as an independent director of American Capital Senior Floating, Ltd. (Nasdaq:ACSF), a business development company. Ms. Caldwell also serves or has served on the boards of other public and private businesses and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Mr. Bowers has served as a director of Ocwen since May 2015. Mr. Bowers has also served as a Director of Walker &amp; Dunlop, Inc., a publicly traded commercial real estate finance company, since December 2010, serves as its Lead Director, and serves on its Nominating and Corporate Governance Committee and as Chair of its Audit Committee. Mr. Bowers also serves on the board and as Audit Committee Chair of CorePoint Lodging Group, a publicly traded lodging REIT. From July 2013 to May 2018, Mr. Bowers served as a Director of La Quinta Inns &amp; Suites, a publicly traded hotel chain. Mr. Bowers’ additional prior roles include serving as a Director of American Achievement Corp., a privately-held manufacturer and distributer of graduation products, President, Chief Executive Officer and a board member of Cape Success, LLC, a private equity-backed staffing service and information technology solutions business, President, Chief Executive Officer and a board member of MarketSource Corporation, a marketing and sales support service firm and President, Chief Executive Officer and a board member of MBL Life Assurance Corporation, a life insurance company. Mr. Bowers also previously served on the boards and as Audit Committee Chair of Refrigerated Holdings, Inc., Roadlink Inc., and First-rate Holdings, Inc., each a transportation and logistics firm. Mr. Bowers has been a Certified Public Accountant since 1978, with experience including 17 years at Coopers</w:t>
      </w:r>
    </w:p>
    <w:p>
      <w:pPr>
        <w:spacing w:after="0" w:line="2" w:lineRule="exact"/>
        <w:rPr>
          <w:sz w:val="20"/>
          <w:szCs w:val="20"/>
          <w:color w:val="auto"/>
        </w:rPr>
      </w:pPr>
    </w:p>
    <w:p>
      <w:pPr>
        <w:ind w:firstLine="1"/>
        <w:spacing w:after="0" w:line="260" w:lineRule="auto"/>
        <w:tabs>
          <w:tab w:leader="none" w:pos="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Lybrand, L.L.P. Mr. Bowers received his Bachelor of Science in Accounting from Montclair State University and his Master of Business Administration from St. John’s University.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420" w:space="700"/>
            <w:col w:w="8520"/>
          </w:cols>
          <w:pgMar w:left="920" w:top="638"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1517015" cy="1877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Jenne K. Britell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613410</wp:posOffset>
            </wp:positionV>
            <wp:extent cx="1517015" cy="1705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01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Jacques J. Busquet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387985</wp:posOffset>
            </wp:positionV>
            <wp:extent cx="1285875" cy="1705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Glen A. Messina</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Dr. Britell has served as a director of Ocwen since February 2019. Dr. Britell served as a director of United Rentals, Inc. from 2006 to 2019, including as its non-executive Chair from 2008 to 2019. Dr. Britell also served as a director of Quest Diagnostics Inc., including as a member of its Audit and Finance Committee, from 2005 to 2019. From 2000 through 2017, Dr. Britell served as a director of Crown Holdings, Inc., including as Chair of the Audit Committee. Previously, Dr. Britell served as Chair and Chief Executive Officer of Structured Ventures, Inc., advisors to U.S. and multinational companies, and as a senior executive of GE Capital, including as the Executive Vice President of Global Consumer Finance and President of Global Commercial and Mortgage Banking. Before joining GE Capital, she held significant management positions with Dime Bancorp, Inc., HomePower, Inc., Citicorp and Republic New York Corporation. Earlier, she was the founding Chair and Chief Executive Officer of the Polish-American Mortgage Bank. Dr. Brit ell’s extensive prior board service also includes serving as Lead Director for Eames Investment Corp., as a trustee for the Teachers Insurance and Annuity Association (TIAA-CREF), and as a director for Lincoln National Corp., in addition to numerous civic and philanthropic boards. Dr. Britell received a Ph.D. and a master’s degree in business administration from Columbia University and received a master’s degree and an undergraduate degree from Harvard University.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Mr. Busquet has served as a director of Ocwen since January 2016. Mr. Busquet was formerly Chief Risk Officer and Managing Director of Natixis North America LLC and a member of the Executive Committee from April 2008 to February 2015. Prior to that, Mr. Busquet was Executive Vice President and member of the Executive Committee of Canyon Americas (formerly Credit Lyonnais Americas) in charge of Risks, Compliance, Legal, Regulatory Affairs and Asset Recovery. Since July 2016, Mr. Busquet has served as a director of Mizuho Americas LLC, the US Bank Holding Company of Mizuho Financial Group, Inc. Since 2005, Mr. Busquet has served as a director of Prolate Inc., a privately-held commercial air scenting company. Mr. Busquet has previously served as a trustee of the Institute of International Bankers, and of the African Wildlife Foundation, which he also served as Audit Committee Chair. Mr. Busquet has a Master of Business Administration in Finance from each of The Wharton School of the University of Pennsylvania and Hautes Études Commercialese (HEC), Paris.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Messina has served as President and Chief Executive Officer and as a director of Ocwen since October 2018. He previously served as the President and Chief Executive Officer of PHH Corporation (“PHH”) from January 2012 to June 2017 and Chief Operating Officer of PHH from July 2011 to December 2011. Mr. Messina also served as a director of PHH from January 2012 to June 2017 and as a consultant to PHH through March 2018. Prior to joining PHH, Mr. Messina spent 17 years at General Electric Company (“GE”), most recently as Chief Executive Officer of GE Chemical and Monitoring Solutions, a global water and process specialty chemicals services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440" w:space="700"/>
            <w:col w:w="8520"/>
          </w:cols>
          <w:pgMar w:left="900" w:top="638"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414655</wp:posOffset>
            </wp:positionV>
            <wp:extent cx="1285875" cy="144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DeForest B. Soaries,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508000</wp:posOffset>
            </wp:positionV>
            <wp:extent cx="1285875" cy="144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587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Kevin Stein</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Dr. Soaries has served as a director of Ocwen since January 2015. Dr. Soaries has served as Senior Pastor of First Baptist Church of Lincoln Gardens since 1990. He formerly served as New Jersey Secretary of State from 1999 to 2002 and as Chair of the United States Election Assistance Commission from 2004 to 2005. He currently serves as an independent director at Independence Realty Trust, a publicly traded real estate investment trust, a position he has held since February 2011, and is Chair of the Compensation Committee. Dr. Soaries has also served as an independent director of the Federal Home Loan Bank of New York since January 2009, where he is Chair of the Compensation and Human Resources Committee and also serves as a member of the Technology Committee and the Housing Committee. He also previously served as a director of New Era Bank. Dr. Soaries earned a Bachelor of Arts from Fordham University, a Master of Divinity from Princeton Theological Seminary and a Doctor of Ministry from United Theological Seminary.</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Mr. Stein has served as a director of Ocwen since February 2019. He is Chief Executive Officer of EJF Acquisition Corp. and a Senior Managing Director of EJF Capital LLC. Prior to joining EJF Capital, Mr. Stein served as Chief Executive Officer of Resolution Analytica Corp., a buyer of commercial judgments, since co-founding the business in 2017. From March 2016 through March 2017, he served as Senior Managing Director of KCK US, Inc., a family-controlled private equity firm. Mr. Stein was previously a Managing Director in the Financial Institutions Group of Barclays until 2016. Prior to joining Barclays in 2011, Mr. Stein served as a Partner at FBR &amp; Co., as an executive of GreenPoint Financial Corporation, a bank holding company, and as an Associate Director of the Federal Deposit Insurance Corporation, Division of Resolutions. Mr. Stein is the Audit Chair of Dime Community Bancshares, Inc., and has served as a director since December 2017. Mr. Stein also served as a director of PHH from June 2017 until its acquisition by the Company in October 2018. Mr. Stein is Audit Committee Chair and has served since 1996 as a Director of Bedford Stuyvesant Restoration Corporation. Mr. Stein received his undergraduate degree from Syracuse University and his Master of Business Administration from Carnegie Mellon University.</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Stein was selected to serve as a member of our Board of Directors due to his knowledge regarding the financial services industry and his mortgage servicing experience, including his prior service as a director of PHH.</w:t>
      </w:r>
    </w:p>
    <w:p>
      <w:pPr>
        <w:spacing w:after="0" w:line="120"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780" w:space="520"/>
            <w:col w:w="8520"/>
          </w:cols>
          <w:pgMar w:left="740" w:top="63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held 19 meetings and acted by unanimous written consent six times in 2020. Each incumbent director who served as a director during 2020 attended at least 75% of the aggregate of these meetings and all meetings held by all committees of our Board of Directors on which he or she served during 2020. Directors are expected to attend the annual meeting of shareholders (including via electronic participation) and a director who is unable to attend is expected to notify the Company Secretary in advance of such meeting. Our virtual 2020 Annual Meeting of Shareholders was attended by all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Observers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completion of a private placement of $199.5 million aggregate principal amount of Ocwen senior secured second lien notes (the “Second Lien Notes”) to funds managed by Oaktree Capital Management, L.P. (the “Oaktree Investors”) on March 4, 2021, Messrs. Jason Keller and Brian Laibow, who serve in management roles with the Oaktree Investors, joined the Company in the role of non-voting observers to our Board of Directors. Under their agreement with the Company, the Oaktree Investors may designate two Board of Directors observers for as long as the aggregate outstanding principal amount of the Second Lien Notes is at least $100 million or the Oaktree Investors and their affiliates collectively own at least 15.0% of all issued and outstanding common stock of the Company (assuming the exercise of certain warrants held by them in full). The observers are entitled to attend all meetings of the Board of Directors and its committees and review all information presented to them with limited exceptions, including discussions and presentations with respect to which the presence of the observers could jeopardize attorney-client privilege.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affirmatively determined that Ms. Caldwell, Messrs. Bowers, Busquet, and Stein, and Drs. Britell and Soaries are independent directors. In addition, the Nomination/Governance Committee and our Board of Directors had previously determined that Robert J. Lipstein, who served as a director until May 27, 2020, was independent.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2020 performance self-assessments were conducted in the first quarter of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of Directors believes that separating the positions of Chief Executive Officer and Chair of the Board of Directors is the best structure to fit the Company’s needs at this time. However, 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 As Chair of the Board, Ms. Caldwell leads the Board of Directors and oversees Board meetings and the delivery of information necessary for the Board’s informed decision-making. As our President and Chief Executive Officer, Mr. Messina is responsible for our day-to-day operations and for formulating and executing our long-term strategies in collaboration with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 Human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Nomination/</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Risk and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29"/>
                <w:szCs w:val="29"/>
                <w:b w:val="1"/>
                <w:bCs w:val="1"/>
                <w:color w:val="auto"/>
                <w:vertAlign w:val="superscript"/>
              </w:rPr>
              <w:t>(1)</w:t>
            </w:r>
          </w:p>
        </w:tc>
        <w:tc>
          <w:tcPr>
            <w:tcW w:w="320" w:type="dxa"/>
            <w:vAlign w:val="bottom"/>
            <w:vMerge w:val="restart"/>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Director</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Audit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Governance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Compliance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0" w:type="dxa"/>
            <w:vAlign w:val="bottom"/>
          </w:tcPr>
          <w:p>
            <w:pPr>
              <w:spacing w:after="0"/>
              <w:rPr>
                <w:sz w:val="1"/>
                <w:szCs w:val="1"/>
                <w:color w:val="auto"/>
              </w:rPr>
            </w:pPr>
          </w:p>
        </w:tc>
      </w:tr>
      <w:tr>
        <w:trPr>
          <w:trHeight w:val="24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Since</w:t>
            </w:r>
          </w:p>
        </w:tc>
        <w:tc>
          <w:tcPr>
            <w:tcW w:w="3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0" w:type="dxa"/>
            <w:vAlign w:val="bottom"/>
          </w:tcPr>
          <w:p>
            <w:pPr>
              <w:spacing w:after="0"/>
              <w:rPr>
                <w:sz w:val="1"/>
                <w:szCs w:val="1"/>
                <w:color w:val="auto"/>
              </w:rPr>
            </w:pPr>
          </w:p>
        </w:tc>
      </w:tr>
      <w:tr>
        <w:trPr>
          <w:trHeight w:val="257"/>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J. Bowers</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X</w:t>
            </w: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60" w:type="dxa"/>
            <w:vAlign w:val="bottom"/>
            <w:gridSpan w:val="2"/>
          </w:tcPr>
          <w:p>
            <w:pPr>
              <w:spacing w:after="0"/>
              <w:rPr>
                <w:sz w:val="20"/>
                <w:szCs w:val="20"/>
                <w:color w:val="auto"/>
              </w:rPr>
            </w:pPr>
            <w:r>
              <w:rPr>
                <w:rFonts w:ascii="Arial" w:cs="Arial" w:eastAsia="Arial" w:hAnsi="Arial"/>
                <w:sz w:val="18"/>
                <w:szCs w:val="18"/>
                <w:color w:val="auto"/>
              </w:rPr>
              <w:t>Jacques J. Busquet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8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Jenne K. Britell</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X</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60" w:type="dxa"/>
            <w:vAlign w:val="bottom"/>
            <w:gridSpan w:val="2"/>
          </w:tcPr>
          <w:p>
            <w:pPr>
              <w:spacing w:after="0"/>
              <w:rPr>
                <w:sz w:val="20"/>
                <w:szCs w:val="20"/>
                <w:color w:val="auto"/>
              </w:rPr>
            </w:pPr>
            <w:r>
              <w:rPr>
                <w:rFonts w:ascii="Arial" w:cs="Arial" w:eastAsia="Arial" w:hAnsi="Arial"/>
                <w:sz w:val="18"/>
                <w:szCs w:val="18"/>
                <w:color w:val="auto"/>
              </w:rPr>
              <w:t>Phyllis R. Caldwell</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center"/>
              <w:ind w:right="20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2260" w:type="dxa"/>
            <w:vAlign w:val="bottom"/>
            <w:gridSpan w:val="2"/>
          </w:tcPr>
          <w:p>
            <w:pPr>
              <w:spacing w:after="0"/>
              <w:rPr>
                <w:sz w:val="20"/>
                <w:szCs w:val="20"/>
                <w:color w:val="auto"/>
              </w:rPr>
            </w:pPr>
            <w:r>
              <w:rPr>
                <w:rFonts w:ascii="Arial" w:cs="Arial" w:eastAsia="Arial" w:hAnsi="Arial"/>
                <w:sz w:val="18"/>
                <w:szCs w:val="18"/>
                <w:color w:val="auto"/>
              </w:rPr>
              <w:t>DeForest B. Soaries, Jr.</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center"/>
              <w:ind w:right="22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Stein</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X</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X</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As of April 15, 2021</w:t>
      </w:r>
    </w:p>
    <w:p>
      <w:pPr>
        <w:spacing w:after="0" w:line="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Committee Chair</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public accounting firm,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members of the Audit Committee are Messrs. Bowers (Chair), Busquet, and Stein.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in the “Shareholders” section under “Corporate Governance.” The Audit Committee generally reviews its charter annually and occasionally reviews it more frequently. When circumstances require, the charter is amended and the revised version posted on our website. This Committee met nine times in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Compensation and Human Capital Committee. </w:t>
      </w:r>
      <w:r>
        <w:rPr>
          <w:rFonts w:ascii="Arial" w:cs="Arial" w:eastAsia="Arial" w:hAnsi="Arial"/>
          <w:sz w:val="17"/>
          <w:szCs w:val="17"/>
          <w:color w:val="auto"/>
        </w:rPr>
        <w:t>The Compensation and Human Capital Committee (“Compensation Committee”)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oversees our compensation and employee benefit plans and practices.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the 2017 Performance Incentive Plan, under which no new awards will be granted if shareholders approve the 2021 Equity Incentive Plan but previously granted awards remain outstanding, and, if approved by shareholders, our 2021 Equity Incentive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members of the Compensation Committee are Dr. Soaries (Chair), Dr. Britell, and Mr. Busquet.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“Shareholders” section under “Corporate Governance.” The Compensation Committee generally reviews its charter annually and occasionally reviews it more frequently. When circumstances require, the charter is amended and the revised version posted on our website. This Committee met 11 times in 2020.</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Soaries, Dr. Britell, and Mr. Busquet served as members of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during 2020. None of such members were, at any time during the 2020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2020 fiscal year. No member of the Compensation Committee had any relationship with us requiring disclosure under Item 404 of Securities and Exchange Commission Regulation S-K.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current members of the Nomination/Governance Committee are Ms. Caldwell (Chair) and Drs. Britell and Soaries. Each member of our Nomination/Governance Committee is independent as defined in the listing standards of the New York Stock Exchange.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“Shareholders” section under “Corporate Governance.” The Nomination/Governance Committee generally reviews its charter annually and occasionally reviews it more frequently. When circumstances require, the charter is amended and the revised version posted on our website. This Committee met six times in 2020.</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Risk and Compliance Committee. </w:t>
      </w:r>
      <w:r>
        <w:rPr>
          <w:rFonts w:ascii="Arial" w:cs="Arial" w:eastAsia="Arial" w:hAnsi="Arial"/>
          <w:sz w:val="18"/>
          <w:szCs w:val="18"/>
          <w:color w:val="auto"/>
        </w:rPr>
        <w:t>The Risk and Compliance Committee of our Board of Directors provides assistance to the Board of Directors with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information security/privacy programs,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current members of the Risk and Compliance Committee are Messrs. Busquet (Chair) and Messrs. Bowers and Stein, all of whom are independent directors as defined in the listing standards of the New York Stock Exchange.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Risk and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“Shareholders” section under “Corporate Governance.” The Risk and Compliance Committee generally reviews its charter annually and occasionally reviews it more frequently. When circumstances require, the charter will be amended and the revised version posted on our website. This Committee met ten times in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During 2020 and early 2021, the Risk and Compliance Committee, exercising authority delegated by the Board of Directors, provided oversight of the Company’s strategic process to explore potential business combinations and other transformative transactions.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if necessary. The current members of the Executive Committee are Ms. Caldwell (Chair) and Messrs. Messina and Busquet.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Other Committees. </w:t>
      </w:r>
      <w:r>
        <w:rPr>
          <w:rFonts w:ascii="Arial" w:cs="Arial" w:eastAsia="Arial" w:hAnsi="Arial"/>
          <w:sz w:val="17"/>
          <w:szCs w:val="17"/>
          <w:color w:val="auto"/>
        </w:rPr>
        <w:t>Our Board of Directors has the authority to form additional standing or temporary committees, and delegate appropriate authority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Nomination/Governance Committee regularly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January 1, 2015, the Nomination/Governance Committee has recommended, and the Board of Directors has appointed, eight new independent directors, including three new independent directors appointed in 2015, two new independent directors appointed in 2016, one new independent director appointed in 2017, and two new independent directors appointed in 2019. Effective May 27, 2020, our Board of Directors has fixed the number of directors at seven.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In February 2019, we revised our prior policy that directors who have reached the age of 78 may generally not be nominated, as we believe it is more beneficial to focus on the qualifications, experience, and performance of our directors and director nominees and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in the “Shareholders” section under “Corporate Governance.”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diverse ethnicities, geographic origins and genders in building an inclusive corporate culture that reflects and supports Ocwen’s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jc w:val="both"/>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“Submission of Shareholder Proposals for 2021 Annual Meeting,” below for additional information about this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Insider Trading Prevention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or engaging in any other transaction that hedges the economic risk associated with ownership of the Company’s securities. This policy is designed to encourage investment in the Company’s stock for the long term, on a buy and hold basis,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Corporate Governance Guidelines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“Shareholders” section under “Corporate Governance.” Our Nomination/Governance Committee reviews our Corporate Governance Guidelines annually and recommends amendments to the Board of Directors for approval.</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also adopted a Clawback Policy as further described under “Clawback Policy” in the “Executive Compensation” section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Ms. Caldwell chairs executive sessions of the full Board of Directors. Our non-management directors met in executive sessions of the full Board without management during eight meetings in 2020. In addition, our Audit, Compensation and Human Capital, and Risk and Compliance Committees generally met in executive session at each regularly scheduled quarterly meeting and on other occasions when the members believed it was advisable to do so.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Chair,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General Counsel from time to time and the chair of the Risk and Compliance Committee meets independently with the Chief Risk and Compliance Officer and the General Counsel from time to time. In prior years, our directors have also visited various of our U.S. and international sites to meet generally with employees and senior management in those locations.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 You may also write to our Board of Directors through our website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Communications received in writing are distributed to our Board of Directors or to individual directors, as the General Counsel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in the “Shareholders” section under “Corporate Governance.”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Board of Directors’ key responsibilities is the oversight of risk associated with the Company. Certain of these responsibilities have been delegated to specific committees, in which case the Board oversees the work of the committee.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Risk and Compliance Committee</w:t>
      </w:r>
      <w:r>
        <w:rPr>
          <w:rFonts w:ascii="Arial" w:cs="Arial" w:eastAsia="Arial" w:hAnsi="Arial"/>
          <w:sz w:val="18"/>
          <w:szCs w:val="18"/>
          <w:color w:val="auto"/>
        </w:rPr>
        <w:t>. As discussed above, this committee is responsible for monitoring the Company’s enterprise risk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and regularly meets with the Chief Risk and Compliance Officer to discuss risk exposures and mitigation plans. This committee monitors the Company’s evaluation and management of risks, including operational risk, regulatory compliance risks and cybersecurity risks, through reviews with management, including comprehensive reviews every quarter with additional updates as appropriate. This committee also reviews and approves related party transactions in accordance with our Related Party Transactions Approval Policy to monitor and prevent conflicts of interest in the operations of the Company and the activities of management and directors.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monitors the Company’s financial risks through regular reviews of the Company’s financial activities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internal and external auditors. This committee also receives reports from the management-level Disclosure Review Committee which works to remediate the risk of inaccurate financial reporting through its review of the Company’s quarterly and annual financial reports and disclosure controls and procedures.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8" w:name="page19"/>
    <w:bookmarkEnd w:id="18"/>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monitors the Company’s governance risk by regular reviews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including monitoring any circumstances that could potentially jeopardize the independence of directors or objectivity of management.</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monitors potential risks created by the Company’s compensation policies and practices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regular reviews with management and through consulting regularly with an independent compensation consultant without management present. This committee also oversees human resources initiatives intended to reduce the risk of workplace discrimination and harassment incidents.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Corporate Governance (“ESG”) and Corporate Sustainability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Board of Directors and our management are committed to ensuring Ocwen has responsible practices to address the needs of its customers, employees and the communities it serves. Our comprehensive approach to ESG and corporate sustainability is detailed in our report “Environmental, Social and Corporate Governance (ESG) and Corporate Sustainability”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“Shareholders” section under “Corporate Governance.” Our approach is represented by the following policies and programs: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Policy on non-discrimination. </w:t>
      </w:r>
      <w:r>
        <w:rPr>
          <w:rFonts w:ascii="Arial" w:cs="Arial" w:eastAsia="Arial" w:hAnsi="Arial"/>
          <w:sz w:val="18"/>
          <w:szCs w:val="18"/>
          <w:color w:val="auto"/>
        </w:rPr>
        <w:t>Ocwen’s non-discrimination policy provides equal employment opportunities for all qualified individuals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discrimination based upon the following legally protected characteristics: race, religious creed, color, national origin, ancestry, physical or mental disability, medical condition, genetic information, marital status (including registered domestic partnership status), sex (including pregnancy, childbirth, lactation and related medical conditions), gender (including gender identity and expression), age (40 and over), sexual orientation, Civil Air Patrol status, military and veteran status and any other consideration protected by federal, state or local law (collectively referred to as “protected characteristics”). Underlying this policy is Ocwen’s strong concern for its employees’ rights to be free from unlawful discrimination and its commitment to providing a safe, secure and productive work environment.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Every effort is made to ensure that Ocwen’s hiring, salary administration, promotion and transfer policies are based solely on job requirements, job performance and job-related criteria. In addition, the Company’s personnel policies and practices (including those relating to compensation, benefits, transfer, retention, termination, training and self-development opportunities, as well as social and recreational programs) are administered without discrimination on the basis of any legally protected characteristic.</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Promoting equal opportunity and diversity. </w:t>
      </w:r>
      <w:r>
        <w:rPr>
          <w:rFonts w:ascii="Arial" w:cs="Arial" w:eastAsia="Arial" w:hAnsi="Arial"/>
          <w:sz w:val="18"/>
          <w:szCs w:val="18"/>
          <w:color w:val="auto"/>
        </w:rPr>
        <w:t>Ocwen’s Diversity and Inclusion Council meets quarterly to review progress related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Diversity and Inclusion Roadmap. Diversity and Inclusion updates are provided to the Executive Leadership Team on a monthly basis and to the Board of Directors as necessary. Ocwen’s Global Diversity and Inclusion Policy is reviewed on an annual basis and diversity training is mandatory for all employees globally. Additionally, all leaders are required to complete a training course on Unconscious Bias, and Diversity and Inclusion goals are incorporated into annual performance evaluations for all managers.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the Company formed the Ocwen Global Women’s Network (“OGWN”), an affinity group whose mission is to support recruitment, development and retention initiatives for women across the organization. This affinity group serves as a sounding board for business insights, supports the attainment of Company goals in diversity, inclusion and talent development. Integrating Diversity and Inclusion into Ocwen’s culture is critical for our success and allows us to make the most of the full range of our talent. More than 2,200 employees are OGWN members.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 maintains a robust dashboard that tracks representation of women and people of color across the Company. As of December 31, 2020, 44% of our global workforce is made up of women. In the U.S., women make up 59% of our workforce and 36% of our leadership team at the Director level and above. Additionally, in the U.S., people of color make up 45% of our workforce and 17% of our leadership team at the Director level and above. We also take action to support the recruitment, development and retention of our diverse talent. These programs include requiring diverse candidates as part of our hiring process, tracking minority hiring, promotion, retention and representation at all levels, and assessing diverse talent as part of our succession planning.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Ocwen sponsors several organizations focused on under-represented groups, including the American Mortgage Diversity Council and the National Association of Minority Mortgage Bankers of America. We are also committed to hiring graduates from historically black colleges and universities through the HomeFree-USA Center for Financial Advancement program.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Dependent care and special leave. </w:t>
      </w:r>
      <w:r>
        <w:rPr>
          <w:rFonts w:ascii="Arial" w:cs="Arial" w:eastAsia="Arial" w:hAnsi="Arial"/>
          <w:sz w:val="18"/>
          <w:szCs w:val="18"/>
          <w:color w:val="auto"/>
        </w:rPr>
        <w:t>Ocwen’s benefits programs strive to keep employees productive and engaged at work by serving the total well-being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their families’ physical, mental and financial health.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robust employee assistance program that includes virtual counseling, personalized health coaching for chronic conditions, diabetes and ergonomics, stress management and financial planning workshops, online guided meditation and yoga, and more. Ocwen also provides a generous paid time off (PTO) program to support employees’ need to rest and recharge. Our medical and family leave programs offer paid disability absences and paid parental/adoption leave, in addition to FMLA-required schedule flexibility and job security.</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Training and development. </w:t>
      </w:r>
      <w:r>
        <w:rPr>
          <w:rFonts w:ascii="Arial" w:cs="Arial" w:eastAsia="Arial" w:hAnsi="Arial"/>
          <w:sz w:val="16"/>
          <w:szCs w:val="16"/>
          <w:color w:val="auto"/>
        </w:rPr>
        <w:t>Ocwen’s training curriculum includes functional business and compliance training for all employees. Training courses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housed in our learning management system, which is continually reviewed to ensure compliance with regulatory requirements. Ocwen’s Leadership Development Training curriculum is designed to prepare all employees at the Supervisor level and above with competencies to make them successful in their roles as leaders. The objective of the learning programs is to build functional and leadership competency for all levels of leadership.</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Community development. </w:t>
      </w:r>
      <w:r>
        <w:rPr>
          <w:rFonts w:ascii="Arial" w:cs="Arial" w:eastAsia="Arial" w:hAnsi="Arial"/>
          <w:sz w:val="16"/>
          <w:szCs w:val="16"/>
          <w:color w:val="auto"/>
        </w:rPr>
        <w:t>At Ocwen, we believe homeownership is an important part of achieving financial independence, and our philosophy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 is “helping homeowners is what we do.” This philosophy is what guides us in our commitment to the communities we serve. We organize a variety of community outreach programs and events with local and national organizations around the country to assist homeowners, particularly in communities of color. Our outreach events were started during the 2008 mortgage crisis and have continued since that time. In 2020, we implemented a virtual borrower outreach program, in partnership with the NAACP, to support borrowers impacted by the pandemic, with 40 borrower outreach events completed. Homeowners needing assistance can also access our Ocwencares.com website, which provides the latest information regarding our outreach events.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better serve our communities, Ocwen created its Community Advisory Council in 2014, consisting of 16 leaders from a diverse group of national non-profit organizations, consumer advocacy groups and civil rights organizations, as a platform to collaborate and share ideas on how to help homeowners. Ocwen provides grants and sponsorship funding to more than 20 nonprofit organizations each year in support of the work they do to help distressed communities and homeowners. Since 2012, Ocwen has allocated over $27 million to national and local non-profit organizations.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Responsible information security management. </w:t>
      </w:r>
      <w:r>
        <w:rPr>
          <w:rFonts w:ascii="Arial" w:cs="Arial" w:eastAsia="Arial" w:hAnsi="Arial"/>
          <w:sz w:val="18"/>
          <w:szCs w:val="18"/>
          <w:color w:val="auto"/>
        </w:rPr>
        <w:t>Ocwen maintains robust information security programs to ensure the confidentiality, integrity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availability of all data and information systems. Ocwen adopts the following industry standards for our information security operations: Control Objectives for Information and Related Technology (“COBIT”); Critical Infrastructure Cybersecurity Framework (“NIST”); Cloud Security Alliance (“CSA”); and International Organization for Standardization (“ISO”) 27001. In addition, we comply with the regulatory frameworks of the Federal Financial Institutions Examination Council (“FFIEC”) and New York Department of Financial Services. All employees receive training in identifying cybersecurity risks and preventing breaches. In addition, our third-party risk management program evaluates and monitors our vendors’ information security practices, and all third-party vendors that process data on our behalf are required to maintain a documented information security program that meets our minimum security requirements.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Environmental impact. </w:t>
      </w:r>
      <w:r>
        <w:rPr>
          <w:rFonts w:ascii="Arial" w:cs="Arial" w:eastAsia="Arial" w:hAnsi="Arial"/>
          <w:sz w:val="18"/>
          <w:szCs w:val="18"/>
          <w:color w:val="auto"/>
        </w:rPr>
        <w:t>In December 2020, we announced we remain committed to a primarily remote post-COVID-19 working model that will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one-third of employees commuting to work on a daily basis, significantly reducing the use of natural resources in our facilities and reducing carbon emissions by eliminating a daily commute for thousands of our employees. We recycle office supplies at all U.S. facilities, are converting to LED lighting, and are in the process of transitioning to digital mailrooms to reduce paper usage.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compensation received for fiscal year 2020 by each member of our Board of Directors who was not employed by us or one of our subsidiaries and who served as a director during fiscal year 2020 (our “non-management directors”).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Fees Earned Or</w:t>
            </w: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Paid in Cash</w:t>
            </w:r>
          </w:p>
        </w:tc>
        <w:tc>
          <w:tcPr>
            <w:tcW w:w="1800" w:type="dxa"/>
            <w:vAlign w:val="bottom"/>
            <w:gridSpan w:val="2"/>
          </w:tcPr>
          <w:p>
            <w:pPr>
              <w:jc w:val="center"/>
              <w:ind w:right="300"/>
              <w:spacing w:after="0" w:line="252" w:lineRule="exact"/>
              <w:rPr>
                <w:sz w:val="20"/>
                <w:szCs w:val="20"/>
                <w:color w:val="auto"/>
              </w:rPr>
            </w:pPr>
            <w:r>
              <w:rPr>
                <w:rFonts w:ascii="Arial" w:cs="Arial" w:eastAsia="Arial" w:hAnsi="Arial"/>
                <w:sz w:val="29"/>
                <w:szCs w:val="29"/>
                <w:b w:val="1"/>
                <w:bCs w:val="1"/>
                <w:color w:val="auto"/>
                <w:w w:val="93"/>
                <w:vertAlign w:val="subscript"/>
              </w:rPr>
              <w:t>Awards</w:t>
            </w:r>
            <w:r>
              <w:rPr>
                <w:rFonts w:ascii="Arial" w:cs="Arial" w:eastAsia="Arial" w:hAnsi="Arial"/>
                <w:sz w:val="13"/>
                <w:szCs w:val="13"/>
                <w:b w:val="1"/>
                <w:bCs w:val="1"/>
                <w:color w:val="auto"/>
                <w:w w:val="93"/>
              </w:rPr>
              <w:t>(1)(2)(3)</w:t>
            </w:r>
          </w:p>
        </w:tc>
        <w:tc>
          <w:tcPr>
            <w:tcW w:w="160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w:t>
            </w:r>
          </w:p>
        </w:tc>
      </w:tr>
      <w:tr>
        <w:trPr>
          <w:trHeight w:val="24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Phyllis R. Caldwell</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203,253</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Jenne K. Britell</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106,500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100,000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206,500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J. Bowers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128,500</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228,500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Jacques J. Busquet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138,952</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100,000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238,952</w:t>
            </w:r>
          </w:p>
        </w:tc>
      </w:tr>
      <w:tr>
        <w:trPr>
          <w:trHeight w:val="256"/>
        </w:trPr>
        <w:tc>
          <w:tcPr>
            <w:tcW w:w="4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Robert J. Lipstein </w:t>
            </w:r>
            <w:r>
              <w:rPr>
                <w:rFonts w:ascii="Arial" w:cs="Arial" w:eastAsia="Arial" w:hAnsi="Arial"/>
                <w:sz w:val="29"/>
                <w:szCs w:val="29"/>
                <w:color w:val="auto"/>
                <w:vertAlign w:val="superscript"/>
              </w:rPr>
              <w:t>(4)</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40,610</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DeForest B. Soaries, Jr.</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119,000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100,000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219,000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Stein</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116,000</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216,000</w:t>
            </w:r>
          </w:p>
        </w:tc>
      </w:tr>
    </w:tbl>
    <w:p>
      <w:pPr>
        <w:spacing w:after="0" w:line="202" w:lineRule="exact"/>
        <w:rPr>
          <w:sz w:val="20"/>
          <w:szCs w:val="20"/>
          <w:color w:val="auto"/>
        </w:rPr>
      </w:pPr>
    </w:p>
    <w:p>
      <w:pPr>
        <w:jc w:val="both"/>
        <w:ind w:left="340" w:hanging="332"/>
        <w:spacing w:after="0" w:line="218"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Amounts reported for stock awards represent the aggregate grant date fair value of awards granted during fiscal year 2020 under the 2017 Performance Incentive Plan (the “2017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202" w:lineRule="exact"/>
        <w:rPr>
          <w:rFonts w:ascii="Arial" w:cs="Arial" w:eastAsia="Arial" w:hAnsi="Arial"/>
          <w:sz w:val="30"/>
          <w:szCs w:val="30"/>
          <w:color w:val="auto"/>
          <w:vertAlign w:val="superscript"/>
        </w:rPr>
      </w:pPr>
    </w:p>
    <w:p>
      <w:pPr>
        <w:jc w:val="both"/>
        <w:ind w:left="340" w:hanging="332"/>
        <w:spacing w:after="0" w:line="209"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On May 27, 2020, our non-management directors received equity awards under the 2017 Plan for their service for the 2020-2021 term. Each award had a grant date fair value totaling $100,000. Each director received 9,009 restricted stock units (“RSUs”) vesting May 27, 2021 in the event each director attends at least 75% of applicable Board and committee meetings.</w:t>
      </w:r>
    </w:p>
    <w:p>
      <w:pPr>
        <w:spacing w:after="0" w:line="203" w:lineRule="exact"/>
        <w:rPr>
          <w:rFonts w:ascii="Arial" w:cs="Arial" w:eastAsia="Arial" w:hAnsi="Arial"/>
          <w:sz w:val="30"/>
          <w:szCs w:val="30"/>
          <w:color w:val="auto"/>
          <w:vertAlign w:val="superscript"/>
        </w:rPr>
      </w:pPr>
    </w:p>
    <w:p>
      <w:pPr>
        <w:jc w:val="both"/>
        <w:ind w:left="340" w:hanging="332"/>
        <w:spacing w:after="0" w:line="218"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Our non-management directors have no shares subject to option awards or other equity awards outstanding as of December 31, 2020, other than the RSUs issued May 27, 2020, except the following issued in prior service years to directors deferring their equity compensation pursuant to the Deferral Plan for Directors: Mr. Busquet holds 4,166 RSUs deliverable on June 1, 2022, and Dr. Soaries holds 4,982 RSUs deliverable six months following the termination of his service and 1,326 RSUs deliverable on January 1, 2023.</w:t>
      </w:r>
    </w:p>
    <w:p>
      <w:pPr>
        <w:spacing w:after="0" w:line="202" w:lineRule="exact"/>
        <w:rPr>
          <w:rFonts w:ascii="Arial" w:cs="Arial" w:eastAsia="Arial" w:hAnsi="Arial"/>
          <w:sz w:val="30"/>
          <w:szCs w:val="30"/>
          <w:color w:val="auto"/>
          <w:vertAlign w:val="superscript"/>
        </w:rPr>
      </w:pPr>
    </w:p>
    <w:p>
      <w:pPr>
        <w:ind w:left="340" w:right="20" w:hanging="332"/>
        <w:spacing w:after="0" w:line="194"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Mr. Lipstein retired effective May 26, 2020 immediately prior to the 2020 Annual Meeting. Accordingly, he did not receive a 2020 equity award for 2020-2021 director service.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2020, we provided the following annual cash compensation to our non-management directors in quarterly installments (except as noted below):</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retainer of $80,000;</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$75,000, prorated from January 1, 2020 to February 9, 2020, which was increased to $100,000 from February 10, 2020 to December 31, 2020, to the Chair of the Board;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$25,000 to the Audit Committee, Compensation Committee, and Risk and Compliance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$15,000 to the Nomination/Governance Committee Chair;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additional $12,500 to all Audit Committee, Compensation Committee, and Risk and Compliance Committee members (other than the Chairs).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In addition, our directors receive per-meeting fees of $1,000 per meeting for each meeting in excess of eight meetings of the Board of Directors a year. Similarly, beginning January 1, 2021, each member of the Compensation Committee, Risk and Compliance Committee, and Audit Committee will receive an additional $1,000 for attending each of his or her respective committees’ meetings in excess of eight annually. Our other committee members are not compensated on a per-meeting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February 10, 2020, the Compensation Committee determined to increase annual compensation for service as Chair of the Board from $75,000 to $100,000.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our 2017 Annual Shareholder Meeting, our shareholders approved the 2017 Performance Incentive Plan (the “2017 Plan”). Following the 2020 Annual Shareholder Meeting, each non-management member of the Board of Directors was granted an award of restricted stock units (“RSUs”) under the 2017 Plan with a grant date fair value of $100,000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2021 Annual Shareholder Meeting on May 25, 2021, each non-management member of the Board of Directors will again be granted an equity award with a grant date fair value of $100,000 (rounded to the next whole share), subject to their election to defer, as described further below. In the event we have an insufficient number of shares remaining available under the 2017 Plan at the time of the Annual Meeting, directors will be granted the right to receive cash to the extent of the available share shortfall. Payment of any cash amounts will be made on May 25, 2022 subject to the same vesting and other conditions as the RSUs.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Age</w:t>
            </w:r>
            <w:r>
              <w:rPr>
                <w:rFonts w:ascii="Arial" w:cs="Arial" w:eastAsia="Arial" w:hAnsi="Arial"/>
                <w:sz w:val="29"/>
                <w:szCs w:val="29"/>
                <w:b w:val="1"/>
                <w:bCs w:val="1"/>
                <w:color w:val="auto"/>
                <w:w w:val="83"/>
                <w:vertAlign w:val="superscript"/>
              </w:rPr>
              <w:t>(1)</w:t>
            </w:r>
          </w:p>
        </w:tc>
        <w:tc>
          <w:tcPr>
            <w:tcW w:w="6280" w:type="dxa"/>
            <w:vAlign w:val="bottom"/>
          </w:tcPr>
          <w:p>
            <w:pPr>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9"/>
                <w:szCs w:val="29"/>
                <w:b w:val="1"/>
                <w:bCs w:val="1"/>
                <w:color w:val="auto"/>
                <w:vertAlign w:val="superscript"/>
              </w:rPr>
              <w:t>(1)</w:t>
            </w:r>
          </w:p>
        </w:tc>
      </w:tr>
      <w:tr>
        <w:trPr>
          <w:trHeight w:val="202"/>
        </w:trPr>
        <w:tc>
          <w:tcPr>
            <w:tcW w:w="3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7"/>
                <w:szCs w:val="17"/>
                <w:color w:val="auto"/>
              </w:rPr>
            </w:pPr>
          </w:p>
        </w:tc>
        <w:tc>
          <w:tcPr>
            <w:tcW w:w="6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Servicing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John V. Britti</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Investment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Albert J. Celini</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Risk and Compliance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Francois Grunenwald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George T. Henley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Growth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Joseph B. Long</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Capital Markets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Joseph J. Samarias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General Counsel and Company Secretary</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All age and position information set forth herein is as of April 15, 2021.</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occupation for at least the last five years, as well as certain other biographical information, for each of our executive officers who is not a director is set forth below.</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Scott W. Anderson. </w:t>
      </w:r>
      <w:r>
        <w:rPr>
          <w:rFonts w:ascii="Arial" w:cs="Arial" w:eastAsia="Arial" w:hAnsi="Arial"/>
          <w:sz w:val="17"/>
          <w:szCs w:val="17"/>
          <w:color w:val="auto"/>
        </w:rPr>
        <w:t>Mr. Anderson has served as Executive Vice President and Chief Servicing Officer since 2009, and his career with Ocwen has spanned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John V. Britti</w:t>
      </w:r>
      <w:r>
        <w:rPr>
          <w:rFonts w:ascii="Arial" w:cs="Arial" w:eastAsia="Arial" w:hAnsi="Arial"/>
          <w:sz w:val="17"/>
          <w:szCs w:val="17"/>
          <w:color w:val="auto"/>
        </w:rPr>
        <w:t>. Mr. Britti has served as Executive Vice President and Chief Investment Officer since June 2014. From July 1, 2018 through October 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he also served as interim Chief Executive Officer. From September 2016 to February 2017, he served as the Interim Head of Risk Management. He previously served as Chief Financial Officer from March 2012 to June 2014 and Executive Vice President of Ocwen responsible for Finance and Business Development from January 2011 to March 2012. He has been with Ocwen since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June C. Campbell</w:t>
      </w:r>
      <w:r>
        <w:rPr>
          <w:rFonts w:ascii="Arial" w:cs="Arial" w:eastAsia="Arial" w:hAnsi="Arial"/>
          <w:sz w:val="18"/>
          <w:szCs w:val="18"/>
          <w:color w:val="auto"/>
        </w:rPr>
        <w:t>. Ms. Campbell has served as Executive Vice President and Chief Financial Officer since March 2019. Ms. Campbell joined Ocwen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 Capital, the financial services unit of General Electric Company, where she held multiple senior management positions in Finance, Capital Markets and Operations during her more than 20-year career at the company. Most recently, she served as Managing Director, Global Capital Markets, a position she held since 2014. Ms. Campbell’s prior roles included serving as Chief Operating Officer for GE Capital Canada from 2011 to 2014 and Chief Financial Officer of GE Capital Real Estate Canada from 2008 to 2011. She holds a Bachelor of Science from Simmons College and a Master of Business Administration from the University of Chicago.</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Albert J. Celini</w:t>
      </w:r>
      <w:r>
        <w:rPr>
          <w:rFonts w:ascii="Arial" w:cs="Arial" w:eastAsia="Arial" w:hAnsi="Arial"/>
          <w:sz w:val="18"/>
          <w:szCs w:val="18"/>
          <w:color w:val="auto"/>
        </w:rPr>
        <w:t>. Mr. Celini has served as Executive Vice President and Chief Risk and Compliance Officer since May 2019. From the closing of Ocwen’s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PHH Corporation in October 2018 until May 2019, he served as Senior Vice President and Chief Risk and Compliance Officer. From November 2017 through October 2018, he served as the Chief Risk and Compliance Officer of PHH Corporation. From May 2017 through October 2018, he served as a risk management consultant to the mortgage industry with Newbold Advisors LLC, a professional services firm, and from June 2016 through April 2017, with Common Securitization Solutions LLC (a joint venture between Fannie Mae and Freddie Mac). He also previously held executive roles at Sun National Bank, Freddie Mac, and Ally Bank (formerly GMAC Bank). Mr. Celini is a Certified Public Accountant and received a Bachelor of Science in Accounting from Fordham University.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b w:val="1"/>
          <w:bCs w:val="1"/>
          <w:i w:val="1"/>
          <w:iCs w:val="1"/>
          <w:color w:val="auto"/>
        </w:rPr>
        <w:t>Francois Grunenwald</w:t>
      </w:r>
      <w:r>
        <w:rPr>
          <w:rFonts w:ascii="Arial" w:cs="Arial" w:eastAsia="Arial" w:hAnsi="Arial"/>
          <w:sz w:val="18"/>
          <w:szCs w:val="18"/>
          <w:color w:val="auto"/>
        </w:rPr>
        <w:t>. Mr. Grunenwald has served as our Senior Vice President and Chief Accounting Officer since August 2019. Prior to joining Ocwen,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spent the prior 20 years at PricewaterhouseCoopers, where he served in various accounting and financial advisory roles with a focus on financial services clients, including for the last 12 years as a Partner. Mr. Grunenwald is a Certified Public Accountant and holds a Master’s degree in Finance and Banking from the University of Paris II Panthéon-Assas.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George T. Henley</w:t>
      </w:r>
      <w:r>
        <w:rPr>
          <w:rFonts w:ascii="Arial" w:cs="Arial" w:eastAsia="Arial" w:hAnsi="Arial"/>
          <w:sz w:val="18"/>
          <w:szCs w:val="18"/>
          <w:color w:val="auto"/>
        </w:rPr>
        <w:t>. Mr. Henley has served as Executive Vice President and Chief Growth Officer since February 15, 2021. In this role, Mr. Henley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the growth and development of our originations business and operations. From 2012 through the time he joined Ocwen, Mr. Henley served as an executive of Freedom Mortgage Corporation. He most recently served as Executive Vice President, Retail Lending of Freedom Mortgage responsible for sales, operations and originations channel expansion. Prior to that role, he was Executive Vice President, Capital Markets and Correspondent Lending responsible for the growth and development of Freedom Mortgage’s correspondent lending channel. He holds a Bachelor of Arts degree from Delta State University.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Joseph B. (“JB”) Long</w:t>
      </w:r>
      <w:r>
        <w:rPr>
          <w:rFonts w:ascii="Arial" w:cs="Arial" w:eastAsia="Arial" w:hAnsi="Arial"/>
          <w:sz w:val="17"/>
          <w:szCs w:val="17"/>
          <w:color w:val="auto"/>
        </w:rPr>
        <w:t>. Mr. Long has served as Executive Vice President, Capital Markets, since May 2020. He previously served a 25-year tenure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TIAA Bank (previously Everbank). Most recently, Mr. Long served as Executive Vice President, Strategic Business Development and Investments responsible for building a broader consumer lending offering and executing on the company’s investment acquisition strategy. Prior to that, he served as Executive Vice President, Head of Capital Markets responsible for the management of all portfolio loans, investments and secondary marketing. Earlier, he held roles of Senior Vice President, Director of Portfolio Management; Senior Vice President, MSR Investment Manager; and Vice President, Secondary Marketing. Mr. Long holds a Bachelor’s degree in Business Administration from the University of North Florida.</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Joseph J. Samarias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Samarias has served as Executive Vice President and General Counsel since April 2019. He previously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Deputy General Counsel of Ocwen since 2013. He also serves as the Company’s Chief Ethics Officer, and was appointed Company Secretary in April 2020.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Dennis Zeleny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Zeleny has served as Executive Vice President and Chief Administrative Officer since August 2019. In that capacity, he oversees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Ocwen’s human resources, communications, information technologies, facilities, sourcing, enterprise project management office and diversity and inclusion programs. From January through August 2019, Mr. Zeleny served Ocwen as a human resources consultant. From 2012 through 2019, Mr. Zeleny provided executive Human Capital consulting services including as co-CEO of Center on Executive Compensation.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B.S. from Cornell University and an M.S. from the Graduate School of Business at Columbia University.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April 15, 2021 by:</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Corporate Headquarters at 1661 Worthington Road, Suite 100, West Palm Beach, Florida 33409.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is based upon information supplied to us by directors and executive officers and filings under the Securities Exchange Act of 1934, as amended, except where noted. We have based our calculation of the percentage of beneficial ownership on 8,708,271 shares of our common stock outstanding as of April 15, 2021. Share numbers have been adjusted to give effect to the Company’s one-for-15 reverse stock split effective August 13, 2020.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9"/>
          <w:szCs w:val="29"/>
          <w:color w:val="auto"/>
          <w:vertAlign w:val="superscript"/>
        </w:rPr>
        <w:t>(1)</w:t>
      </w:r>
    </w:p>
    <w:tbl>
      <w:tblPr>
        <w:tblLayout w:type="fixed"/>
        <w:tblInd w:w="0" w:type="dxa"/>
        <w:tblCellMar>
          <w:top w:w="0" w:type="dxa"/>
          <w:left w:w="0" w:type="dxa"/>
          <w:bottom w:w="0" w:type="dxa"/>
          <w:right w:w="0" w:type="dxa"/>
        </w:tblCellMar>
      </w:tblPr>
      <w:tr>
        <w:trPr>
          <w:trHeight w:val="205"/>
        </w:trPr>
        <w:tc>
          <w:tcPr>
            <w:tcW w:w="6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Amount of Beneficial</w:t>
            </w:r>
          </w:p>
        </w:tc>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41"/>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2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Percent of Class</w:t>
            </w:r>
          </w:p>
        </w:tc>
      </w:tr>
      <w:tr>
        <w:trPr>
          <w:trHeight w:val="242"/>
        </w:trPr>
        <w:tc>
          <w:tcPr>
            <w:tcW w:w="6300" w:type="dxa"/>
            <w:vAlign w:val="bottom"/>
            <w:tcBorders>
              <w:top w:val="single" w:sz="8" w:color="auto"/>
            </w:tcBorders>
            <w:shd w:val="clear" w:color="auto" w:fill="CCEEFF"/>
          </w:tcPr>
          <w:p>
            <w:pPr>
              <w:spacing w:after="0" w:line="242" w:lineRule="exact"/>
              <w:rPr>
                <w:sz w:val="20"/>
                <w:szCs w:val="20"/>
                <w:color w:val="auto"/>
              </w:rPr>
            </w:pPr>
            <w:r>
              <w:rPr>
                <w:rFonts w:ascii="Arial" w:cs="Arial" w:eastAsia="Arial" w:hAnsi="Arial"/>
                <w:sz w:val="17"/>
                <w:szCs w:val="17"/>
                <w:color w:val="auto"/>
              </w:rPr>
              <w:t>Deer Park Road Management Company, LP</w:t>
            </w:r>
            <w:r>
              <w:rPr>
                <w:rFonts w:ascii="Arial" w:cs="Arial" w:eastAsia="Arial" w:hAnsi="Arial"/>
                <w:sz w:val="28"/>
                <w:szCs w:val="28"/>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1195 Bangtail Way</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Steamboat Springs, CO 80487</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863,744</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r>
      <w:tr>
        <w:trPr>
          <w:trHeight w:val="242"/>
        </w:trPr>
        <w:tc>
          <w:tcPr>
            <w:tcW w:w="6520" w:type="dxa"/>
            <w:vAlign w:val="bottom"/>
            <w:gridSpan w:val="2"/>
          </w:tcPr>
          <w:p>
            <w:pPr>
              <w:spacing w:after="0" w:line="242" w:lineRule="exact"/>
              <w:rPr>
                <w:sz w:val="20"/>
                <w:szCs w:val="20"/>
                <w:color w:val="auto"/>
              </w:rPr>
            </w:pPr>
            <w:r>
              <w:rPr>
                <w:rFonts w:ascii="Arial" w:cs="Arial" w:eastAsia="Arial" w:hAnsi="Arial"/>
                <w:sz w:val="17"/>
                <w:szCs w:val="17"/>
                <w:color w:val="auto"/>
              </w:rPr>
              <w:t>Oaktree Capital Management LP</w:t>
            </w:r>
            <w:r>
              <w:rPr>
                <w:rFonts w:ascii="Arial" w:cs="Arial" w:eastAsia="Arial" w:hAnsi="Arial"/>
                <w:sz w:val="28"/>
                <w:szCs w:val="28"/>
                <w:color w:val="auto"/>
                <w:vertAlign w:val="superscript"/>
              </w:rPr>
              <w:t>(3)</w:t>
            </w:r>
          </w:p>
        </w:tc>
        <w:tc>
          <w:tcPr>
            <w:tcW w:w="2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333 S. Grand Avenue, 28th Floor</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Los Angeles, CA 90071</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956,847</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42"/>
        </w:trPr>
        <w:tc>
          <w:tcPr>
            <w:tcW w:w="652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(4)</w:t>
            </w:r>
          </w:p>
        </w:tc>
        <w:tc>
          <w:tcPr>
            <w:tcW w:w="2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7118 Melrose Castle Lane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33496</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779,037</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42"/>
        </w:trPr>
        <w:tc>
          <w:tcPr>
            <w:tcW w:w="6520" w:type="dxa"/>
            <w:vAlign w:val="bottom"/>
            <w:gridSpan w:val="2"/>
          </w:tcPr>
          <w:p>
            <w:pPr>
              <w:spacing w:after="0" w:line="242" w:lineRule="exact"/>
              <w:rPr>
                <w:sz w:val="20"/>
                <w:szCs w:val="20"/>
                <w:color w:val="auto"/>
              </w:rPr>
            </w:pPr>
            <w:r>
              <w:rPr>
                <w:rFonts w:ascii="Arial" w:cs="Arial" w:eastAsia="Arial" w:hAnsi="Arial"/>
                <w:sz w:val="17"/>
                <w:szCs w:val="17"/>
                <w:color w:val="auto"/>
              </w:rPr>
              <w:t>Roberto Marco Sella</w:t>
            </w:r>
            <w:r>
              <w:rPr>
                <w:rFonts w:ascii="Arial" w:cs="Arial" w:eastAsia="Arial" w:hAnsi="Arial"/>
                <w:sz w:val="28"/>
                <w:szCs w:val="28"/>
                <w:color w:val="auto"/>
                <w:vertAlign w:val="superscript"/>
              </w:rPr>
              <w:t>(5)</w:t>
            </w:r>
          </w:p>
        </w:tc>
        <w:tc>
          <w:tcPr>
            <w:tcW w:w="2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2400 Market Street, Suite 3022</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Philadelphia, PA 19103</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454,767</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79"/>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7"/>
        </w:trPr>
        <w:tc>
          <w:tcPr>
            <w:tcW w:w="630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Scott W. Anderson</w:t>
            </w:r>
            <w:r>
              <w:rPr>
                <w:rFonts w:ascii="Arial" w:cs="Arial" w:eastAsia="Arial" w:hAnsi="Arial"/>
                <w:sz w:val="29"/>
                <w:szCs w:val="29"/>
                <w:color w:val="auto"/>
                <w:vertAlign w:val="superscript"/>
              </w:rPr>
              <w:t>(6)</w:t>
            </w:r>
          </w:p>
        </w:tc>
        <w:tc>
          <w:tcPr>
            <w:tcW w:w="220" w:type="dxa"/>
            <w:vAlign w:val="bottom"/>
            <w:tcBorders>
              <w:top w:val="single" w:sz="8" w:color="CCEEFF"/>
            </w:tcBorders>
            <w:shd w:val="clear" w:color="auto" w:fill="CCEEFF"/>
          </w:tcPr>
          <w:p>
            <w:pPr>
              <w:spacing w:after="0"/>
              <w:rPr>
                <w:sz w:val="22"/>
                <w:szCs w:val="22"/>
                <w:color w:val="auto"/>
              </w:rPr>
            </w:pPr>
          </w:p>
        </w:tc>
        <w:tc>
          <w:tcPr>
            <w:tcW w:w="2440" w:type="dxa"/>
            <w:vAlign w:val="bottom"/>
            <w:tcBorders>
              <w:top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16,889</w:t>
            </w:r>
          </w:p>
        </w:tc>
        <w:tc>
          <w:tcPr>
            <w:tcW w:w="2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56"/>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Alan J. Bowers</w:t>
            </w:r>
            <w:r>
              <w:rPr>
                <w:rFonts w:ascii="Arial" w:cs="Arial" w:eastAsia="Arial" w:hAnsi="Arial"/>
                <w:sz w:val="29"/>
                <w:szCs w:val="29"/>
                <w:color w:val="auto"/>
                <w:vertAlign w:val="superscript"/>
              </w:rPr>
              <w:t>(7)</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19,124</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Jenne K. Britell</w:t>
            </w:r>
            <w:r>
              <w:rPr>
                <w:rFonts w:ascii="Arial" w:cs="Arial" w:eastAsia="Arial" w:hAnsi="Arial"/>
                <w:sz w:val="29"/>
                <w:szCs w:val="29"/>
                <w:color w:val="auto"/>
                <w:vertAlign w:val="superscript"/>
              </w:rPr>
              <w:t>(8)</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John V. Britti</w:t>
            </w:r>
            <w:r>
              <w:rPr>
                <w:rFonts w:ascii="Arial" w:cs="Arial" w:eastAsia="Arial" w:hAnsi="Arial"/>
                <w:sz w:val="29"/>
                <w:szCs w:val="29"/>
                <w:color w:val="auto"/>
                <w:vertAlign w:val="superscript"/>
              </w:rPr>
              <w:t>(9)</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16,877</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Jacques J. Busquet</w:t>
            </w:r>
            <w:r>
              <w:rPr>
                <w:rFonts w:ascii="Arial" w:cs="Arial" w:eastAsia="Arial" w:hAnsi="Arial"/>
                <w:sz w:val="29"/>
                <w:szCs w:val="29"/>
                <w:color w:val="auto"/>
                <w:vertAlign w:val="superscript"/>
              </w:rPr>
              <w:t>(10)</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18,791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Phyllis R. Caldwell</w:t>
            </w:r>
            <w:r>
              <w:rPr>
                <w:rFonts w:ascii="Arial" w:cs="Arial" w:eastAsia="Arial" w:hAnsi="Arial"/>
                <w:sz w:val="29"/>
                <w:szCs w:val="29"/>
                <w:color w:val="auto"/>
                <w:vertAlign w:val="superscript"/>
              </w:rPr>
              <w:t>(11)</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28,053</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(12)</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7,302</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Glen A. Messina</w:t>
            </w:r>
            <w:r>
              <w:rPr>
                <w:rFonts w:ascii="Arial" w:cs="Arial" w:eastAsia="Arial" w:hAnsi="Arial"/>
                <w:sz w:val="29"/>
                <w:szCs w:val="29"/>
                <w:color w:val="auto"/>
                <w:vertAlign w:val="superscript"/>
              </w:rPr>
              <w:t>(13)</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82,762</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9"/>
                <w:szCs w:val="29"/>
                <w:color w:val="auto"/>
                <w:vertAlign w:val="superscript"/>
              </w:rPr>
              <w:t>(14)</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18,039</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Kevin Stein</w:t>
            </w:r>
            <w:r>
              <w:rPr>
                <w:rFonts w:ascii="Arial" w:cs="Arial" w:eastAsia="Arial" w:hAnsi="Arial"/>
                <w:sz w:val="29"/>
                <w:szCs w:val="29"/>
                <w:color w:val="auto"/>
                <w:vertAlign w:val="superscript"/>
              </w:rPr>
              <w:t>(15)</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16,961</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Dennis Zeleny</w:t>
            </w:r>
            <w:r>
              <w:rPr>
                <w:rFonts w:ascii="Arial" w:cs="Arial" w:eastAsia="Arial" w:hAnsi="Arial"/>
                <w:sz w:val="29"/>
                <w:szCs w:val="29"/>
                <w:color w:val="auto"/>
                <w:vertAlign w:val="superscript"/>
              </w:rPr>
              <w:t>(16)</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652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(16 persons)</w:t>
            </w:r>
            <w:r>
              <w:rPr>
                <w:rFonts w:ascii="Arial" w:cs="Arial" w:eastAsia="Arial" w:hAnsi="Arial"/>
                <w:sz w:val="29"/>
                <w:szCs w:val="29"/>
                <w:color w:val="auto"/>
                <w:vertAlign w:val="superscript"/>
              </w:rPr>
              <w:t>(17)</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246,709</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6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jc w:val="both"/>
        <w:ind w:left="340" w:hanging="332"/>
        <w:spacing w:after="0" w:line="229" w:lineRule="auto"/>
        <w:tabs>
          <w:tab w:leader="none" w:pos="340" w:val="left"/>
        </w:tabs>
        <w:numPr>
          <w:ilvl w:val="0"/>
          <w:numId w:val="16"/>
        </w:numPr>
        <w:rPr>
          <w:rFonts w:ascii="Arial" w:cs="Arial" w:eastAsia="Arial" w:hAnsi="Arial"/>
          <w:sz w:val="29"/>
          <w:szCs w:val="29"/>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has the right to acquire such common stock within 60 days of April 15, 2021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202" w:lineRule="exact"/>
        <w:rPr>
          <w:rFonts w:ascii="Arial" w:cs="Arial" w:eastAsia="Arial" w:hAnsi="Arial"/>
          <w:sz w:val="29"/>
          <w:szCs w:val="29"/>
          <w:color w:val="auto"/>
          <w:vertAlign w:val="superscript"/>
        </w:rPr>
      </w:pPr>
    </w:p>
    <w:p>
      <w:pPr>
        <w:jc w:val="both"/>
        <w:ind w:left="340" w:hanging="332"/>
        <w:spacing w:after="0" w:line="248" w:lineRule="auto"/>
        <w:tabs>
          <w:tab w:leader="none" w:pos="340" w:val="left"/>
        </w:tabs>
        <w:numPr>
          <w:ilvl w:val="0"/>
          <w:numId w:val="16"/>
        </w:numPr>
        <w:rPr>
          <w:rFonts w:ascii="Arial" w:cs="Arial" w:eastAsia="Arial" w:hAnsi="Arial"/>
          <w:sz w:val="29"/>
          <w:szCs w:val="29"/>
          <w:color w:val="auto"/>
          <w:vertAlign w:val="superscript"/>
        </w:rPr>
      </w:pPr>
      <w:r>
        <w:rPr>
          <w:rFonts w:ascii="Arial" w:cs="Arial" w:eastAsia="Arial" w:hAnsi="Arial"/>
          <w:sz w:val="17"/>
          <w:szCs w:val="17"/>
          <w:color w:val="auto"/>
        </w:rPr>
        <w:t>Deer Park Road Management Company, LP: Based solely on information contained in a Schedule 13G/A filed with the Securities and Exchange Commission on February 16, 2021, reporting securities deemed to be beneficially owned as of December 31, 2020, by Deer Park Road Management Company, LP (“Deer Park”); Deer Park Road Management GP, LLC (“DPRM”); Deer Park Road Corporation (“DPRC”); Michael Craig-Scheckman (“Mr. Craig-Scheckman”); AgateCreek LLC (“AgateCreek”); and Scott Edward Burg (“Mr. Burg”), each of which reports shared voting and dispositive power of 863,744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0" w:gutter="0" w:footer="0" w:header="0"/>
        </w:sectPr>
      </w:pPr>
    </w:p>
    <w:bookmarkStart w:id="25" w:name="page26"/>
    <w:bookmarkEnd w:id="25"/>
    <w:p>
      <w:pPr>
        <w:jc w:val="both"/>
        <w:ind w:left="340" w:hanging="332"/>
        <w:spacing w:after="0" w:line="253"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Oaktree Capital Management LP (“Oaktree”): On March 4, 2021, the Company issued 592,384 warrants to Opps OCW Holdings, LLC, a Delaware limited liability company, and 592,384 warrants to ROF8 OCW Holdings, LLC, a Delaware limited liability company, each an affiliate of Oaktree, pursuant to agreements between the Company and affiliates of Oaktree. The warrants cannot be exercised to the extent that affiliates of Oaktree would beneficially own in excess of 9.9% of the Company’s outstanding stock following such issuance without 61 days advance notice. Based on the Company’s shares outstanding as of April 15, 2021, these warrants could be exercised on such date for a maximum of 956,847 shares.</w:t>
      </w:r>
    </w:p>
    <w:p>
      <w:pPr>
        <w:spacing w:after="0" w:line="192" w:lineRule="exact"/>
        <w:rPr>
          <w:rFonts w:ascii="Arial" w:cs="Arial" w:eastAsia="Arial" w:hAnsi="Arial"/>
          <w:sz w:val="27"/>
          <w:szCs w:val="27"/>
          <w:color w:val="auto"/>
          <w:vertAlign w:val="superscript"/>
        </w:rPr>
      </w:pPr>
    </w:p>
    <w:p>
      <w:pPr>
        <w:jc w:val="both"/>
        <w:ind w:left="340" w:hanging="332"/>
        <w:spacing w:after="0" w:line="250" w:lineRule="auto"/>
        <w:tabs>
          <w:tab w:leader="none" w:pos="340" w:val="left"/>
        </w:tabs>
        <w:numPr>
          <w:ilvl w:val="0"/>
          <w:numId w:val="17"/>
        </w:numPr>
        <w:rPr>
          <w:rFonts w:ascii="Arial" w:cs="Arial" w:eastAsia="Arial" w:hAnsi="Arial"/>
          <w:sz w:val="29"/>
          <w:szCs w:val="29"/>
          <w:color w:val="auto"/>
          <w:vertAlign w:val="superscript"/>
        </w:rPr>
      </w:pPr>
      <w:r>
        <w:rPr>
          <w:rFonts w:ascii="Arial" w:cs="Arial" w:eastAsia="Arial" w:hAnsi="Arial"/>
          <w:sz w:val="17"/>
          <w:szCs w:val="17"/>
          <w:color w:val="auto"/>
        </w:rPr>
        <w:t>Mr. Cooperman: Based solely on information contained in a Schedule 13G/A filed with the Securities and Exchange Commission on January 21, 2021 reporting securities beneficially owned as of January 15, 2021. Mr. Cooperman is the Managing Member of Omega Associates, L.L.C. (“Associates”), a limited liability company organized under the laws of the State of Delaware. Associates is a private investment firm formed to invest in and act as general partner of investment partnerships or similar investment vehicles. Associates is the general partner of a limited partnership organized under the laws of Delaware known as Omega Capital Partners, L.P. (“Capital LP”), a private investment firm comprised of Cooperman family funds engaged in the purchase and sale of securities for investment for its own account. Mr. Cooperman is the ultimate controlling person of Associates and Capital LP. Mr. Cooperman is married to an individual named Toby Cooperman, and has an adult son named Michael S. Cooperman. Mr. Cooperman has investment authority over the shares held by Toby Cooperman and Michael S. Cooperman. Mr. Cooperman reports sole voting and dispositive power with respect to 779,037 shares, which consists of 645,702 shares owned by Capital LP, 66,667 shares owned by Mr. Cooperman, 33,334 shares owned by Toby Cooperman, and 33,334 shares owned by Michael S. Cooperman.</w:t>
      </w:r>
    </w:p>
    <w:p>
      <w:pPr>
        <w:spacing w:after="0" w:line="196" w:lineRule="exact"/>
        <w:rPr>
          <w:rFonts w:ascii="Arial" w:cs="Arial" w:eastAsia="Arial" w:hAnsi="Arial"/>
          <w:sz w:val="29"/>
          <w:szCs w:val="29"/>
          <w:color w:val="auto"/>
          <w:vertAlign w:val="superscript"/>
        </w:rPr>
      </w:pPr>
    </w:p>
    <w:p>
      <w:pPr>
        <w:jc w:val="both"/>
        <w:ind w:left="340" w:hanging="332"/>
        <w:spacing w:after="0" w:line="230"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Mr. Sella: Based solely on information contained in a Schedule 13G/A filed with the Securities and Exchange Commission on February 6, 2020 reporting securities beneficially owned as of December 31, 2019, Mr. Sella reports sole voting and dispositive power with respect to 432,028 shares, consisting of 409,289 shares held of record by Roberto Marco Sella and 22,739 shares held of record by LL Charitable Foundation, of which Mr. Sella serves as President. Mr. Sella reports shared voting and dispositive power with respect to 22,739 shares held of record by the Roberto Sella 2012 Family Trust (the “Trust”). Francine Sella, Mr. Sella’s spouse, and Mr. Sella’s minor children are beneficiaries of the Trust. Francine Sella is a co-trustee of the Trust and in such capacity, Francine Sella has voting power over and power to dispose of the 22,739 shares of Common Stock held by the Trust. Mr. Sella is not a beneficiary of the Trust.</w:t>
      </w:r>
    </w:p>
    <w:p>
      <w:pPr>
        <w:spacing w:after="0" w:line="207" w:lineRule="exact"/>
        <w:rPr>
          <w:rFonts w:ascii="Arial" w:cs="Arial" w:eastAsia="Arial" w:hAnsi="Arial"/>
          <w:sz w:val="30"/>
          <w:szCs w:val="30"/>
          <w:color w:val="auto"/>
          <w:vertAlign w:val="superscript"/>
        </w:rPr>
      </w:pPr>
    </w:p>
    <w:p>
      <w:pPr>
        <w:ind w:left="340" w:right="20" w:hanging="332"/>
        <w:spacing w:after="0" w:line="194"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Mr. Anderson serves as Executive Vice President and Chief Servicing Officer. Includes shares underlying 3,685 options which are presently exercisable and 1,125 options which could become exercisable within 60 days of April 15, 2021.</w:t>
      </w:r>
    </w:p>
    <w:p>
      <w:pPr>
        <w:spacing w:after="0" w:line="20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Mr. Bowers serves as a director. Includes shares underlying 9,009 RSUs which will vest May 27, 2021 subject to certain conditions relating to the individual’s service as a director.</w:t>
      </w:r>
    </w:p>
    <w:p>
      <w:pPr>
        <w:spacing w:after="0" w:line="20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Dr. Britell serves as a director. Includes shares underlying 9,009 RSUs which will vest May 27, 2021 subject to certain conditions relating to the individual’s service as a director. Also includes 2,639 shares held by trust.</w:t>
      </w:r>
    </w:p>
    <w:p>
      <w:pPr>
        <w:spacing w:after="0" w:line="20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Mr. Britti serves as Executive Vice President and Chief Financial Officer. Includes shares underlying 3,852 options which are presently exercisable and 1,250 options which could become exercisable within 60 days of April 15, 2021.</w:t>
      </w:r>
    </w:p>
    <w:p>
      <w:pPr>
        <w:spacing w:after="0" w:line="201" w:lineRule="exact"/>
        <w:rPr>
          <w:rFonts w:ascii="Arial" w:cs="Arial" w:eastAsia="Arial" w:hAnsi="Arial"/>
          <w:sz w:val="30"/>
          <w:szCs w:val="30"/>
          <w:color w:val="auto"/>
          <w:vertAlign w:val="superscript"/>
        </w:rPr>
      </w:pPr>
    </w:p>
    <w:p>
      <w:pPr>
        <w:ind w:left="340" w:right="20" w:hanging="332"/>
        <w:spacing w:after="0" w:line="207"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Mr. Busquet serves as a director. Does not include shares underlying 9,009 RSUs which will vest May 27, 2021 subject to certain conditions relating to the individual’s service as a director but which are not settleable until June 1, 2022.</w:t>
      </w:r>
    </w:p>
    <w:p>
      <w:pPr>
        <w:spacing w:after="0" w:line="201" w:lineRule="exact"/>
        <w:rPr>
          <w:rFonts w:ascii="Arial" w:cs="Arial" w:eastAsia="Arial" w:hAnsi="Arial"/>
          <w:sz w:val="28"/>
          <w:szCs w:val="28"/>
          <w:color w:val="auto"/>
          <w:vertAlign w:val="superscript"/>
        </w:rPr>
      </w:pPr>
    </w:p>
    <w:p>
      <w:pPr>
        <w:ind w:left="340" w:hanging="332"/>
        <w:spacing w:after="0" w:line="207"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Ms. Caldwell serves as Chair of the Board of Directors. Includes shares underlying 9,009 RSUs which will vest May 27, 2021 subject to certain conditions relating to the individual’s service as a director.</w:t>
      </w:r>
    </w:p>
    <w:p>
      <w:pPr>
        <w:spacing w:after="0" w:line="201" w:lineRule="exact"/>
        <w:rPr>
          <w:rFonts w:ascii="Arial" w:cs="Arial" w:eastAsia="Arial" w:hAnsi="Arial"/>
          <w:sz w:val="28"/>
          <w:szCs w:val="28"/>
          <w:color w:val="auto"/>
          <w:vertAlign w:val="superscript"/>
        </w:rPr>
      </w:pPr>
    </w:p>
    <w:p>
      <w:pPr>
        <w:ind w:left="340" w:right="20" w:hanging="332"/>
        <w:spacing w:after="0" w:line="216"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Ms. Campbell serves as Executive Vice President and Chief Financial Officer. Includes shares underlying 1,475 options which are presently exercisable and 1,920 restricted stock units which could vest within 60 days of April 15, 2021. Also includes 3,176 shares held jointly with spouse.</w:t>
      </w:r>
    </w:p>
    <w:p>
      <w:pPr>
        <w:spacing w:after="0" w:line="202" w:lineRule="exact"/>
        <w:rPr>
          <w:rFonts w:ascii="Arial" w:cs="Arial" w:eastAsia="Arial" w:hAnsi="Arial"/>
          <w:sz w:val="27"/>
          <w:szCs w:val="27"/>
          <w:color w:val="auto"/>
          <w:vertAlign w:val="superscript"/>
        </w:rPr>
      </w:pPr>
    </w:p>
    <w:p>
      <w:pPr>
        <w:ind w:left="340" w:hanging="332"/>
        <w:spacing w:after="0" w:line="207"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Mr. Messina serves as President, Chief Executive Officer, and a director. Includes shares underlying 11,866 options which are presently exercisable. Also includes 20,554 shares held jointly with spouse.</w:t>
      </w:r>
    </w:p>
    <w:p>
      <w:pPr>
        <w:spacing w:after="0" w:line="201" w:lineRule="exact"/>
        <w:rPr>
          <w:rFonts w:ascii="Arial" w:cs="Arial" w:eastAsia="Arial" w:hAnsi="Arial"/>
          <w:sz w:val="28"/>
          <w:szCs w:val="28"/>
          <w:color w:val="auto"/>
          <w:vertAlign w:val="superscript"/>
        </w:rPr>
      </w:pPr>
    </w:p>
    <w:p>
      <w:pPr>
        <w:jc w:val="both"/>
        <w:ind w:left="340" w:hanging="332"/>
        <w:spacing w:after="0" w:line="222"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Dr. Soaries serves as a director. Includes shares underlying 9,009 RSUs which will vest May 27, 2021 subject to certain conditions relating to the individual’s service as a director. Does not include 4,981 shares underlying vested RSUs which are not settleable until the six-month anniversary of the director’s termination of service, and 1,326 shares underlying vested RSUs which are not settleable until January 1, 2023.</w:t>
      </w:r>
    </w:p>
    <w:p>
      <w:pPr>
        <w:spacing w:after="0" w:line="204" w:lineRule="exact"/>
        <w:rPr>
          <w:rFonts w:ascii="Arial" w:cs="Arial" w:eastAsia="Arial" w:hAnsi="Arial"/>
          <w:sz w:val="28"/>
          <w:szCs w:val="28"/>
          <w:color w:val="auto"/>
          <w:vertAlign w:val="superscript"/>
        </w:rPr>
      </w:pPr>
    </w:p>
    <w:p>
      <w:pPr>
        <w:ind w:left="340" w:hanging="332"/>
        <w:spacing w:after="0" w:line="207"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Mr. Stein serves as a director. Includes shares underlying 9,009 RSUs which will vest May 27, 2021 subject to certain conditions relating to the individual’s service as a director. Also includes 7,952 shares held by trust.</w:t>
      </w:r>
    </w:p>
    <w:p>
      <w:pPr>
        <w:spacing w:after="0" w:line="110"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Mr. Zeleny serves as Executive Vice President and Chief Administrative Officer.</w:t>
      </w:r>
    </w:p>
    <w:p>
      <w:pPr>
        <w:spacing w:after="0" w:line="201" w:lineRule="exact"/>
        <w:rPr>
          <w:rFonts w:ascii="Arial" w:cs="Arial" w:eastAsia="Arial" w:hAnsi="Arial"/>
          <w:sz w:val="28"/>
          <w:szCs w:val="28"/>
          <w:color w:val="auto"/>
          <w:vertAlign w:val="superscript"/>
        </w:rPr>
      </w:pPr>
    </w:p>
    <w:p>
      <w:pPr>
        <w:ind w:left="340" w:right="20" w:hanging="332"/>
        <w:spacing w:after="0" w:line="207"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Includes 4,249 shares and shares underlying 728 stock options which are presently exercisable held by Albert. J Celini, Francois Grunenwald, George Henley, Joseph B. Long and Joseph J. Samarias, who are current executive officers but not Named Executive Officers.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Number of securities to</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 average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be issued upon exercise</w:t>
            </w:r>
          </w:p>
        </w:tc>
        <w:tc>
          <w:tcPr>
            <w:tcW w:w="2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 of</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outstanding options,</w:t>
            </w:r>
          </w:p>
        </w:tc>
        <w:tc>
          <w:tcPr>
            <w:tcW w:w="2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outstanding options,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equity compensation</w:t>
            </w:r>
          </w:p>
        </w:tc>
      </w:tr>
      <w:tr>
        <w:trPr>
          <w:trHeight w:val="224"/>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warrants and rights</w:t>
            </w: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warrants and rights</w:t>
            </w:r>
          </w:p>
        </w:tc>
        <w:tc>
          <w:tcPr>
            <w:tcW w:w="2020" w:type="dxa"/>
            <w:vAlign w:val="bottom"/>
            <w:gridSpan w:val="2"/>
          </w:tcPr>
          <w:p>
            <w:pPr>
              <w:jc w:val="center"/>
              <w:ind w:right="100"/>
              <w:spacing w:after="0" w:line="223" w:lineRule="exact"/>
              <w:rPr>
                <w:sz w:val="20"/>
                <w:szCs w:val="20"/>
                <w:color w:val="auto"/>
              </w:rPr>
            </w:pPr>
            <w:r>
              <w:rPr>
                <w:rFonts w:ascii="Arial" w:cs="Arial" w:eastAsia="Arial" w:hAnsi="Arial"/>
                <w:sz w:val="16"/>
                <w:szCs w:val="16"/>
                <w:b w:val="1"/>
                <w:bCs w:val="1"/>
                <w:color w:val="auto"/>
                <w:w w:val="96"/>
              </w:rPr>
              <w:t>plans</w:t>
            </w:r>
            <w:r>
              <w:rPr>
                <w:rFonts w:ascii="Arial" w:cs="Arial" w:eastAsia="Arial" w:hAnsi="Arial"/>
                <w:sz w:val="25"/>
                <w:szCs w:val="25"/>
                <w:color w:val="auto"/>
                <w:w w:val="96"/>
                <w:vertAlign w:val="superscript"/>
              </w:rPr>
              <w:t>(3)</w:t>
            </w:r>
          </w:p>
        </w:tc>
      </w:tr>
      <w:tr>
        <w:trPr>
          <w:trHeight w:val="27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92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9"/>
                <w:szCs w:val="29"/>
                <w:color w:val="auto"/>
                <w:w w:val="87"/>
                <w:vertAlign w:val="superscript"/>
              </w:rPr>
              <w:t>(1)</w:t>
            </w:r>
          </w:p>
        </w:tc>
        <w:tc>
          <w:tcPr>
            <w:tcW w:w="340" w:type="dxa"/>
            <w:vAlign w:val="bottom"/>
          </w:tcPr>
          <w:p>
            <w:pPr>
              <w:spacing w:after="0"/>
              <w:rPr>
                <w:sz w:val="23"/>
                <w:szCs w:val="23"/>
                <w:color w:val="auto"/>
              </w:rPr>
            </w:pPr>
          </w:p>
        </w:tc>
        <w:tc>
          <w:tcPr>
            <w:tcW w:w="190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color w:val="auto"/>
                <w:w w:val="83"/>
                <w:vertAlign w:val="superscript"/>
              </w:rPr>
              <w:t>(2)</w:t>
            </w:r>
          </w:p>
        </w:tc>
        <w:tc>
          <w:tcPr>
            <w:tcW w:w="3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3"/>
                <w:szCs w:val="23"/>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security holders</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386,513</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2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386,513</w:t>
            </w: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274.30</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249,746</w:t>
            </w:r>
          </w:p>
        </w:tc>
      </w:tr>
    </w:tbl>
    <w:p>
      <w:pPr>
        <w:spacing w:after="0" w:line="202" w:lineRule="exact"/>
        <w:rPr>
          <w:sz w:val="20"/>
          <w:szCs w:val="20"/>
          <w:color w:val="auto"/>
        </w:rPr>
      </w:pPr>
    </w:p>
    <w:p>
      <w:pPr>
        <w:ind w:left="340" w:hanging="332"/>
        <w:spacing w:after="0" w:line="194"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Includes 124,866 shares subject to outstanding stock option awards and 261,647 shares subject to outstanding restricted stock unit awards (including outstanding performance-based restricted stock unit awards, which are presented at their target level of performance).</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Calculated exclusive of outstanding restricted stock unit awards, which do not have an exercise price.</w:t>
      </w:r>
    </w:p>
    <w:p>
      <w:pPr>
        <w:spacing w:after="0" w:line="201" w:lineRule="exact"/>
        <w:rPr>
          <w:rFonts w:ascii="Arial" w:cs="Arial" w:eastAsia="Arial" w:hAnsi="Arial"/>
          <w:sz w:val="30"/>
          <w:szCs w:val="30"/>
          <w:color w:val="auto"/>
          <w:vertAlign w:val="superscript"/>
        </w:rPr>
      </w:pPr>
    </w:p>
    <w:p>
      <w:pPr>
        <w:jc w:val="both"/>
        <w:ind w:left="340" w:hanging="332"/>
        <w:spacing w:after="0" w:line="248" w:lineRule="auto"/>
        <w:tabs>
          <w:tab w:leader="none" w:pos="34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Represents 249,746 shares available for new award grants under the Company’s 2017 Performance Incentive Plan (the “2017 Plan”) as of December 31, 2020. Each share issued under the 2017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2017 Plan, any shares subject to (1) restricted stock and restricted stock unit awards or (2) stock options granted under our 2007 Equity Incentive Plan that are presently outstanding which are subsequently forfeited, terminated, canceled, or otherwise reacquired by the Company will increase the pool of shares available for new awards under the 2017 Plan at the rate of 1.2 shares or 1.0 shares, respectively. Long-term incentive awards issued in the form of cash-settled restricted stock units do not reduce available shares under the 2017 Plan. This table does not reflect the 490,000 additional shares that will be available for issuance under the 2021 Plan if shareholders approve the 2021 Plan.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executive officers, directors and persons who own more than 10% of our common stock to file reports of ownership and changes in ownership with the Securities and Exchange Commission. Based solely upon a review of reports filed electronically with the Securities and Exchange Commission during the 2020 fiscal year, or written representations from certain reporting persons that no Forms 5 were required, we believe that all filing requirements applicable to our officers and directors and greater than 10% beneficial owners were complied with during the 2020 fiscal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LETTER FROM COMPENSATION COMMITTEE AND BOARD CHAIRS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following Compensation Discussion and Analysis we have provided the context and rationale the Compensation and Human Capital Committee (“Compensation Committee”) used in crafting the framework and determining the compensation for our named executive officers in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2020 was a year that required the management team and our entire employee population to work with remarkable focus and resiliency not only to navigate through the disruption created by the global pandemic, but to execute against our key business initiatives after we transitioned 98% of our employees to remote work within the span of two weeks.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putting the health and safety of our employees first, the pandemic’s outbreak in March caused us to re-assess our priorities against the incredibly dynamic and uncertain economic and regulatory environment that was unfolding, its potential impact on our business model, and the momentum we built coming off of the significant turn-around of the business we saw in 2019.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2nd quarter, the Board of Directors approved undertaking a comprehensive strategic review to assess all alternatives to unlock value for our shareholders. The Board of Directors and management put in place six priorities for management to support Ocwen’s stated goals of returning to profitability in the shortest timeframe possible within an appropriate risk and compliance environment to enable a sustainable business model that would benefit not only our shareholders but also our customers and employees.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based upon the feedback we received during our outreach initiatives to shareholders who collectively hold more than 62% of our stock, we know these priorities are largely correlated with those which hold the most value for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six priorities which the CEO and the management team would need to deliver against were: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Returning to and sustaining profitability,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Continuous cost improvement,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Diversifying sources of capital and optimizing the balance sheet,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engagement and diversity and inclusion,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Looking back, the management team not only made terrific progress against all six of these priorities, but also concluded an exhaustive strategic review process which resulted in agreements with Oaktree which provided $250 million of capital to pursue growth and refinance existing corporate debt, and created a strategic relationship to acquire mortgage servicing rights (“MSRs”) through a licensed entity, MSR Asset Vehicle LLC (“MAV”). As a result, Ocwen is a stronger, more efficient, more diversified and better-balanced mortgage originator with exciting growth opportunities ahead of us.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invite you to read the following Compensation Discussion and Analysis for further details on our decisions relating to compensation during 2020, and we look forward to further shareholder engagement.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DeForest B. Soaries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 Compensation and Human Capital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design and the application of our executive compensation programs support organizational alignment around the achievement of Ocwen’s business plan and its performance against that plan. 2020 was a successful year in which we achieved our objective of returning to sustainable profitability, as measured by pre-tax income before notable items, within an appropriate risk and compliance environment, executing key strategic and operational initiatives against the backdrop of the challenging COVID-19 pandemic. For a discussion of how we measure pre-tax income before notable items and a reconciliation to financial measures prepared under Generally Accepted Accounting Principles (GAAP), please see our Current Report on Form 8-K filed with the Securities and Exchange Commission on February 9,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Important business highlights which the management team delivered against include:</w:t>
      </w:r>
    </w:p>
    <w:p>
      <w:pPr>
        <w:spacing w:after="0" w:line="225"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Completed building a multi-channel, scalable originations platform and replenished and grew our owned servicing portfolio, including $5.7 billion unpaid principal balance (“UPB”) in the forward lending correspondent channel.</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Selectively acquired mortgage servicing rights that meet or exceed our minimum targeted investment returns, with $16.6 billion UPB in bulk transactions and $15.1 billion UPB through Government Sponsored Enterprise Cash Window programs.</w:t>
      </w:r>
    </w:p>
    <w:p>
      <w:pPr>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Implemented cost reduction and continuous improvement initiatives, including facility rationalization, strategic sourcing, off-shore utilization, lean process design and technology-enabled automation, resulting in approximately $100 million lower operating expenses compared to 2019.</w:t>
      </w:r>
    </w:p>
    <w:p>
      <w:pPr>
        <w:spacing w:after="0" w:line="1"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Successfully concluded our strategic review process with the expansion of our strategic alliance with Oaktree Capital Management, L.P., including establishing an MSR asset vehicle, to support future growth of servicing volume, refinance corporate debt, and source capital to accelerate growth.</w:t>
      </w:r>
    </w:p>
    <w:p>
      <w:pPr>
        <w:spacing w:after="0" w:line="1"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Supported borrowers and clients through numerous regulatory changes brought on by COVID-19, including managing 81,900 loans under forbearance along with repayment modifications and the moratorium on foreclosures, all with high levels of customer satisfaction.</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Rapidly transitioned to a secure remote operating model for approximately 98% of our global workforce while continuing to adhere to COVID-19 health- and safety-related requirements and best practices across all of our locations.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Resolved all legacy state regulatory actions from April 2017 with the conclusion of the regulatory matter with the State of Florida Office of the Attorney General and Office of Financial Regulation on October 15, 2020.</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Improved employee engagement scores by 16 points since 2017, achieving levels 14-16 points greater than geographic and industry benchmarks.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Compensation Committee designed the 2020 executive compensation program to align the organization’s effort to achieve key strategic and operational objectives and to adhere to evolving compensation and governance best practices, including the rigor used to link pay to performance and shareholder value creation.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key features of our 2020 executive compensation program relating to pay decisions, program design and shareholder engagement are highlighted below:</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impacts of COVID-19 on our business and our shareholders:</w:t>
      </w:r>
    </w:p>
    <w:p>
      <w:pPr>
        <w:spacing w:after="0" w:line="225"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account for the volatility of the market at the time of our annual long-term equity grants in March 2020, we denominated target values into units based on the 30-trading-day average closing share price rather than closing share price on the grant date, which had been our prior practice. We believed this more accurately aligned with the shareholder experience at the time and resulted in a 42% reduction in initial fair market value for our executives.</w:t>
      </w:r>
    </w:p>
    <w:p>
      <w:pPr>
        <w:spacing w:after="0" w:line="2"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outbreak of the pandemic necessitated that we recast our business plan to adapt to the new regulatory and business environment and led us to finalize the performance metrics in our Annual Incentive Plan (“AIP”) scorecard in the 2nd quarter and include a provision allowing flexibility assessing metrics based on how the pandemic impacted business volumes and operational metrics.</w:t>
      </w:r>
    </w:p>
    <w:p>
      <w:pPr>
        <w:spacing w:after="0" w:line="1" w:lineRule="exact"/>
        <w:rPr>
          <w:rFonts w:ascii="Arial" w:cs="Arial" w:eastAsia="Arial" w:hAnsi="Arial"/>
          <w:sz w:val="16"/>
          <w:szCs w:val="16"/>
          <w:color w:val="auto"/>
        </w:rPr>
      </w:pPr>
    </w:p>
    <w:p>
      <w:pPr>
        <w:ind w:left="1300" w:hanging="320"/>
        <w:spacing w:after="0" w:line="323"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Target pay levels for our employees were not reduced as our business successfully transitioned to a work-from-home model while balancing increased volumes of new loans and efforts to support existing homeowners who were adversely impacted by the pandemic.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9" w:name="page30"/>
    <w:bookmarkEnd w:id="29"/>
    <w:p>
      <w:pPr>
        <w:jc w:val="both"/>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Aligned the structure of our AIP to use multiple financial performance tranches that reflect a return to and a sustained level of profitability, as measured by pre-tax income before notable items, and incorporate diversity and inclusion (“D&amp;I”) and employee engagement metrics to reinforce our commitment to effective human capital management practices.</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Linked long-term equity awards to total shareholder return relative to compensation peer group to align with shareholder expectations, and realized top third performance during first measurement period.</w:t>
      </w: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Restored CEO’s annual incentive targets to terms contained in his original offer letter after his voluntary reductions to support cost-reengineering objectives that have since been realized.</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Implemented special compensation arrangements for the executive leadership team to stabilize the organization and promote retention during a critical period of strategic evaluations, including grants of time-vested cash and restricted stock units and enhanced double-trigger benefits in the event of a change in control.</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Initiated an outreach effort to shareholders representing over 62% of outstanding shares regarding their views on our executive compensation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(“NEOs”) for 2020, whose compensation we will discuss in detail below, are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8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Glen A. Messina</w:t>
            </w:r>
          </w:p>
        </w:tc>
        <w:tc>
          <w:tcPr>
            <w:tcW w:w="200" w:type="dxa"/>
            <w:vAlign w:val="bottom"/>
          </w:tcPr>
          <w:p>
            <w:pPr>
              <w:spacing w:after="0"/>
              <w:rPr>
                <w:sz w:val="17"/>
                <w:szCs w:val="17"/>
                <w:color w:val="auto"/>
              </w:rPr>
            </w:pPr>
          </w:p>
        </w:tc>
        <w:tc>
          <w:tcPr>
            <w:tcW w:w="6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6860" w:type="dxa"/>
            <w:vAlign w:val="bottom"/>
          </w:tcPr>
          <w:p>
            <w:pPr>
              <w:spacing w:after="0"/>
              <w:rPr>
                <w:sz w:val="20"/>
                <w:szCs w:val="20"/>
                <w:color w:val="auto"/>
              </w:rPr>
            </w:pPr>
            <w:r>
              <w:rPr>
                <w:rFonts w:ascii="Arial" w:cs="Arial" w:eastAsia="Arial" w:hAnsi="Arial"/>
                <w:sz w:val="18"/>
                <w:szCs w:val="18"/>
                <w:color w:val="auto"/>
              </w:rPr>
              <w:t>Executive Vice President and Chief Servicing Officer</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John V. Britti</w:t>
            </w:r>
          </w:p>
        </w:tc>
        <w:tc>
          <w:tcPr>
            <w:tcW w:w="6860" w:type="dxa"/>
            <w:vAlign w:val="bottom"/>
          </w:tcPr>
          <w:p>
            <w:pPr>
              <w:spacing w:after="0"/>
              <w:rPr>
                <w:sz w:val="20"/>
                <w:szCs w:val="20"/>
                <w:color w:val="auto"/>
              </w:rPr>
            </w:pPr>
            <w:r>
              <w:rPr>
                <w:rFonts w:ascii="Arial" w:cs="Arial" w:eastAsia="Arial" w:hAnsi="Arial"/>
                <w:sz w:val="18"/>
                <w:szCs w:val="18"/>
                <w:color w:val="auto"/>
              </w:rPr>
              <w:t>Executive Vice President and Chief Investment Officer</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68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6860" w:type="dxa"/>
            <w:vAlign w:val="bottom"/>
          </w:tcPr>
          <w:p>
            <w:pPr>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 and Objectives of Our Executive Compensation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Equally important, our compensation programs are designed to communicate our goals and reinforce our standards as they relate to risk, compliance and leadership - not only to our senior management team, but across our entire employee population.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Within this context, we believe our executive compensation programs enable us to:</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Retain and hire top-caliber experienced executives</w:t>
      </w:r>
      <w:r>
        <w:rPr>
          <w:rFonts w:ascii="Arial" w:cs="Arial" w:eastAsia="Arial" w:hAnsi="Arial"/>
          <w:sz w:val="18"/>
          <w:szCs w:val="18"/>
          <w:color w:val="auto"/>
        </w:rPr>
        <w:t>: In a tight labor market and volatile industry, especially within an organization that is in turn-around mode, accelerating growth and has openly explored strategic alternatives, we believe it is critical that we offer compensation opportunities that allow us to attract and retain strong, proven executive talent.</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Pay for performance</w:t>
      </w:r>
      <w:r>
        <w:rPr>
          <w:rFonts w:ascii="Arial" w:cs="Arial" w:eastAsia="Arial" w:hAnsi="Arial"/>
          <w:sz w:val="18"/>
          <w:szCs w:val="18"/>
          <w:color w:val="auto"/>
        </w:rPr>
        <w:t>: A significant portion of our target 2020 executive compensation (the sum of base salary, annual target bonus, and target value of annual equity program awards) – 79% for the CEO and 62% for other NEOs on average – was dependent on the Company’s business performance and our executive officers’ contribution to that performance, and the performance of our stock.</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Align compensation with shareholder interests</w:t>
      </w:r>
      <w:r>
        <w:rPr>
          <w:rFonts w:ascii="Arial" w:cs="Arial" w:eastAsia="Arial" w:hAnsi="Arial"/>
          <w:sz w:val="16"/>
          <w:szCs w:val="16"/>
          <w:color w:val="auto"/>
        </w:rPr>
        <w:t>: A consequential portion of our target 2020 executive compensation – 52% for the CEO and 28% for other NEOs on average – was directly tied to total shareholder return or stock price emphasizing our focus on shareholder value creation.</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Reinforce a commitment to serve all stakeholders</w:t>
      </w:r>
      <w:r>
        <w:rPr>
          <w:rFonts w:ascii="Arial" w:cs="Arial" w:eastAsia="Arial" w:hAnsi="Arial"/>
          <w:sz w:val="18"/>
          <w:szCs w:val="18"/>
          <w:color w:val="auto"/>
        </w:rPr>
        <w:t>: A major portion – 25% – of each executive officer’s target 2020 annual incentive compensation was tied to customer satisfaction, employee engagement and diversity and inclusion objectives, demonstrating our continued commitment to supporting our borrowers – “Helping Homeowners is What We Do” – and promoting effective human capital governance. We believe that taking all stakeholders’ opinions into account leads to long-term shareholder value creation.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2020 Incentive Programs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create a strong link between our incentive compensation opportunities and our short-term and longer-term objectives, we use two specific programs: our Annual Incentive Plan (“AIP”) and the grant of long-term incentive awards under our 2017 Performance Incentive Plan (“LTIP awards”).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 below illustrates the portions of our NEOs’ target 2020 executive compensation that are driven by the various objectives under our incentive programs. Our programs are designed to align the interests of our executives with the interests of our shareholders and link the drivers of short-term and long-term value creation with our executive compensation performance metrics.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720" w:type="dxa"/>
            <w:vAlign w:val="bottom"/>
            <w:tcBorders>
              <w:top w:val="single" w:sz="8" w:color="auto"/>
              <w:left w:val="single" w:sz="8" w:color="auto"/>
              <w:right w:val="single" w:sz="8" w:color="auto"/>
            </w:tcBorders>
          </w:tcPr>
          <w:p>
            <w:pPr>
              <w:spacing w:after="0"/>
              <w:rPr>
                <w:sz w:val="19"/>
                <w:szCs w:val="19"/>
                <w:color w:val="auto"/>
              </w:rPr>
            </w:pPr>
          </w:p>
        </w:tc>
        <w:tc>
          <w:tcPr>
            <w:tcW w:w="4820" w:type="dxa"/>
            <w:vAlign w:val="bottom"/>
            <w:tcBorders>
              <w:top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NEOs’</w:t>
            </w:r>
          </w:p>
        </w:tc>
        <w:tc>
          <w:tcPr>
            <w:tcW w:w="1340" w:type="dxa"/>
            <w:vAlign w:val="bottom"/>
            <w:tcBorders>
              <w:top w:val="single" w:sz="8" w:color="auto"/>
              <w:right w:val="single" w:sz="8" w:color="auto"/>
            </w:tcBorders>
          </w:tcPr>
          <w:p>
            <w:pPr>
              <w:spacing w:after="0"/>
              <w:rPr>
                <w:sz w:val="19"/>
                <w:szCs w:val="19"/>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(excluding CEO)</w:t>
            </w:r>
          </w:p>
        </w:tc>
        <w:tc>
          <w:tcPr>
            <w:tcW w:w="134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Average % of Total</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CEO’s % of</w:t>
            </w:r>
          </w:p>
        </w:tc>
      </w:tr>
      <w:tr>
        <w:trPr>
          <w:trHeight w:val="216"/>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Element of 2020</w:t>
            </w:r>
          </w:p>
        </w:tc>
        <w:tc>
          <w:tcPr>
            <w:tcW w:w="48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Target</w:t>
            </w:r>
          </w:p>
        </w:tc>
      </w:tr>
      <w:tr>
        <w:trPr>
          <w:trHeight w:val="241"/>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88"/>
              </w:rPr>
              <w:t>Target Compensation</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and Link to Key Priorities</w:t>
            </w: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02"/>
        </w:trPr>
        <w:tc>
          <w:tcPr>
            <w:tcW w:w="17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Salary</w:t>
            </w:r>
          </w:p>
        </w:tc>
        <w:tc>
          <w:tcPr>
            <w:tcW w:w="650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 Only element of total target compensation that is not at risk based on short- or long-</w:t>
            </w:r>
          </w:p>
        </w:tc>
        <w:tc>
          <w:tcPr>
            <w:tcW w:w="1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39%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21%</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term performance.</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 The Committee determines salaries after consideration of multiple factors, including</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comparative data from our peer group and general survey data provided by its</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independent compensation consultant (described below).</w:t>
            </w: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2"/>
        </w:trPr>
        <w:tc>
          <w:tcPr>
            <w:tcW w:w="17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AIP</w:t>
            </w:r>
          </w:p>
        </w:tc>
        <w:tc>
          <w:tcPr>
            <w:tcW w:w="48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 Target amount is informed by comparative data and other</w:t>
            </w:r>
          </w:p>
        </w:tc>
        <w:tc>
          <w:tcPr>
            <w:tcW w:w="1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Financial Performance</w:t>
            </w:r>
          </w:p>
        </w:tc>
        <w:tc>
          <w:tcPr>
            <w:tcW w:w="1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17%</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13%</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factors further noted below.</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7"/>
        </w:trPr>
        <w:tc>
          <w:tcPr>
            <w:tcW w:w="1720" w:type="dxa"/>
            <w:vAlign w:val="bottom"/>
            <w:tcBorders>
              <w:left w:val="single" w:sz="8" w:color="auto"/>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Funding is linked to key priorities of the Company in three</w:t>
            </w: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4820" w:type="dxa"/>
            <w:vAlign w:val="bottom"/>
            <w:tcBorders>
              <w:right w:val="single" w:sz="8" w:color="auto"/>
            </w:tcBorders>
          </w:tcPr>
          <w:p>
            <w:pPr>
              <w:ind w:left="160"/>
              <w:spacing w:after="0" w:line="175" w:lineRule="exact"/>
              <w:rPr>
                <w:sz w:val="20"/>
                <w:szCs w:val="20"/>
                <w:color w:val="auto"/>
              </w:rPr>
            </w:pPr>
            <w:r>
              <w:rPr>
                <w:rFonts w:ascii="Arial" w:cs="Arial" w:eastAsia="Arial" w:hAnsi="Arial"/>
                <w:sz w:val="18"/>
                <w:szCs w:val="18"/>
                <w:color w:val="auto"/>
              </w:rPr>
              <w:t>areas (shown right).</w:t>
            </w:r>
          </w:p>
        </w:tc>
        <w:tc>
          <w:tcPr>
            <w:tcW w:w="168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Strategic and</w:t>
            </w:r>
          </w:p>
        </w:tc>
        <w:tc>
          <w:tcPr>
            <w:tcW w:w="16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2"/>
              </w:rPr>
              <w:t>8%</w:t>
            </w:r>
          </w:p>
        </w:tc>
        <w:tc>
          <w:tcPr>
            <w:tcW w:w="13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2"/>
              </w:rPr>
              <w:t>7%</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 All components, as well as individual payouts, are capped at a</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Operational</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maximum of 150%.</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Objectives</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 Individual performance serves as a modifier to the corporate</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business unit scorecard performance level.</w:t>
            </w: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4"/>
        </w:trPr>
        <w:tc>
          <w:tcPr>
            <w:tcW w:w="1720" w:type="dxa"/>
            <w:vAlign w:val="bottom"/>
            <w:tcBorders>
              <w:left w:val="single" w:sz="8" w:color="auto"/>
              <w:right w:val="single" w:sz="8" w:color="auto"/>
            </w:tcBorders>
          </w:tcPr>
          <w:p>
            <w:pPr>
              <w:spacing w:after="0"/>
              <w:rPr>
                <w:sz w:val="2"/>
                <w:szCs w:val="2"/>
                <w:color w:val="auto"/>
              </w:rPr>
            </w:pPr>
          </w:p>
        </w:tc>
        <w:tc>
          <w:tcPr>
            <w:tcW w:w="4820" w:type="dxa"/>
            <w:vAlign w:val="bottom"/>
            <w:tcBorders>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02"/>
        </w:trPr>
        <w:tc>
          <w:tcPr>
            <w:tcW w:w="1720" w:type="dxa"/>
            <w:vAlign w:val="bottom"/>
            <w:tcBorders>
              <w:left w:val="single" w:sz="8" w:color="auto"/>
              <w:right w:val="single" w:sz="8" w:color="auto"/>
            </w:tcBorders>
          </w:tcPr>
          <w:p>
            <w:pPr>
              <w:spacing w:after="0"/>
              <w:rPr>
                <w:sz w:val="17"/>
                <w:szCs w:val="17"/>
                <w:color w:val="auto"/>
              </w:rPr>
            </w:pPr>
          </w:p>
        </w:tc>
        <w:tc>
          <w:tcPr>
            <w:tcW w:w="48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Customers and</w:t>
            </w:r>
          </w:p>
        </w:tc>
        <w:tc>
          <w:tcPr>
            <w:tcW w:w="1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8%</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7%</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Employees</w:t>
            </w: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3"/>
        </w:trPr>
        <w:tc>
          <w:tcPr>
            <w:tcW w:w="17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5"/>
                <w:szCs w:val="15"/>
                <w:b w:val="1"/>
                <w:bCs w:val="1"/>
                <w:color w:val="auto"/>
              </w:rPr>
              <w:t>LTIP Awards</w:t>
            </w:r>
            <w:r>
              <w:rPr>
                <w:rFonts w:ascii="Arial" w:cs="Arial" w:eastAsia="Arial" w:hAnsi="Arial"/>
                <w:sz w:val="23"/>
                <w:szCs w:val="23"/>
                <w:b w:val="1"/>
                <w:bCs w:val="1"/>
                <w:color w:val="auto"/>
                <w:vertAlign w:val="superscript"/>
              </w:rPr>
              <w:t>(a)</w:t>
            </w:r>
          </w:p>
        </w:tc>
        <w:tc>
          <w:tcPr>
            <w:tcW w:w="48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2"/>
              </w:rPr>
              <w:t>● Target amount is informed by comparator groups, including our</w:t>
            </w:r>
          </w:p>
        </w:tc>
        <w:tc>
          <w:tcPr>
            <w:tcW w:w="16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Time-vested Units</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14%</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26%</w:t>
            </w:r>
          </w:p>
        </w:tc>
      </w:tr>
      <w:tr>
        <w:trPr>
          <w:trHeight w:val="215"/>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peer group, and other factors further noted below.</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 50% of award is in the form of Restricted Stock Units (RSUs)</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7"/>
        </w:trPr>
        <w:tc>
          <w:tcPr>
            <w:tcW w:w="1720" w:type="dxa"/>
            <w:vAlign w:val="bottom"/>
            <w:tcBorders>
              <w:left w:val="single" w:sz="8" w:color="auto"/>
              <w:right w:val="single" w:sz="8" w:color="auto"/>
            </w:tcBorders>
          </w:tcPr>
          <w:p>
            <w:pPr>
              <w:spacing w:after="0"/>
              <w:rPr>
                <w:sz w:val="20"/>
                <w:szCs w:val="20"/>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that vest annually over three years in equal tranches.</w:t>
            </w: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482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w w:val="95"/>
              </w:rPr>
              <w:t>● 50% of award is in the form of Performance-Restricted Stock</w:t>
            </w:r>
          </w:p>
        </w:tc>
        <w:tc>
          <w:tcPr>
            <w:tcW w:w="168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w w:val="88"/>
              </w:rPr>
              <w:t>Units Earned Based on</w:t>
            </w:r>
          </w:p>
        </w:tc>
        <w:tc>
          <w:tcPr>
            <w:tcW w:w="16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4"/>
              </w:rPr>
              <w:t>14%</w:t>
            </w:r>
          </w:p>
        </w:tc>
        <w:tc>
          <w:tcPr>
            <w:tcW w:w="13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88"/>
              </w:rPr>
              <w:t>26%</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Units (PRSUs) that cliff vest at end of three years provided</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Relative Total</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minimum total shareholder return (TSR) level has been</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Shareholder Return</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4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achieved relative to our compensation peer group.</w:t>
            </w: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682"/>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r>
      <w:tr>
        <w:trPr>
          <w:trHeight w:val="263"/>
        </w:trPr>
        <w:tc>
          <w:tcPr>
            <w:tcW w:w="1720" w:type="dxa"/>
            <w:vAlign w:val="bottom"/>
            <w:tcBorders>
              <w:left w:val="single" w:sz="8" w:color="auto"/>
              <w:bottom w:val="single" w:sz="8" w:color="auto"/>
              <w:right w:val="single" w:sz="8" w:color="auto"/>
            </w:tcBorders>
          </w:tcPr>
          <w:p>
            <w:pPr>
              <w:ind w:left="40"/>
              <w:spacing w:after="0" w:line="256"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9"/>
                <w:szCs w:val="29"/>
                <w:b w:val="1"/>
                <w:bCs w:val="1"/>
                <w:color w:val="auto"/>
                <w:vertAlign w:val="superscript"/>
              </w:rPr>
              <w:t>(b)</w:t>
            </w:r>
          </w:p>
        </w:tc>
        <w:tc>
          <w:tcPr>
            <w:tcW w:w="4820" w:type="dxa"/>
            <w:vAlign w:val="bottom"/>
            <w:tcBorders>
              <w:bottom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2" w:lineRule="exact"/>
        <w:rPr>
          <w:sz w:val="20"/>
          <w:szCs w:val="20"/>
          <w:color w:val="auto"/>
        </w:rPr>
      </w:pPr>
    </w:p>
    <w:p>
      <w:pPr>
        <w:ind w:left="340" w:hanging="332"/>
        <w:spacing w:after="0" w:line="216" w:lineRule="auto"/>
        <w:tabs>
          <w:tab w:leader="none" w:pos="34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Not included are one-time RSU and cash retention awards granted to all executives except Mr. Messina on September 10, 2020, which vest March 10, 2022 and are not taken into account as part of regular annual target compensation. Refer to “Special RSU and Cash Awards” below for further details.</w:t>
      </w:r>
    </w:p>
    <w:p>
      <w:pPr>
        <w:spacing w:after="0" w:line="1" w:lineRule="exact"/>
        <w:rPr>
          <w:rFonts w:ascii="Arial" w:cs="Arial" w:eastAsia="Arial" w:hAnsi="Arial"/>
          <w:sz w:val="27"/>
          <w:szCs w:val="27"/>
          <w:color w:val="auto"/>
          <w:vertAlign w:val="superscript"/>
        </w:rPr>
      </w:pPr>
    </w:p>
    <w:p>
      <w:pPr>
        <w:ind w:left="340" w:hanging="332"/>
        <w:spacing w:after="0" w:line="187"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Other compensation that is available to all of our U.S. employees includes medical, dental and life insurance programs. 401(k) matching contributions account for less than 0.1% of our NEOs’ compensation.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Parties Involved in Compensation Decisions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governance of our executive compensation programs generally occurs through interaction of three groups: the Compensation Committee, the Compensation Committee’s independent compensation consultant, and management. In 2020,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of Directors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Willis Towers Watson, the Compensation Committee’s independent compensation consultant, individual performance of the NEO,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Compensation Committee’s review for NEOs also includes: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of the AIP Corporate Scorecard;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individual performance results to determine the AIP Individual Performance Multiplier of each NEO;</w:t>
      </w:r>
    </w:p>
    <w:p>
      <w:pPr>
        <w:spacing w:after="0" w:line="9"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evaluation of the market competitiveness of each NEO’s total compensation (and principal elements of compensation) against relevant comparator groups, including broad-based industry survey data provided by the Compensation Committee’s independent compensation consultant (which is considered generally without focus on any particular company or group of companies in the survey other than the peer group companies noted below) as well as a peer group of companies that are recommended to the Compensation Committee by its independent compensation consultant based on a number of metrics, including industry classification, revenues, assets and number of employees. The peer group used to help inform compensation decisions at the beginning of 2020 is listed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left="630"/>
              <w:spacing w:after="0"/>
              <w:rPr>
                <w:sz w:val="20"/>
                <w:szCs w:val="20"/>
                <w:color w:val="auto"/>
              </w:rPr>
            </w:pPr>
            <w:r>
              <w:rPr>
                <w:rFonts w:ascii="Arial" w:cs="Arial" w:eastAsia="Arial" w:hAnsi="Arial"/>
                <w:sz w:val="18"/>
                <w:szCs w:val="18"/>
                <w:color w:val="auto"/>
                <w:w w:val="90"/>
              </w:rPr>
              <w:t>Associated Banc-Corp</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2"/>
              </w:rPr>
              <w:t>Mr. Cooper Group Inc.</w:t>
            </w:r>
          </w:p>
        </w:tc>
      </w:tr>
      <w:tr>
        <w:trPr>
          <w:trHeight w:val="216"/>
        </w:trPr>
        <w:tc>
          <w:tcPr>
            <w:tcW w:w="4820" w:type="dxa"/>
            <w:vAlign w:val="bottom"/>
          </w:tcPr>
          <w:p>
            <w:pPr>
              <w:jc w:val="center"/>
              <w:ind w:left="610"/>
              <w:spacing w:after="0"/>
              <w:rPr>
                <w:sz w:val="20"/>
                <w:szCs w:val="20"/>
                <w:color w:val="auto"/>
              </w:rPr>
            </w:pPr>
            <w:r>
              <w:rPr>
                <w:rFonts w:ascii="Arial" w:cs="Arial" w:eastAsia="Arial" w:hAnsi="Arial"/>
                <w:sz w:val="18"/>
                <w:szCs w:val="18"/>
                <w:color w:val="auto"/>
                <w:w w:val="93"/>
              </w:rPr>
              <w:t>BankUnited, Inc.</w:t>
            </w:r>
          </w:p>
        </w:tc>
        <w:tc>
          <w:tcPr>
            <w:tcW w:w="6420" w:type="dxa"/>
            <w:vAlign w:val="bottom"/>
          </w:tcPr>
          <w:p>
            <w:pPr>
              <w:jc w:val="center"/>
              <w:ind w:left="850"/>
              <w:spacing w:after="0"/>
              <w:rPr>
                <w:sz w:val="20"/>
                <w:szCs w:val="20"/>
                <w:color w:val="auto"/>
              </w:rPr>
            </w:pPr>
            <w:r>
              <w:rPr>
                <w:rFonts w:ascii="Arial" w:cs="Arial" w:eastAsia="Arial" w:hAnsi="Arial"/>
                <w:sz w:val="18"/>
                <w:szCs w:val="18"/>
                <w:color w:val="auto"/>
                <w:w w:val="92"/>
              </w:rPr>
              <w:t>Navient Corporation</w:t>
            </w:r>
          </w:p>
        </w:tc>
      </w:tr>
      <w:tr>
        <w:trPr>
          <w:trHeight w:val="216"/>
        </w:trPr>
        <w:tc>
          <w:tcPr>
            <w:tcW w:w="4820" w:type="dxa"/>
            <w:vAlign w:val="bottom"/>
          </w:tcPr>
          <w:p>
            <w:pPr>
              <w:jc w:val="center"/>
              <w:ind w:left="630"/>
              <w:spacing w:after="0"/>
              <w:rPr>
                <w:sz w:val="20"/>
                <w:szCs w:val="20"/>
                <w:color w:val="auto"/>
              </w:rPr>
            </w:pPr>
            <w:r>
              <w:rPr>
                <w:rFonts w:ascii="Arial" w:cs="Arial" w:eastAsia="Arial" w:hAnsi="Arial"/>
                <w:sz w:val="18"/>
                <w:szCs w:val="18"/>
                <w:color w:val="auto"/>
                <w:w w:val="93"/>
              </w:rPr>
              <w:t>Black Knight Financial Services, Inc.</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0"/>
              </w:rPr>
              <w:t>PennyMac Financial Services, Inc.</w:t>
            </w:r>
          </w:p>
        </w:tc>
      </w:tr>
      <w:tr>
        <w:trPr>
          <w:trHeight w:val="216"/>
        </w:trPr>
        <w:tc>
          <w:tcPr>
            <w:tcW w:w="4820" w:type="dxa"/>
            <w:vAlign w:val="bottom"/>
          </w:tcPr>
          <w:p>
            <w:pPr>
              <w:jc w:val="center"/>
              <w:ind w:left="630"/>
              <w:spacing w:after="0"/>
              <w:rPr>
                <w:sz w:val="20"/>
                <w:szCs w:val="20"/>
                <w:color w:val="auto"/>
              </w:rPr>
            </w:pPr>
            <w:r>
              <w:rPr>
                <w:rFonts w:ascii="Arial" w:cs="Arial" w:eastAsia="Arial" w:hAnsi="Arial"/>
                <w:sz w:val="18"/>
                <w:szCs w:val="18"/>
                <w:color w:val="auto"/>
                <w:w w:val="90"/>
              </w:rPr>
              <w:t>CenterState Bank Corporation</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1"/>
              </w:rPr>
              <w:t>People’s United Financial, Inc.</w:t>
            </w:r>
          </w:p>
        </w:tc>
      </w:tr>
      <w:tr>
        <w:trPr>
          <w:trHeight w:val="216"/>
        </w:trPr>
        <w:tc>
          <w:tcPr>
            <w:tcW w:w="4820" w:type="dxa"/>
            <w:vAlign w:val="bottom"/>
          </w:tcPr>
          <w:p>
            <w:pPr>
              <w:jc w:val="center"/>
              <w:ind w:left="610"/>
              <w:spacing w:after="0"/>
              <w:rPr>
                <w:sz w:val="20"/>
                <w:szCs w:val="20"/>
                <w:color w:val="auto"/>
              </w:rPr>
            </w:pPr>
            <w:r>
              <w:rPr>
                <w:rFonts w:ascii="Arial" w:cs="Arial" w:eastAsia="Arial" w:hAnsi="Arial"/>
                <w:sz w:val="18"/>
                <w:szCs w:val="18"/>
                <w:color w:val="auto"/>
                <w:w w:val="92"/>
              </w:rPr>
              <w:t>CoreLogic, Inc.</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1"/>
              </w:rPr>
              <w:t>Radian Group Inc.</w:t>
            </w:r>
          </w:p>
        </w:tc>
      </w:tr>
      <w:tr>
        <w:trPr>
          <w:trHeight w:val="216"/>
        </w:trPr>
        <w:tc>
          <w:tcPr>
            <w:tcW w:w="4820" w:type="dxa"/>
            <w:vAlign w:val="bottom"/>
          </w:tcPr>
          <w:p>
            <w:pPr>
              <w:jc w:val="center"/>
              <w:ind w:left="610"/>
              <w:spacing w:after="0"/>
              <w:rPr>
                <w:sz w:val="20"/>
                <w:szCs w:val="20"/>
                <w:color w:val="auto"/>
              </w:rPr>
            </w:pPr>
            <w:r>
              <w:rPr>
                <w:rFonts w:ascii="Arial" w:cs="Arial" w:eastAsia="Arial" w:hAnsi="Arial"/>
                <w:sz w:val="18"/>
                <w:szCs w:val="18"/>
                <w:color w:val="auto"/>
                <w:w w:val="90"/>
              </w:rPr>
              <w:t>Flagstar Bancorp, Inc.</w:t>
            </w:r>
          </w:p>
        </w:tc>
        <w:tc>
          <w:tcPr>
            <w:tcW w:w="6420" w:type="dxa"/>
            <w:vAlign w:val="bottom"/>
          </w:tcPr>
          <w:p>
            <w:pPr>
              <w:jc w:val="center"/>
              <w:ind w:left="850"/>
              <w:spacing w:after="0"/>
              <w:rPr>
                <w:sz w:val="20"/>
                <w:szCs w:val="20"/>
                <w:color w:val="auto"/>
              </w:rPr>
            </w:pPr>
            <w:r>
              <w:rPr>
                <w:rFonts w:ascii="Arial" w:cs="Arial" w:eastAsia="Arial" w:hAnsi="Arial"/>
                <w:sz w:val="18"/>
                <w:szCs w:val="18"/>
                <w:color w:val="auto"/>
                <w:w w:val="90"/>
              </w:rPr>
              <w:t>Signature Bank</w:t>
            </w:r>
          </w:p>
        </w:tc>
      </w:tr>
      <w:tr>
        <w:trPr>
          <w:trHeight w:val="216"/>
        </w:trPr>
        <w:tc>
          <w:tcPr>
            <w:tcW w:w="4820" w:type="dxa"/>
            <w:vAlign w:val="bottom"/>
          </w:tcPr>
          <w:p>
            <w:pPr>
              <w:jc w:val="center"/>
              <w:ind w:left="630"/>
              <w:spacing w:after="0"/>
              <w:rPr>
                <w:sz w:val="20"/>
                <w:szCs w:val="20"/>
                <w:color w:val="auto"/>
              </w:rPr>
            </w:pPr>
            <w:r>
              <w:rPr>
                <w:rFonts w:ascii="Arial" w:cs="Arial" w:eastAsia="Arial" w:hAnsi="Arial"/>
                <w:sz w:val="18"/>
                <w:szCs w:val="18"/>
                <w:color w:val="auto"/>
                <w:w w:val="91"/>
              </w:rPr>
              <w:t>Jack Henry &amp; Associates, Inc.</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1"/>
              </w:rPr>
              <w:t>Sterling Bancorp</w:t>
            </w:r>
          </w:p>
        </w:tc>
      </w:tr>
      <w:tr>
        <w:trPr>
          <w:trHeight w:val="216"/>
        </w:trPr>
        <w:tc>
          <w:tcPr>
            <w:tcW w:w="4820" w:type="dxa"/>
            <w:vAlign w:val="bottom"/>
          </w:tcPr>
          <w:p>
            <w:pPr>
              <w:jc w:val="center"/>
              <w:ind w:left="610"/>
              <w:spacing w:after="0"/>
              <w:rPr>
                <w:sz w:val="20"/>
                <w:szCs w:val="20"/>
                <w:color w:val="auto"/>
              </w:rPr>
            </w:pPr>
            <w:r>
              <w:rPr>
                <w:rFonts w:ascii="Arial" w:cs="Arial" w:eastAsia="Arial" w:hAnsi="Arial"/>
                <w:sz w:val="18"/>
                <w:szCs w:val="18"/>
                <w:color w:val="auto"/>
                <w:w w:val="91"/>
              </w:rPr>
              <w:t>LendingTree, Inc.</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1"/>
              </w:rPr>
              <w:t>Synovus Financial Corp.</w:t>
            </w:r>
          </w:p>
        </w:tc>
      </w:tr>
      <w:tr>
        <w:trPr>
          <w:trHeight w:val="230"/>
        </w:trPr>
        <w:tc>
          <w:tcPr>
            <w:tcW w:w="4820" w:type="dxa"/>
            <w:vAlign w:val="bottom"/>
          </w:tcPr>
          <w:p>
            <w:pPr>
              <w:jc w:val="center"/>
              <w:ind w:left="610"/>
              <w:spacing w:after="0"/>
              <w:rPr>
                <w:sz w:val="20"/>
                <w:szCs w:val="20"/>
                <w:color w:val="auto"/>
              </w:rPr>
            </w:pPr>
            <w:r>
              <w:rPr>
                <w:rFonts w:ascii="Arial" w:cs="Arial" w:eastAsia="Arial" w:hAnsi="Arial"/>
                <w:sz w:val="18"/>
                <w:szCs w:val="18"/>
                <w:color w:val="auto"/>
                <w:w w:val="93"/>
              </w:rPr>
              <w:t>MGIC Investment Corporation</w:t>
            </w:r>
          </w:p>
        </w:tc>
        <w:tc>
          <w:tcPr>
            <w:tcW w:w="6420" w:type="dxa"/>
            <w:vAlign w:val="bottom"/>
          </w:tcPr>
          <w:p>
            <w:pPr>
              <w:jc w:val="center"/>
              <w:ind w:left="830"/>
              <w:spacing w:after="0"/>
              <w:rPr>
                <w:sz w:val="20"/>
                <w:szCs w:val="20"/>
                <w:color w:val="auto"/>
              </w:rPr>
            </w:pPr>
            <w:r>
              <w:rPr>
                <w:rFonts w:ascii="Arial" w:cs="Arial" w:eastAsia="Arial" w:hAnsi="Arial"/>
                <w:sz w:val="18"/>
                <w:szCs w:val="18"/>
                <w:color w:val="auto"/>
                <w:w w:val="95"/>
              </w:rPr>
              <w:t>Walker &amp; Dunlop, Inc.</w:t>
            </w:r>
          </w:p>
        </w:tc>
      </w:tr>
      <w:tr>
        <w:trPr>
          <w:trHeight w:val="439"/>
        </w:trPr>
        <w:tc>
          <w:tcPr>
            <w:tcW w:w="4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638" w:right="339" w:bottom="1440" w:gutter="0" w:footer="0" w:header="0"/>
        </w:sectPr>
      </w:pPr>
    </w:p>
    <w:bookmarkStart w:id="32" w:name="page33"/>
    <w:bookmarkEnd w:id="32"/>
    <w:p>
      <w:pPr>
        <w:ind w:left="660"/>
        <w:spacing w:after="0" w:line="277" w:lineRule="auto"/>
        <w:rPr>
          <w:sz w:val="20"/>
          <w:szCs w:val="20"/>
          <w:color w:val="auto"/>
        </w:rPr>
      </w:pPr>
      <w:r>
        <w:rPr>
          <w:rFonts w:ascii="Arial" w:cs="Arial" w:eastAsia="Arial" w:hAnsi="Arial"/>
          <w:sz w:val="18"/>
          <w:szCs w:val="18"/>
          <w:color w:val="auto"/>
        </w:rPr>
        <w:t>In August 2020, the Compensation Committee revised the peer group to the list below to better reflect our business model, scale and competitors, removing three regional banks whose asset bases were more than five times that of the Company.</w:t>
      </w:r>
    </w:p>
    <w:p>
      <w:pPr>
        <w:spacing w:after="0" w:line="170"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tcPr>
          <w:p>
            <w:pPr>
              <w:jc w:val="center"/>
              <w:ind w:right="1470"/>
              <w:spacing w:after="0"/>
              <w:rPr>
                <w:sz w:val="20"/>
                <w:szCs w:val="20"/>
                <w:color w:val="auto"/>
              </w:rPr>
            </w:pPr>
            <w:r>
              <w:rPr>
                <w:rFonts w:ascii="Arial" w:cs="Arial" w:eastAsia="Arial" w:hAnsi="Arial"/>
                <w:sz w:val="18"/>
                <w:szCs w:val="18"/>
                <w:color w:val="auto"/>
                <w:w w:val="90"/>
              </w:rPr>
              <w:t>Associated Banc-Corp</w:t>
            </w:r>
          </w:p>
        </w:tc>
        <w:tc>
          <w:tcPr>
            <w:tcW w:w="4060" w:type="dxa"/>
            <w:vAlign w:val="bottom"/>
          </w:tcPr>
          <w:p>
            <w:pPr>
              <w:jc w:val="center"/>
              <w:ind w:left="1470"/>
              <w:spacing w:after="0"/>
              <w:rPr>
                <w:sz w:val="20"/>
                <w:szCs w:val="20"/>
                <w:color w:val="auto"/>
              </w:rPr>
            </w:pPr>
            <w:r>
              <w:rPr>
                <w:rFonts w:ascii="Arial" w:cs="Arial" w:eastAsia="Arial" w:hAnsi="Arial"/>
                <w:sz w:val="18"/>
                <w:szCs w:val="18"/>
                <w:color w:val="auto"/>
                <w:w w:val="92"/>
              </w:rPr>
              <w:t>Mr. Cooper Group Inc.</w:t>
            </w:r>
          </w:p>
        </w:tc>
      </w:tr>
      <w:tr>
        <w:trPr>
          <w:trHeight w:val="216"/>
        </w:trPr>
        <w:tc>
          <w:tcPr>
            <w:tcW w:w="4260" w:type="dxa"/>
            <w:vAlign w:val="bottom"/>
          </w:tcPr>
          <w:p>
            <w:pPr>
              <w:jc w:val="center"/>
              <w:ind w:right="1490"/>
              <w:spacing w:after="0"/>
              <w:rPr>
                <w:sz w:val="20"/>
                <w:szCs w:val="20"/>
                <w:color w:val="auto"/>
              </w:rPr>
            </w:pPr>
            <w:r>
              <w:rPr>
                <w:rFonts w:ascii="Arial" w:cs="Arial" w:eastAsia="Arial" w:hAnsi="Arial"/>
                <w:sz w:val="18"/>
                <w:szCs w:val="18"/>
                <w:color w:val="auto"/>
                <w:w w:val="93"/>
              </w:rPr>
              <w:t>BankUnited, Inc.</w:t>
            </w: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2"/>
              </w:rPr>
              <w:t>Navient Corporation</w:t>
            </w:r>
          </w:p>
        </w:tc>
      </w:tr>
      <w:tr>
        <w:trPr>
          <w:trHeight w:val="216"/>
        </w:trPr>
        <w:tc>
          <w:tcPr>
            <w:tcW w:w="4260" w:type="dxa"/>
            <w:vAlign w:val="bottom"/>
          </w:tcPr>
          <w:p>
            <w:pPr>
              <w:jc w:val="center"/>
              <w:ind w:right="1470"/>
              <w:spacing w:after="0"/>
              <w:rPr>
                <w:sz w:val="20"/>
                <w:szCs w:val="20"/>
                <w:color w:val="auto"/>
              </w:rPr>
            </w:pPr>
            <w:r>
              <w:rPr>
                <w:rFonts w:ascii="Arial" w:cs="Arial" w:eastAsia="Arial" w:hAnsi="Arial"/>
                <w:sz w:val="18"/>
                <w:szCs w:val="18"/>
                <w:color w:val="auto"/>
                <w:w w:val="93"/>
              </w:rPr>
              <w:t>Black Knight Financial Services, Inc.</w:t>
            </w:r>
          </w:p>
        </w:tc>
        <w:tc>
          <w:tcPr>
            <w:tcW w:w="4060" w:type="dxa"/>
            <w:vAlign w:val="bottom"/>
          </w:tcPr>
          <w:p>
            <w:pPr>
              <w:jc w:val="center"/>
              <w:ind w:left="1470"/>
              <w:spacing w:after="0"/>
              <w:rPr>
                <w:sz w:val="20"/>
                <w:szCs w:val="20"/>
                <w:color w:val="auto"/>
              </w:rPr>
            </w:pPr>
            <w:r>
              <w:rPr>
                <w:rFonts w:ascii="Arial" w:cs="Arial" w:eastAsia="Arial" w:hAnsi="Arial"/>
                <w:sz w:val="18"/>
                <w:szCs w:val="18"/>
                <w:color w:val="auto"/>
                <w:w w:val="90"/>
              </w:rPr>
              <w:t>PennyMac Financial Services, Inc.</w:t>
            </w:r>
          </w:p>
        </w:tc>
      </w:tr>
      <w:tr>
        <w:trPr>
          <w:trHeight w:val="216"/>
        </w:trPr>
        <w:tc>
          <w:tcPr>
            <w:tcW w:w="4260" w:type="dxa"/>
            <w:vAlign w:val="bottom"/>
          </w:tcPr>
          <w:p>
            <w:pPr>
              <w:jc w:val="center"/>
              <w:ind w:right="1490"/>
              <w:spacing w:after="0"/>
              <w:rPr>
                <w:sz w:val="20"/>
                <w:szCs w:val="20"/>
                <w:color w:val="auto"/>
              </w:rPr>
            </w:pPr>
            <w:r>
              <w:rPr>
                <w:rFonts w:ascii="Arial" w:cs="Arial" w:eastAsia="Arial" w:hAnsi="Arial"/>
                <w:sz w:val="18"/>
                <w:szCs w:val="18"/>
                <w:color w:val="auto"/>
                <w:w w:val="92"/>
              </w:rPr>
              <w:t>CoreLogic, Inc.</w:t>
            </w:r>
          </w:p>
        </w:tc>
        <w:tc>
          <w:tcPr>
            <w:tcW w:w="4060" w:type="dxa"/>
            <w:vAlign w:val="bottom"/>
          </w:tcPr>
          <w:p>
            <w:pPr>
              <w:jc w:val="center"/>
              <w:ind w:left="1470"/>
              <w:spacing w:after="0"/>
              <w:rPr>
                <w:sz w:val="20"/>
                <w:szCs w:val="20"/>
                <w:color w:val="auto"/>
              </w:rPr>
            </w:pPr>
            <w:r>
              <w:rPr>
                <w:rFonts w:ascii="Arial" w:cs="Arial" w:eastAsia="Arial" w:hAnsi="Arial"/>
                <w:sz w:val="18"/>
                <w:szCs w:val="18"/>
                <w:color w:val="auto"/>
                <w:w w:val="91"/>
              </w:rPr>
              <w:t>Radian Group Inc.</w:t>
            </w:r>
          </w:p>
        </w:tc>
      </w:tr>
      <w:tr>
        <w:trPr>
          <w:trHeight w:val="216"/>
        </w:trPr>
        <w:tc>
          <w:tcPr>
            <w:tcW w:w="4260" w:type="dxa"/>
            <w:vAlign w:val="bottom"/>
          </w:tcPr>
          <w:p>
            <w:pPr>
              <w:jc w:val="center"/>
              <w:ind w:right="1490"/>
              <w:spacing w:after="0"/>
              <w:rPr>
                <w:sz w:val="20"/>
                <w:szCs w:val="20"/>
                <w:color w:val="auto"/>
              </w:rPr>
            </w:pPr>
            <w:r>
              <w:rPr>
                <w:rFonts w:ascii="Arial" w:cs="Arial" w:eastAsia="Arial" w:hAnsi="Arial"/>
                <w:sz w:val="18"/>
                <w:szCs w:val="18"/>
                <w:color w:val="auto"/>
                <w:w w:val="90"/>
              </w:rPr>
              <w:t>Flagstar Bancorp, Inc.</w:t>
            </w:r>
          </w:p>
        </w:tc>
        <w:tc>
          <w:tcPr>
            <w:tcW w:w="4060" w:type="dxa"/>
            <w:vAlign w:val="bottom"/>
          </w:tcPr>
          <w:p>
            <w:pPr>
              <w:jc w:val="center"/>
              <w:ind w:left="1470"/>
              <w:spacing w:after="0"/>
              <w:rPr>
                <w:sz w:val="20"/>
                <w:szCs w:val="20"/>
                <w:color w:val="auto"/>
              </w:rPr>
            </w:pPr>
            <w:r>
              <w:rPr>
                <w:rFonts w:ascii="Arial" w:cs="Arial" w:eastAsia="Arial" w:hAnsi="Arial"/>
                <w:sz w:val="18"/>
                <w:szCs w:val="18"/>
                <w:color w:val="auto"/>
                <w:w w:val="90"/>
              </w:rPr>
              <w:t>South State Corporation</w:t>
            </w:r>
          </w:p>
        </w:tc>
      </w:tr>
      <w:tr>
        <w:trPr>
          <w:trHeight w:val="216"/>
        </w:trPr>
        <w:tc>
          <w:tcPr>
            <w:tcW w:w="4260" w:type="dxa"/>
            <w:vAlign w:val="bottom"/>
          </w:tcPr>
          <w:p>
            <w:pPr>
              <w:jc w:val="center"/>
              <w:ind w:right="1470"/>
              <w:spacing w:after="0"/>
              <w:rPr>
                <w:sz w:val="20"/>
                <w:szCs w:val="20"/>
                <w:color w:val="auto"/>
              </w:rPr>
            </w:pPr>
            <w:r>
              <w:rPr>
                <w:rFonts w:ascii="Arial" w:cs="Arial" w:eastAsia="Arial" w:hAnsi="Arial"/>
                <w:sz w:val="18"/>
                <w:szCs w:val="18"/>
                <w:color w:val="auto"/>
                <w:w w:val="91"/>
              </w:rPr>
              <w:t>Jack Henry &amp; Associates, Inc.</w:t>
            </w:r>
          </w:p>
        </w:tc>
        <w:tc>
          <w:tcPr>
            <w:tcW w:w="4060" w:type="dxa"/>
            <w:vAlign w:val="bottom"/>
          </w:tcPr>
          <w:p>
            <w:pPr>
              <w:jc w:val="center"/>
              <w:ind w:left="1470"/>
              <w:spacing w:after="0"/>
              <w:rPr>
                <w:sz w:val="20"/>
                <w:szCs w:val="20"/>
                <w:color w:val="auto"/>
              </w:rPr>
            </w:pPr>
            <w:r>
              <w:rPr>
                <w:rFonts w:ascii="Arial" w:cs="Arial" w:eastAsia="Arial" w:hAnsi="Arial"/>
                <w:sz w:val="18"/>
                <w:szCs w:val="18"/>
                <w:color w:val="auto"/>
                <w:w w:val="91"/>
              </w:rPr>
              <w:t>Sterling Bancorp</w:t>
            </w:r>
          </w:p>
        </w:tc>
      </w:tr>
      <w:tr>
        <w:trPr>
          <w:trHeight w:val="216"/>
        </w:trPr>
        <w:tc>
          <w:tcPr>
            <w:tcW w:w="4260" w:type="dxa"/>
            <w:vAlign w:val="bottom"/>
          </w:tcPr>
          <w:p>
            <w:pPr>
              <w:jc w:val="center"/>
              <w:ind w:right="1490"/>
              <w:spacing w:after="0"/>
              <w:rPr>
                <w:sz w:val="20"/>
                <w:szCs w:val="20"/>
                <w:color w:val="auto"/>
              </w:rPr>
            </w:pPr>
            <w:r>
              <w:rPr>
                <w:rFonts w:ascii="Arial" w:cs="Arial" w:eastAsia="Arial" w:hAnsi="Arial"/>
                <w:sz w:val="18"/>
                <w:szCs w:val="18"/>
                <w:color w:val="auto"/>
                <w:w w:val="91"/>
              </w:rPr>
              <w:t>LendingTree, Inc.</w:t>
            </w:r>
          </w:p>
        </w:tc>
        <w:tc>
          <w:tcPr>
            <w:tcW w:w="4060" w:type="dxa"/>
            <w:vAlign w:val="bottom"/>
          </w:tcPr>
          <w:p>
            <w:pPr>
              <w:jc w:val="center"/>
              <w:ind w:left="1470"/>
              <w:spacing w:after="0"/>
              <w:rPr>
                <w:sz w:val="20"/>
                <w:szCs w:val="20"/>
                <w:color w:val="auto"/>
              </w:rPr>
            </w:pPr>
            <w:r>
              <w:rPr>
                <w:rFonts w:ascii="Arial" w:cs="Arial" w:eastAsia="Arial" w:hAnsi="Arial"/>
                <w:sz w:val="18"/>
                <w:szCs w:val="18"/>
                <w:color w:val="auto"/>
                <w:w w:val="95"/>
              </w:rPr>
              <w:t>Walker &amp; Dunlop, Inc.</w:t>
            </w:r>
          </w:p>
        </w:tc>
      </w:tr>
      <w:tr>
        <w:trPr>
          <w:trHeight w:val="230"/>
        </w:trPr>
        <w:tc>
          <w:tcPr>
            <w:tcW w:w="4260" w:type="dxa"/>
            <w:vAlign w:val="bottom"/>
          </w:tcPr>
          <w:p>
            <w:pPr>
              <w:jc w:val="center"/>
              <w:ind w:right="1490"/>
              <w:spacing w:after="0"/>
              <w:rPr>
                <w:sz w:val="20"/>
                <w:szCs w:val="20"/>
                <w:color w:val="auto"/>
              </w:rPr>
            </w:pPr>
            <w:r>
              <w:rPr>
                <w:rFonts w:ascii="Arial" w:cs="Arial" w:eastAsia="Arial" w:hAnsi="Arial"/>
                <w:sz w:val="18"/>
                <w:szCs w:val="18"/>
                <w:color w:val="auto"/>
                <w:w w:val="93"/>
              </w:rPr>
              <w:t>MGIC Investment Corporation</w:t>
            </w:r>
          </w:p>
        </w:tc>
        <w:tc>
          <w:tcPr>
            <w:tcW w:w="4060" w:type="dxa"/>
            <w:vAlign w:val="bottom"/>
          </w:tcPr>
          <w:p>
            <w:pPr>
              <w:spacing w:after="0"/>
              <w:rPr>
                <w:sz w:val="20"/>
                <w:szCs w:val="20"/>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of any changes to compensation, including, but not limited to, base salary, short-term and long-term incentive award opportunities, severance payments and retention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Make Compensation Decisions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Each year our executive and other compensation programs are developed and refined through a year’s worth of analysis and decision making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 typical year’s work is summarized below:</w:t>
      </w:r>
    </w:p>
    <w:p>
      <w:pPr>
        <w:spacing w:after="0" w:line="207" w:lineRule="exact"/>
        <w:rPr>
          <w:sz w:val="20"/>
          <w:szCs w:val="20"/>
          <w:color w:val="auto"/>
        </w:rPr>
      </w:pPr>
    </w:p>
    <w:p>
      <w:pPr>
        <w:ind w:left="800"/>
        <w:spacing w:after="0"/>
        <w:tabs>
          <w:tab w:leader="none" w:pos="3640" w:val="left"/>
          <w:tab w:leader="none" w:pos="6580" w:val="left"/>
          <w:tab w:leader="none" w:pos="9420" w:val="left"/>
        </w:tabs>
        <w:rPr>
          <w:sz w:val="20"/>
          <w:szCs w:val="20"/>
          <w:color w:val="auto"/>
        </w:rPr>
      </w:pPr>
      <w:r>
        <w:rPr>
          <w:rFonts w:ascii="Arial" w:cs="Arial" w:eastAsia="Arial" w:hAnsi="Arial"/>
          <w:sz w:val="18"/>
          <w:szCs w:val="18"/>
          <w:b w:val="1"/>
          <w:bCs w:val="1"/>
          <w:color w:val="auto"/>
        </w:rPr>
        <w:t>QUARTER 1</w:t>
      </w:r>
      <w:r>
        <w:rPr>
          <w:sz w:val="20"/>
          <w:szCs w:val="20"/>
          <w:color w:val="auto"/>
        </w:rPr>
        <w:tab/>
      </w:r>
      <w:r>
        <w:rPr>
          <w:rFonts w:ascii="Arial" w:cs="Arial" w:eastAsia="Arial" w:hAnsi="Arial"/>
          <w:sz w:val="18"/>
          <w:szCs w:val="18"/>
          <w:b w:val="1"/>
          <w:bCs w:val="1"/>
          <w:color w:val="auto"/>
        </w:rPr>
        <w:t>QUARTER 2</w:t>
      </w:r>
      <w:r>
        <w:rPr>
          <w:sz w:val="20"/>
          <w:szCs w:val="20"/>
          <w:color w:val="auto"/>
        </w:rPr>
        <w:tab/>
      </w:r>
      <w:r>
        <w:rPr>
          <w:rFonts w:ascii="Arial" w:cs="Arial" w:eastAsia="Arial" w:hAnsi="Arial"/>
          <w:sz w:val="18"/>
          <w:szCs w:val="18"/>
          <w:b w:val="1"/>
          <w:bCs w:val="1"/>
          <w:color w:val="auto"/>
        </w:rPr>
        <w:t>QUARTER 3</w:t>
      </w:r>
      <w:r>
        <w:rPr>
          <w:sz w:val="20"/>
          <w:szCs w:val="20"/>
          <w:color w:val="auto"/>
        </w:rPr>
        <w:tab/>
      </w:r>
      <w:r>
        <w:rPr>
          <w:rFonts w:ascii="Arial" w:cs="Arial" w:eastAsia="Arial" w:hAnsi="Arial"/>
          <w:sz w:val="17"/>
          <w:szCs w:val="17"/>
          <w:b w:val="1"/>
          <w:bCs w:val="1"/>
          <w:color w:val="auto"/>
        </w:rPr>
        <w:t>QUARTER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p>
      <w:pPr>
        <w:spacing w:after="0" w:line="54" w:lineRule="exact"/>
        <w:rPr>
          <w:sz w:val="20"/>
          <w:szCs w:val="20"/>
          <w:color w:val="auto"/>
        </w:rPr>
      </w:pPr>
    </w:p>
    <w:p>
      <w:pPr>
        <w:ind w:left="340" w:right="20" w:hanging="332"/>
        <w:spacing w:after="0" w:line="29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 the Company’s prior year performance against the financial and strategic metrics set forth in the prior year’s AIP scorecard.</w:t>
      </w:r>
    </w:p>
    <w:p>
      <w:pPr>
        <w:spacing w:after="0" w:line="161" w:lineRule="exact"/>
        <w:rPr>
          <w:rFonts w:ascii="Arial" w:cs="Arial" w:eastAsia="Arial" w:hAnsi="Arial"/>
          <w:sz w:val="16"/>
          <w:szCs w:val="16"/>
          <w:color w:val="auto"/>
        </w:rPr>
      </w:pPr>
    </w:p>
    <w:p>
      <w:pPr>
        <w:ind w:left="340" w:right="4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evaluate the individual performance of the CEO and each of our other NEOs and other executive officers.</w:t>
      </w:r>
    </w:p>
    <w:p>
      <w:pPr>
        <w:spacing w:after="0" w:line="187" w:lineRule="exact"/>
        <w:rPr>
          <w:rFonts w:ascii="Arial" w:cs="Arial" w:eastAsia="Arial" w:hAnsi="Arial"/>
          <w:sz w:val="18"/>
          <w:szCs w:val="18"/>
          <w:color w:val="auto"/>
        </w:rPr>
      </w:pPr>
    </w:p>
    <w:p>
      <w:pPr>
        <w:ind w:left="340" w:right="60" w:hanging="332"/>
        <w:spacing w:after="0" w:line="31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Determine the payouts to be made under the AIP based on prior year’s performance.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340" w:right="100" w:hanging="332"/>
        <w:spacing w:after="0" w:line="26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Determine total target compensation levels for our NEOs and other executive officers, as informed by both market data and prior year’s performance.</w:t>
      </w:r>
    </w:p>
    <w:p>
      <w:pPr>
        <w:ind w:left="340" w:hanging="332"/>
        <w:spacing w:after="0" w:line="28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the structure and targets for the current year’s AIP to align with the financial and strategic priorities for the Company (for 2020, moved to Q2 due to the pandemic).</w:t>
      </w:r>
    </w:p>
    <w:p>
      <w:pPr>
        <w:spacing w:after="0" w:line="3" w:lineRule="exact"/>
        <w:rPr>
          <w:rFonts w:ascii="Arial" w:cs="Arial" w:eastAsia="Arial" w:hAnsi="Arial"/>
          <w:sz w:val="16"/>
          <w:szCs w:val="16"/>
          <w:color w:val="auto"/>
        </w:rPr>
      </w:pPr>
    </w:p>
    <w:p>
      <w:pPr>
        <w:ind w:left="340" w:right="60" w:hanging="332"/>
        <w:spacing w:after="0" w:line="29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the structure for the current year’s LTIP awards, including TSR or other performance objective.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31" w:right="40" w:hanging="331"/>
        <w:spacing w:after="0" w:line="311"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Prepare the Compensation Committee’s report and CD&amp;A for the Proxy Statement.</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331" w:hanging="331"/>
        <w:spacing w:after="0" w:line="286" w:lineRule="auto"/>
        <w:tabs>
          <w:tab w:leader="none" w:pos="331"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and discuss Say-on-Pay voting recommendations from proxy advisory firms.</w:t>
      </w:r>
    </w:p>
    <w:p>
      <w:pPr>
        <w:spacing w:after="0" w:line="200" w:lineRule="exact"/>
        <w:rPr>
          <w:rFonts w:ascii="Arial" w:cs="Arial" w:eastAsia="Arial" w:hAnsi="Arial"/>
          <w:sz w:val="17"/>
          <w:szCs w:val="17"/>
          <w:color w:val="auto"/>
        </w:rPr>
      </w:pPr>
    </w:p>
    <w:p>
      <w:pPr>
        <w:spacing w:after="0" w:line="397" w:lineRule="exact"/>
        <w:rPr>
          <w:rFonts w:ascii="Arial" w:cs="Arial" w:eastAsia="Arial" w:hAnsi="Arial"/>
          <w:sz w:val="17"/>
          <w:szCs w:val="17"/>
          <w:color w:val="auto"/>
        </w:rPr>
      </w:pPr>
    </w:p>
    <w:p>
      <w:pPr>
        <w:ind w:left="331" w:right="120" w:hanging="331"/>
        <w:spacing w:after="0" w:line="263" w:lineRule="auto"/>
        <w:tabs>
          <w:tab w:leader="none" w:pos="3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discuss the results of the voting at the Annual Meeting.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331" w:right="280" w:hanging="331"/>
        <w:spacing w:after="0" w:line="296"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reports from the Compensation Committee’s independent compensation consultants on practices and trends in the industry.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41" w:right="360" w:hanging="341"/>
        <w:spacing w:after="0" w:line="268" w:lineRule="auto"/>
        <w:tabs>
          <w:tab w:leader="none" w:pos="341"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Undertake a review of the Company’s designated peer group to determine if any changes need to be made in order for it to remain appropriate.</w:t>
      </w:r>
    </w:p>
    <w:p>
      <w:pPr>
        <w:ind w:left="341" w:hanging="341"/>
        <w:spacing w:after="0" w:line="290" w:lineRule="auto"/>
        <w:tabs>
          <w:tab w:leader="none" w:pos="3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Commence shareholder engagement focused on the Say-on-Pay vote at the Annual Meeting to inform pay decisions and design compensation programs for the coming year.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25" w:right="160" w:hanging="325"/>
        <w:spacing w:after="0" w:line="259" w:lineRule="auto"/>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shareholder engagement focused on Say-on-Pay vote at the Annual Meeting.</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325" w:right="180" w:hanging="325"/>
        <w:spacing w:after="0" w:line="311" w:lineRule="auto"/>
        <w:tabs>
          <w:tab w:leader="none" w:pos="3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 the goals and objectives of the Company’s compensation programs.</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325" w:right="200" w:hanging="325"/>
        <w:spacing w:after="0" w:line="283" w:lineRule="auto"/>
        <w:tabs>
          <w:tab w:leader="none" w:pos="3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Conduct an assessment of executive compensation and independent Director compensation against peer group and relevant general survey data provided by the Compensation Committee’s independent compensation consultant.</w:t>
      </w:r>
    </w:p>
    <w:p>
      <w:pPr>
        <w:spacing w:after="0" w:line="5" w:lineRule="exact"/>
        <w:rPr>
          <w:rFonts w:ascii="Arial" w:cs="Arial" w:eastAsia="Arial" w:hAnsi="Arial"/>
          <w:sz w:val="16"/>
          <w:szCs w:val="16"/>
          <w:color w:val="auto"/>
        </w:rPr>
      </w:pPr>
    </w:p>
    <w:p>
      <w:pPr>
        <w:ind w:left="325" w:right="40" w:hanging="325"/>
        <w:spacing w:after="0" w:line="312" w:lineRule="auto"/>
        <w:tabs>
          <w:tab w:leader="none" w:pos="325"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Conduct comprehensive, risk-based review of the Company’s compensation policies and practices that is designed to ensure appropriate mitigation of undue risk.</w:t>
      </w:r>
    </w:p>
    <w:p>
      <w:pPr>
        <w:spacing w:after="0" w:line="2312" w:lineRule="exact"/>
        <w:rPr>
          <w:sz w:val="20"/>
          <w:szCs w:val="20"/>
          <w:color w:val="auto"/>
        </w:rPr>
      </w:pPr>
    </w:p>
    <w:p>
      <w:pPr>
        <w:sectPr>
          <w:pgSz w:w="11900" w:h="16838" w:orient="portrait"/>
          <w:cols w:equalWidth="0" w:num="4">
            <w:col w:w="2520" w:space="309"/>
            <w:col w:w="2651" w:space="279"/>
            <w:col w:w="2681" w:space="235"/>
            <w:col w:w="2565"/>
          </w:cols>
          <w:pgMar w:left="320" w:top="638"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Roles of Executive Officers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President and Chief Executive Officer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The Compensation Committee can exercise its discretion in accepting, rejecting and/or modifying any such recommendations, subject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Independent Compensation Consultant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primary role of the Compensation Committee’s independent compensation consultant, Willis Towers Watson, is to provide advice to the Compensation Committee in connection with the development and approval of our compensation policies and programs. Except as otherwise noted in this Compensation Discussion and Analysis, the Compensation Committee’s decisions are the result of the Compensation Committee’s business judgment with respect to compensation matters, informed by the experiences of its members and analysis and input from independent compensation consultants, among other factors. The Compensation Committee has assessed the independence of Willis Towers Watson and has concluded that its engagement does not raise any conflict of interest with the Company or any of its directors or executive officers. Willis Towers Watson performed a number of services for the Compensation Committee in fiscal year 2020, including but not limited to reviewing and providing guidance on:</w:t>
      </w:r>
    </w:p>
    <w:p>
      <w:pPr>
        <w:spacing w:after="0" w:line="17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 of the annual AIP and LTIP awards;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competitiveness of compensation of our NEOs;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Company’s peer group for purposes of informing compensation decisions;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reports of proxy advisory firms, ISS and Glass Lewis, relating to the Proxy Statement;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competitiveness of the compensation of our independent directors;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emerging best practices for executive and independent director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Engagement and Consideration of Shareholder Advisors’ Input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Compensation Committee and our Board of Directors value shareholder feedback and actively engage with our largest shareholders through outreach and direct meetings with active investors. The Committee also considers recommended best practices put forth by shareholder proxy advisory firms such as ISS to the extent these institutions’ recommendations are aligned with the interests of our shareholders. Shareholder input has helped shape our approach towards LTIP awards and related performance metrics, and strengthened how we implement our pay-for-performance philosophy. We aspire for continued strong support for our executive pay decisions; last year, 90% of shareholder advisory votes were cast in favor of our Say-on-Pay proposal. We also intend to continue to hold an advisory Say-on-Pay vote at each annual meeting of shareholders.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Key Governance Considerations in How We Design and Implement Our Compensation Programs</w:t>
      </w:r>
    </w:p>
    <w:p>
      <w:pPr>
        <w:sectPr>
          <w:pgSz w:w="11900" w:h="16838" w:orient="portrait"/>
          <w:cols w:equalWidth="0" w:num="1">
            <w:col w:w="11240"/>
          </w:cols>
          <w:pgMar w:left="320" w:top="638"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975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Most of our NEOs’ pay is at-risk and not guaranteed. We set clear and transparent financial and strategic goals within our short- and long-term incentive awards which include performance-based vesting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Discourage excessive risk taking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within our risk 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 an independent compensation consultant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has retained the services of Willis Towers Watson as an independent consultant that reports directly to the Chair of the Compensation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Caps on annual incentives and long-term awards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practice under the AIP provides for a maximum payout opportunity at 150% of the target incentive and our current equity incentive plan limits the number of shares that may be awarded to any individual to 266,666 shares during any 12 -month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 and Annual Incentive Targets for our NEOs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4886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fixed term of employment agreements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have employment agreements that provide for a fixed term of employment with any of our executive officers. Employment is at-will and provisions for separation and treatment of compensation is contained in applicable award documents or offer letters.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tax gross-ups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our policy to not provide tax gross-ups (other than for taxable relocation expenses for moves necessitated by our business), including tax gross-ups related to excess parachute payments as defined under section 280G of the Internal Revenue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option back-dating, re-pricing or reloading</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do not permit back-dating, re-pricing of stock options, or reloading of stock options. No stock options are granted with exercise prices that are below the closing price of Ocwen stock on the date of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hedging or pledging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prohibit directors and all employees, including executive officers, from pledging shares of our stock as collateral for loans or for other reasons and from engaging in any activity that hedges the economic risk of an investment in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“single-trigger” LTIP awards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LTIP awards do not automatically vest upon the occurrence of a change in control. Rather, these awards include double-trigger provisions such that following a change in control a NEO will only receive accelerated payouts if terminated without cause or upon voluntary resignation for good reason.</w:t>
      </w:r>
    </w:p>
    <w:p>
      <w:pPr>
        <w:spacing w:after="0" w:line="568" w:lineRule="exact"/>
        <w:rPr>
          <w:sz w:val="20"/>
          <w:szCs w:val="20"/>
          <w:color w:val="auto"/>
        </w:rPr>
      </w:pPr>
    </w:p>
    <w:p>
      <w:pPr>
        <w:sectPr>
          <w:pgSz w:w="11900" w:h="16838" w:orient="portrait"/>
          <w:cols w:equalWidth="0" w:num="2">
            <w:col w:w="5520" w:space="220"/>
            <w:col w:w="5500"/>
          </w:cols>
          <w:pgMar w:left="320" w:top="638" w:right="339" w:bottom="1440" w:gutter="0" w:footer="0" w:header="0"/>
          <w:type w:val="continuous"/>
        </w:sectPr>
      </w:pPr>
    </w:p>
    <w:p>
      <w:pPr>
        <w:spacing w:after="0" w:line="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 salaries and annual incentive targets are intended to provide a target level of cash compensation that is competitive and appropriate for the responsibilities of the executive’s position. The Compensation Committee determines each executive’s compensation levels based on its assessment of the nature and scope of each executive officer’s responsibilities, experience and performance, and an assessment of compensation levels necessary to maintain and attract quality personnel as informed by peer group and general industry survey data. As of December 31, 2020, the variable (AIP) proportion of total target cash compensation is 60% for the CEO and between 46% and 50% for other NEOs.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the Compensation Committee adjusted compensation targets for Mr. Messina and Mr. Zeleny. Effective October 1, 2020, Mr. Messina’s AIP target was restored to the $1,350,000 target level from his October 4, 2018 hire, following successfully restoring Ocwen to profitability, as measured by pre-tax income before notable items, in the third quarter. This follows his voluntarily reducing his target by $225,000 to $1,125,000 in February 2019 in support of the Company’s cost re-engineering efforts. Effective September 15, 2020, Mr. Zeleny’s salary was increased $25,000 and his annual AIP target was increased $82,500 to compensate him for the expansion of responsibilities to include oversight of the Information Technology, Project Management and Offshore Operations functions.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The table below reflects each NEO’s 2020 base salary and AIP target and a comparison against 2019 compensation levels.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5"/>
              </w:rPr>
              <w:t>Annual AIP Target</w:t>
            </w:r>
            <w:r>
              <w:rPr>
                <w:rFonts w:ascii="Arial" w:cs="Arial" w:eastAsia="Arial" w:hAnsi="Arial"/>
                <w:sz w:val="26"/>
                <w:szCs w:val="26"/>
                <w:b w:val="1"/>
                <w:bCs w:val="1"/>
                <w:color w:val="auto"/>
                <w:w w:val="95"/>
                <w:vertAlign w:val="superscript"/>
              </w:rPr>
              <w:t>(1)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7"/>
          </w:tcPr>
          <w:p>
            <w:pPr>
              <w:jc w:val="right"/>
              <w:ind w:right="520"/>
              <w:spacing w:after="0"/>
              <w:rPr>
                <w:sz w:val="20"/>
                <w:szCs w:val="20"/>
                <w:color w:val="auto"/>
              </w:rPr>
            </w:pPr>
            <w:r>
              <w:rPr>
                <w:rFonts w:ascii="Arial" w:cs="Arial" w:eastAsia="Arial" w:hAnsi="Arial"/>
                <w:sz w:val="16"/>
                <w:szCs w:val="16"/>
                <w:b w:val="1"/>
                <w:bCs w:val="1"/>
                <w:color w:val="auto"/>
              </w:rPr>
              <w:t>Annual Total Target Cash</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b w:val="1"/>
                <w:bCs w:val="1"/>
                <w:color w:val="auto"/>
              </w:rPr>
              <w:t>Annual Salary</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Compensation</w:t>
            </w: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Percent</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Percent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As of</w:t>
            </w:r>
          </w:p>
        </w:tc>
        <w:tc>
          <w:tcPr>
            <w:tcW w:w="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As of</w:t>
            </w: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Change</w:t>
            </w: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As of 12/31/2019</w:t>
            </w:r>
          </w:p>
        </w:tc>
        <w:tc>
          <w:tcPr>
            <w:tcW w:w="15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As of 12/31/2020</w:t>
            </w: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980" w:type="dxa"/>
            <w:vAlign w:val="bottom"/>
            <w:gridSpan w:val="2"/>
          </w:tcPr>
          <w:p>
            <w:pPr>
              <w:ind w:left="220"/>
              <w:spacing w:after="0"/>
              <w:rPr>
                <w:sz w:val="20"/>
                <w:szCs w:val="20"/>
                <w:color w:val="auto"/>
              </w:rPr>
            </w:pPr>
            <w:r>
              <w:rPr>
                <w:rFonts w:ascii="Arial" w:cs="Arial" w:eastAsia="Arial" w:hAnsi="Arial"/>
                <w:sz w:val="16"/>
                <w:szCs w:val="16"/>
                <w:b w:val="1"/>
                <w:bCs w:val="1"/>
                <w:color w:val="auto"/>
              </w:rPr>
              <w:t>As of</w:t>
            </w: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As of</w:t>
            </w:r>
          </w:p>
        </w:tc>
        <w:tc>
          <w:tcPr>
            <w:tcW w:w="7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to Total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9"/>
              </w:rPr>
              <w:t>12/31/2019</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9"/>
              </w:rPr>
              <w:t>12/31/2020</w:t>
            </w: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to</w:t>
            </w: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6"/>
              </w:rPr>
              <w:t>($ and % of</w:t>
            </w:r>
          </w:p>
        </w:tc>
        <w:tc>
          <w:tcPr>
            <w:tcW w:w="15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 and % of</w:t>
            </w: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to AIP</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4"/>
              </w:rPr>
              <w:t>12/31/2019</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4"/>
              </w:rPr>
              <w:t>12/31/2020</w:t>
            </w:r>
          </w:p>
        </w:tc>
        <w:tc>
          <w:tcPr>
            <w:tcW w:w="160" w:type="dxa"/>
            <w:vAlign w:val="bottom"/>
          </w:tcPr>
          <w:p>
            <w:pPr>
              <w:spacing w:after="0"/>
              <w:rPr>
                <w:sz w:val="17"/>
                <w:szCs w:val="17"/>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Target</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Salary</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Salary)</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7"/>
              </w:rPr>
              <w:t>Salary)</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Cash</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Glen A. Messina</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8"/>
              </w:rPr>
              <w:t>1,125,000</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1,350,000</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150%</w:t>
            </w:r>
          </w:p>
        </w:tc>
        <w:tc>
          <w:tcPr>
            <w:tcW w:w="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2,025,000</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2,250,000</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Scott W. Anderson</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450,000</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90%</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450,000</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82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950,000</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950,000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John V. Britti</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405,000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405,000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855,000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855,000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6"/>
                <w:szCs w:val="16"/>
                <w:color w:val="auto"/>
              </w:rPr>
              <w:t>June C. Campbell</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475,000</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475,000</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475,000</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475,000</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100%</w:t>
            </w:r>
          </w:p>
        </w:tc>
        <w:tc>
          <w:tcPr>
            <w:tcW w:w="820" w:type="dxa"/>
            <w:vAlign w:val="bottom"/>
            <w:gridSpan w:val="2"/>
          </w:tcPr>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950,000</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950,000</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Dennis Zeleny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300,000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382,500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725,000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832,500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Final AIP targets are pro-rated for mid-year compensation changes.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Annual Incentive Plan (AIP)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Ocwen’s annual incentive compensation opportunity for eligible employees, including our executive officers, is provided under the 1998 Annual Incentive Plan, as amended, which has been approved by our shareholders. The AIP award opportunity motivates executives to deliver against the key initiatives the Compensation Committee, working with the CEO, management and the Compensation Committee’s independent advisor, believes will enhance Company performance and create a path for long-term shareholder value.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2020 AIP award opportunities for each NEO were based on a combination of organization and individual performance. First, performance against the Corporate Scorecard objectives establishes the baseline funding level for the entire plan. From there, Organizational Performance Funding is allocated to each Business Unit and its managing NEO based on an assessment of the Business Unit’s achievement of its key priorities and the corresponding contributions to overall Corporate Scorecard results. Finally, each NEO’s award is adjusted based on an assessment of his or her individual performance against a number of key objectives unique to him or her, including demonstrated leadership in creating and sustaining a high-performing culture. Additional detail on each is outlined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Scorecard</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Corporate Scorecard, which drives the overall funding for the AIP, is approved annually by the Compensation Committee. In determining whether to approve the Corporate Scorecard each year, the Compensation Committee considers a number of factors, including whether the goals are consistent with and likely to enhance corporate performance and long-term shareholder value and discourage executives from pursuing short-term goals that may not be consistent with achieving such long-term success, as well as the level of difficulty associated with attainment of each goal in the scorecard. The 2020 Corporate Scorecard objectives, shown below with final performance results, were directly aligned to our six key business priorities, as follows:</w:t>
      </w:r>
    </w:p>
    <w:p>
      <w:pPr>
        <w:spacing w:after="0" w:line="16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Returning to and sustaining profitability,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Continuous cost improvement,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Diversifying sources of capital and optimizing the balance sheet,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 engagement and diversity and inclusion,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Financial performance, or pre-tax income before notable items, had 50% of the overall scorecard weight as our goal of returning to and sustaining profitability was paramount. Our other priorities were necessary to continue strengthening and transforming our business, and our focus on customers and employees is key to our long-term success and are foundational components of our mission, values and operating principles.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Compensation Committee establishes the “target” performance of each goal at a level that it intends to be challenging to achieve, a “threshold” level for each goal that must be met in order for any portion of the incentive to be paid with respect to that goal, and an outstanding or “maximum”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 of Target</w:t>
            </w:r>
          </w:p>
        </w:tc>
      </w:tr>
      <w:tr>
        <w:trPr>
          <w:trHeight w:val="241"/>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of Achievement</w:t>
            </w:r>
          </w:p>
        </w:tc>
        <w:tc>
          <w:tcPr>
            <w:tcW w:w="1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Opportunity</w:t>
            </w:r>
          </w:p>
        </w:tc>
        <w:tc>
          <w:tcPr>
            <w:tcW w:w="160" w:type="dxa"/>
            <w:vAlign w:val="bottom"/>
            <w:tcBorders>
              <w:bottom w:val="single" w:sz="8" w:color="CCEEFF"/>
            </w:tcBorders>
          </w:tcPr>
          <w:p>
            <w:pPr>
              <w:spacing w:after="0"/>
              <w:rPr>
                <w:sz w:val="20"/>
                <w:szCs w:val="20"/>
                <w:color w:val="auto"/>
              </w:rPr>
            </w:pP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5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Below Threshold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measured the level of performance achievement against scorecard objectives using both quantitative and qualitative assessments, as appropriate. Quantitative assessments were used when the objective measure was numeric in nature, such as meeting the budget. For these assessments, the level of achievement was determined using straight-line interpolation between the “threshold”, “target” and “maximum” anchor posts, as applicable. Other objectives required a combination of numeric and qualitative assessments, even for objectives containing deadlines and metrics which defined achievement, such as diversity and inclusion objectives.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Committee’s assessment of the level of performance achieved against scorecard objectives, the information on which the Committee based its assessment was first reviewed and verified by the Company’s Internal Audit, Finance and Risk Management functions.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Based on the Company’s final performance and the relative weightings assigned to each objective, the overall Corporate Scorecard funding was 141.1%.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Scorecard and corresponding achievement levels are detailed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Objective</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Performance</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Performance</w:t>
            </w:r>
          </w:p>
        </w:tc>
        <w:tc>
          <w:tcPr>
            <w:tcW w:w="1060" w:type="dxa"/>
            <w:vAlign w:val="bottom"/>
          </w:tcPr>
          <w:p>
            <w:pPr>
              <w:jc w:val="right"/>
              <w:ind w:right="18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Corporate Objective</w:t>
            </w:r>
          </w:p>
        </w:tc>
        <w:tc>
          <w:tcPr>
            <w:tcW w:w="1000" w:type="dxa"/>
            <w:vAlign w:val="bottom"/>
            <w:vMerge w:val="continue"/>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Threshold</w:t>
            </w:r>
          </w:p>
        </w:tc>
        <w:tc>
          <w:tcPr>
            <w:tcW w:w="200" w:type="dxa"/>
            <w:vAlign w:val="bottom"/>
          </w:tcPr>
          <w:p>
            <w:pPr>
              <w:spacing w:after="0"/>
              <w:rPr>
                <w:sz w:val="12"/>
                <w:szCs w:val="12"/>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3"/>
              </w:rPr>
              <w:t>Target</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Maximum</w:t>
            </w:r>
          </w:p>
        </w:tc>
        <w:tc>
          <w:tcPr>
            <w:tcW w:w="114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60" w:type="dxa"/>
            <w:vAlign w:val="bottom"/>
          </w:tcPr>
          <w:p>
            <w:pPr>
              <w:jc w:val="right"/>
              <w:ind w:right="87"/>
              <w:spacing w:after="0" w:line="149" w:lineRule="exact"/>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8"/>
        </w:trPr>
        <w:tc>
          <w:tcPr>
            <w:tcW w:w="39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Weight</w:t>
            </w:r>
          </w:p>
        </w:tc>
        <w:tc>
          <w:tcPr>
            <w:tcW w:w="9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2"/>
              </w:rPr>
              <w:t>Outcome</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Achievement</w:t>
            </w:r>
          </w:p>
        </w:tc>
        <w:tc>
          <w:tcPr>
            <w:tcW w:w="10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Objectives(1)</w:t>
            </w: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20" w:type="dxa"/>
            <w:vAlign w:val="bottom"/>
          </w:tcPr>
          <w:p>
            <w:pPr>
              <w:spacing w:after="0" w:line="130" w:lineRule="exact"/>
              <w:rPr>
                <w:sz w:val="20"/>
                <w:szCs w:val="20"/>
                <w:color w:val="auto"/>
              </w:rPr>
            </w:pPr>
            <w:r>
              <w:rPr>
                <w:rFonts w:ascii="Arial" w:cs="Arial" w:eastAsia="Arial" w:hAnsi="Arial"/>
                <w:sz w:val="14"/>
                <w:szCs w:val="14"/>
                <w:b w:val="1"/>
                <w:bCs w:val="1"/>
                <w:color w:val="auto"/>
              </w:rPr>
              <w:t>1a. Return to Profitability by Q3 2020</w:t>
            </w: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20" w:type="dxa"/>
            <w:vAlign w:val="bottom"/>
          </w:tcPr>
          <w:p>
            <w:pPr>
              <w:spacing w:after="0"/>
              <w:rPr>
                <w:sz w:val="20"/>
                <w:szCs w:val="20"/>
                <w:color w:val="auto"/>
              </w:rPr>
            </w:pPr>
            <w:r>
              <w:rPr>
                <w:rFonts w:ascii="Arial" w:cs="Arial" w:eastAsia="Arial" w:hAnsi="Arial"/>
                <w:sz w:val="14"/>
                <w:szCs w:val="14"/>
                <w:color w:val="auto"/>
              </w:rPr>
              <w:t>Q3 Pre-tax income before notable items ($M)</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30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13.5</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36"/>
        </w:trPr>
        <w:tc>
          <w:tcPr>
            <w:tcW w:w="39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1b. Sustained Profitability in Q4</w:t>
            </w: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Q4 Pre-tax income before notable items ($M)</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15.2</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30"/>
        </w:trPr>
        <w:tc>
          <w:tcPr>
            <w:tcW w:w="3920" w:type="dxa"/>
            <w:vAlign w:val="bottom"/>
          </w:tcPr>
          <w:p>
            <w:pPr>
              <w:spacing w:after="0" w:line="130" w:lineRule="exact"/>
              <w:rPr>
                <w:sz w:val="20"/>
                <w:szCs w:val="20"/>
                <w:color w:val="auto"/>
              </w:rPr>
            </w:pPr>
            <w:r>
              <w:rPr>
                <w:rFonts w:ascii="Arial" w:cs="Arial" w:eastAsia="Arial" w:hAnsi="Arial"/>
                <w:sz w:val="14"/>
                <w:szCs w:val="14"/>
                <w:b w:val="1"/>
                <w:bCs w:val="1"/>
                <w:color w:val="auto"/>
              </w:rPr>
              <w:t>1c. Full-Year Profitability</w:t>
            </w: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20" w:type="dxa"/>
            <w:vAlign w:val="bottom"/>
          </w:tcPr>
          <w:p>
            <w:pPr>
              <w:spacing w:after="0"/>
              <w:rPr>
                <w:sz w:val="20"/>
                <w:szCs w:val="20"/>
                <w:color w:val="auto"/>
              </w:rPr>
            </w:pPr>
            <w:r>
              <w:rPr>
                <w:rFonts w:ascii="Arial" w:cs="Arial" w:eastAsia="Arial" w:hAnsi="Arial"/>
                <w:sz w:val="14"/>
                <w:szCs w:val="14"/>
                <w:color w:val="auto"/>
              </w:rPr>
              <w:t>Full-year pre-tax income before notable items ($M)</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0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24.0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26.0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48.7</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54"/>
        </w:trPr>
        <w:tc>
          <w:tcPr>
            <w:tcW w:w="39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Key Business Priorities</w:t>
            </w: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920" w:type="dxa"/>
            <w:vAlign w:val="bottom"/>
          </w:tcPr>
          <w:p>
            <w:pPr>
              <w:spacing w:after="0" w:line="130" w:lineRule="exact"/>
              <w:rPr>
                <w:sz w:val="20"/>
                <w:szCs w:val="20"/>
                <w:color w:val="auto"/>
              </w:rPr>
            </w:pPr>
            <w:r>
              <w:rPr>
                <w:rFonts w:ascii="Arial" w:cs="Arial" w:eastAsia="Arial" w:hAnsi="Arial"/>
                <w:sz w:val="14"/>
                <w:szCs w:val="14"/>
                <w:b w:val="1"/>
                <w:bCs w:val="1"/>
                <w:color w:val="auto"/>
              </w:rPr>
              <w:t>2. Growth and Revenue Diversification</w:t>
            </w: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line="159" w:lineRule="exact"/>
              <w:rPr>
                <w:sz w:val="20"/>
                <w:szCs w:val="20"/>
                <w:color w:val="auto"/>
              </w:rPr>
            </w:pPr>
            <w:r>
              <w:rPr>
                <w:rFonts w:ascii="Arial" w:cs="Arial" w:eastAsia="Arial" w:hAnsi="Arial"/>
                <w:sz w:val="14"/>
                <w:szCs w:val="14"/>
                <w:color w:val="auto"/>
              </w:rPr>
              <w:t>Owned MSR and sub-serviced unpaid principal balance (UPB,</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920" w:type="dxa"/>
            <w:vAlign w:val="bottom"/>
          </w:tcPr>
          <w:p>
            <w:pPr>
              <w:spacing w:after="0" w:line="225" w:lineRule="exact"/>
              <w:rPr>
                <w:sz w:val="20"/>
                <w:szCs w:val="20"/>
                <w:color w:val="auto"/>
              </w:rPr>
            </w:pPr>
            <w:r>
              <w:rPr>
                <w:rFonts w:ascii="Arial" w:cs="Arial" w:eastAsia="Arial" w:hAnsi="Arial"/>
                <w:sz w:val="26"/>
                <w:szCs w:val="26"/>
                <w:color w:val="auto"/>
                <w:vertAlign w:val="subscript"/>
              </w:rPr>
              <w:t>$B)</w:t>
            </w:r>
            <w:r>
              <w:rPr>
                <w:rFonts w:ascii="Arial" w:cs="Arial" w:eastAsia="Arial" w:hAnsi="Arial"/>
                <w:sz w:val="11"/>
                <w:szCs w:val="11"/>
                <w:color w:val="auto"/>
              </w:rPr>
              <w:t>(2)</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30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30.8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34.2</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37.6</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57.1</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30"/>
        </w:trPr>
        <w:tc>
          <w:tcPr>
            <w:tcW w:w="392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3. Continuous Cost Improvement</w:t>
            </w: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Quarterly operational expense run-rate as of 12/31/2020 ($M)</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126.0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120.0</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114.0</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113.0</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30"/>
        </w:trPr>
        <w:tc>
          <w:tcPr>
            <w:tcW w:w="3920" w:type="dxa"/>
            <w:vAlign w:val="bottom"/>
          </w:tcPr>
          <w:p>
            <w:pPr>
              <w:spacing w:after="0" w:line="130" w:lineRule="exact"/>
              <w:rPr>
                <w:sz w:val="20"/>
                <w:szCs w:val="20"/>
                <w:color w:val="auto"/>
              </w:rPr>
            </w:pPr>
            <w:r>
              <w:rPr>
                <w:rFonts w:ascii="Arial" w:cs="Arial" w:eastAsia="Arial" w:hAnsi="Arial"/>
                <w:sz w:val="14"/>
                <w:szCs w:val="14"/>
                <w:b w:val="1"/>
                <w:bCs w:val="1"/>
                <w:color w:val="auto"/>
              </w:rPr>
              <w:t>4a. Diversify Capital Sources</w:t>
            </w: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line="159" w:lineRule="exact"/>
              <w:rPr>
                <w:sz w:val="20"/>
                <w:szCs w:val="20"/>
                <w:color w:val="auto"/>
              </w:rPr>
            </w:pPr>
            <w:r>
              <w:rPr>
                <w:rFonts w:ascii="Arial" w:cs="Arial" w:eastAsia="Arial" w:hAnsi="Arial"/>
                <w:sz w:val="14"/>
                <w:szCs w:val="14"/>
                <w:color w:val="auto"/>
                <w:w w:val="97"/>
              </w:rPr>
              <w:t>Net new committed equity capital by year-end at levels approved</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920" w:type="dxa"/>
            <w:vAlign w:val="bottom"/>
          </w:tcPr>
          <w:p>
            <w:pPr>
              <w:spacing w:after="0" w:line="225" w:lineRule="exact"/>
              <w:rPr>
                <w:sz w:val="20"/>
                <w:szCs w:val="20"/>
                <w:color w:val="auto"/>
              </w:rPr>
            </w:pPr>
            <w:r>
              <w:rPr>
                <w:rFonts w:ascii="Arial" w:cs="Arial" w:eastAsia="Arial" w:hAnsi="Arial"/>
                <w:sz w:val="14"/>
                <w:szCs w:val="14"/>
                <w:color w:val="auto"/>
              </w:rPr>
              <w:t>by Board ($M)</w:t>
            </w:r>
            <w:r>
              <w:rPr>
                <w:rFonts w:ascii="Arial" w:cs="Arial" w:eastAsia="Arial" w:hAnsi="Arial"/>
                <w:sz w:val="23"/>
                <w:szCs w:val="23"/>
                <w:color w:val="auto"/>
                <w:vertAlign w:val="superscript"/>
              </w:rPr>
              <w:t>(4)</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30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125.0</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150.0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250.0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30"/>
        </w:trPr>
        <w:tc>
          <w:tcPr>
            <w:tcW w:w="392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4b. Balance Sheet Optimization</w:t>
            </w: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Improve asset utilization, maintain minimum liquidity threshold</w:t>
            </w: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spacing w:after="0" w:line="225" w:lineRule="exact"/>
              <w:rPr>
                <w:sz w:val="20"/>
                <w:szCs w:val="20"/>
                <w:color w:val="auto"/>
              </w:rPr>
            </w:pPr>
            <w:r>
              <w:rPr>
                <w:rFonts w:ascii="Arial" w:cs="Arial" w:eastAsia="Arial" w:hAnsi="Arial"/>
                <w:sz w:val="14"/>
                <w:szCs w:val="14"/>
                <w:color w:val="auto"/>
              </w:rPr>
              <w:t>and generate surplus cash for investment ($M)</w:t>
            </w:r>
            <w:r>
              <w:rPr>
                <w:rFonts w:ascii="Arial" w:cs="Arial" w:eastAsia="Arial" w:hAnsi="Arial"/>
                <w:sz w:val="23"/>
                <w:szCs w:val="23"/>
                <w:color w:val="auto"/>
                <w:vertAlign w:val="superscript"/>
              </w:rPr>
              <w:t>(5)</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135.0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175.0</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215.0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258</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48"/>
        </w:trPr>
        <w:tc>
          <w:tcPr>
            <w:tcW w:w="3920" w:type="dxa"/>
            <w:vAlign w:val="bottom"/>
          </w:tcPr>
          <w:p>
            <w:pPr>
              <w:spacing w:after="0" w:line="149" w:lineRule="exact"/>
              <w:rPr>
                <w:sz w:val="20"/>
                <w:szCs w:val="20"/>
                <w:color w:val="auto"/>
              </w:rPr>
            </w:pPr>
            <w:r>
              <w:rPr>
                <w:rFonts w:ascii="Arial" w:cs="Arial" w:eastAsia="Arial" w:hAnsi="Arial"/>
                <w:sz w:val="14"/>
                <w:szCs w:val="14"/>
                <w:b w:val="1"/>
                <w:bCs w:val="1"/>
                <w:color w:val="auto"/>
              </w:rPr>
              <w:t>Customers &amp; Employees</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2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5a. Employee Engagement Results</w:t>
            </w: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Assess the engagement of our work force and progress made</w:t>
            </w: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w:t>
            </w:r>
            <w:r>
              <w:rPr>
                <w:rFonts w:ascii="Arial" w:cs="Arial" w:eastAsia="Arial" w:hAnsi="Arial"/>
                <w:sz w:val="17"/>
                <w:szCs w:val="17"/>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w w:val="98"/>
              </w:rPr>
              <w:t>from Q2 pulse survey to Q4 comprehensive engagement survey</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6.25%</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30"/>
        </w:trPr>
        <w:tc>
          <w:tcPr>
            <w:tcW w:w="3920" w:type="dxa"/>
            <w:vAlign w:val="bottom"/>
          </w:tcPr>
          <w:p>
            <w:pPr>
              <w:spacing w:after="0" w:line="130" w:lineRule="exact"/>
              <w:rPr>
                <w:sz w:val="20"/>
                <w:szCs w:val="20"/>
                <w:color w:val="auto"/>
              </w:rPr>
            </w:pPr>
            <w:r>
              <w:rPr>
                <w:rFonts w:ascii="Arial" w:cs="Arial" w:eastAsia="Arial" w:hAnsi="Arial"/>
                <w:sz w:val="14"/>
                <w:szCs w:val="14"/>
                <w:b w:val="1"/>
                <w:bCs w:val="1"/>
                <w:color w:val="auto"/>
              </w:rPr>
              <w:t>5b. Diversity &amp; Inclusion</w:t>
            </w: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line="149" w:lineRule="exact"/>
              <w:rPr>
                <w:sz w:val="20"/>
                <w:szCs w:val="20"/>
                <w:color w:val="auto"/>
              </w:rPr>
            </w:pPr>
            <w:r>
              <w:rPr>
                <w:rFonts w:ascii="Arial" w:cs="Arial" w:eastAsia="Arial" w:hAnsi="Arial"/>
                <w:sz w:val="14"/>
                <w:szCs w:val="14"/>
                <w:color w:val="auto"/>
                <w:w w:val="99"/>
              </w:rPr>
              <w:t>Execute against the ambitious initiatives and short-term actions</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20" w:type="dxa"/>
            <w:vAlign w:val="bottom"/>
          </w:tcPr>
          <w:p>
            <w:pPr>
              <w:spacing w:after="0"/>
              <w:rPr>
                <w:sz w:val="20"/>
                <w:szCs w:val="20"/>
                <w:color w:val="auto"/>
              </w:rPr>
            </w:pPr>
            <w:r>
              <w:rPr>
                <w:rFonts w:ascii="Arial" w:cs="Arial" w:eastAsia="Arial" w:hAnsi="Arial"/>
                <w:sz w:val="14"/>
                <w:szCs w:val="14"/>
                <w:color w:val="auto"/>
              </w:rPr>
              <w:t>contained in the Diversity &amp; Inclusion Road Map</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6.25%</w:t>
            </w:r>
          </w:p>
        </w:tc>
        <w:tc>
          <w:tcPr>
            <w:tcW w:w="3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3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6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36"/>
        </w:trPr>
        <w:tc>
          <w:tcPr>
            <w:tcW w:w="39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6a. Customer Satisfaction – Servicing</w:t>
            </w: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Net Promoter Score (NPS) % point improvement Q4 2020 vs. Q4</w:t>
            </w: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6.25%</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32.4</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30"/>
        </w:trPr>
        <w:tc>
          <w:tcPr>
            <w:tcW w:w="3920" w:type="dxa"/>
            <w:vAlign w:val="bottom"/>
          </w:tcPr>
          <w:p>
            <w:pPr>
              <w:spacing w:after="0" w:line="130" w:lineRule="exact"/>
              <w:rPr>
                <w:sz w:val="20"/>
                <w:szCs w:val="20"/>
                <w:color w:val="auto"/>
              </w:rPr>
            </w:pPr>
            <w:r>
              <w:rPr>
                <w:rFonts w:ascii="Arial" w:cs="Arial" w:eastAsia="Arial" w:hAnsi="Arial"/>
                <w:sz w:val="14"/>
                <w:szCs w:val="14"/>
                <w:b w:val="1"/>
                <w:bCs w:val="1"/>
                <w:color w:val="auto"/>
              </w:rPr>
              <w:t>6b-i. Customer Satisfaction - Originations - Direct Lending</w:t>
            </w: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20"/>
                <w:szCs w:val="20"/>
                <w:color w:val="auto"/>
              </w:rPr>
            </w:pPr>
            <w:r>
              <w:rPr>
                <w:rFonts w:ascii="Arial" w:cs="Arial" w:eastAsia="Arial" w:hAnsi="Arial"/>
                <w:sz w:val="14"/>
                <w:szCs w:val="14"/>
                <w:color w:val="auto"/>
              </w:rPr>
              <w:t>Net Promoter Score (NPS)</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3.13%</w:t>
            </w:r>
          </w:p>
        </w:tc>
        <w:tc>
          <w:tcPr>
            <w:tcW w:w="30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-11.8</w:t>
            </w:r>
          </w:p>
        </w:tc>
        <w:tc>
          <w:tcPr>
            <w:tcW w:w="11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92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6b-ii. Customer Satisfaction - Originations - Reverse</w:t>
            </w: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Mortgage</w:t>
            </w: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Net Promoter Score (NPS)</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75</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78.1</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100%</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141.1%</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340" w:hanging="332"/>
        <w:spacing w:after="0" w:line="255" w:lineRule="auto"/>
        <w:tabs>
          <w:tab w:leader="none" w:pos="340" w:val="left"/>
        </w:tabs>
        <w:numPr>
          <w:ilvl w:val="0"/>
          <w:numId w:val="34"/>
        </w:numPr>
        <w:rPr>
          <w:rFonts w:ascii="Arial" w:cs="Arial" w:eastAsia="Arial" w:hAnsi="Arial"/>
          <w:sz w:val="29"/>
          <w:szCs w:val="29"/>
          <w:color w:val="auto"/>
          <w:vertAlign w:val="superscript"/>
        </w:rPr>
      </w:pPr>
      <w:r>
        <w:rPr>
          <w:rFonts w:ascii="Arial" w:cs="Arial" w:eastAsia="Arial" w:hAnsi="Arial"/>
          <w:sz w:val="17"/>
          <w:szCs w:val="17"/>
          <w:color w:val="auto"/>
        </w:rPr>
        <w:t>Pre-tax income before notable items for purposes of the Corporate Scorecard excludes income statement notables and amortization of New Residential Investment Corp. (“NRZ”) lump-sum payments and refers to our pre-tax income/(loss) after excluding the positive impact of the amortization of NRZ lump-sum payments and after adjusting GAAP pre-tax income/(loss) for the following factors: (1) Expense Notables (excluding MSR Valuation Adjustments, net), (2) changes in fair value of our Agency and Non Agency MSRs due to changes in interest rates, valuation inputs and other assumptions, net of hedge positions, (3) offsets to changes in fair value of our MSRs in our NRZ financing liability due to changes in interest rates, valuation inputs and other assumptions, (4) changes in fair value of our reverse originations portfolio due to changes in interest rates, valuation inputs and other assumptions and (5) certain other non-routine transactions, including but not limited to pension benefit cost adjustments and opportunistic gains related to exercising servicer call rights on second lien portfolio subsequently sold and fair value assumption changes on other investments (Other) consistent with the intent of providing management and investors with a supplemental means of evaluating our net income/(loss). Collectively, we refer to these adjustments as “income statement notables.” “Expense Notables” includes (1) expenses related to severance, retention and other actions associated with continuous cost and productivity improvement efforts, (2) significant legal and regulatory settlement expense items, (3) NRZ consent process expenses related to the transfer of legal title in MSRs to NRZ, (4) PHH acquisition and integration planning expenses, and (5) certain other significant activities including, but not limited to, insurance related expense and settlement recoveries, compensation or incentive compensation expense reversals and non-routine transactions (Other) consistent with the intent of providing management and investors with a supplemental means of evaluating our expenses.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8" w:name="page39"/>
    <w:bookmarkEnd w:id="38"/>
    <w:p>
      <w:pPr>
        <w:ind w:left="340" w:hanging="332"/>
        <w:spacing w:after="0" w:line="194" w:lineRule="auto"/>
        <w:tabs>
          <w:tab w:leader="none" w:pos="34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Growth and revenue diversification measurement for purposes of the Corporate Scorecard is specific to MSR originations and purchases and subservicing portfolio volume growth in 2020 achieved through new and diversified origination channels.</w:t>
      </w:r>
    </w:p>
    <w:p>
      <w:pPr>
        <w:ind w:left="340" w:hanging="332"/>
        <w:spacing w:after="0" w:line="209" w:lineRule="auto"/>
        <w:tabs>
          <w:tab w:leader="none" w:pos="340" w:val="left"/>
        </w:tabs>
        <w:numPr>
          <w:ilvl w:val="0"/>
          <w:numId w:val="35"/>
        </w:numPr>
        <w:rPr>
          <w:rFonts w:ascii="Arial" w:cs="Arial" w:eastAsia="Arial" w:hAnsi="Arial"/>
          <w:sz w:val="27"/>
          <w:szCs w:val="27"/>
          <w:color w:val="auto"/>
          <w:vertAlign w:val="superscript"/>
        </w:rPr>
      </w:pPr>
      <w:r>
        <w:rPr>
          <w:rFonts w:ascii="Arial" w:cs="Arial" w:eastAsia="Arial" w:hAnsi="Arial"/>
          <w:sz w:val="16"/>
          <w:szCs w:val="16"/>
          <w:color w:val="auto"/>
        </w:rPr>
        <w:t>Continuous cost improvement measurement for purposes of the Corporate Scorecard is based on a 4Q’20 run rate compared to a 4Q’19 baseline and was adjusted for expense notable items, as defined above and further adjusted to normalize for expenses associated with performance measurement.</w:t>
      </w:r>
    </w:p>
    <w:p>
      <w:pPr>
        <w:spacing w:after="0" w:line="1" w:lineRule="exact"/>
        <w:rPr>
          <w:rFonts w:ascii="Arial" w:cs="Arial" w:eastAsia="Arial" w:hAnsi="Arial"/>
          <w:sz w:val="27"/>
          <w:szCs w:val="27"/>
          <w:color w:val="auto"/>
          <w:vertAlign w:val="superscript"/>
        </w:rPr>
      </w:pPr>
    </w:p>
    <w:p>
      <w:pPr>
        <w:ind w:left="340" w:hanging="332"/>
        <w:spacing w:after="0" w:line="187" w:lineRule="auto"/>
        <w:tabs>
          <w:tab w:leader="none" w:pos="34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Capital source diversification measurement for purposes of the Corporate Scorecard is specific to investment in or from external parties to Ocwen Financial from the strategic review process.</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Balance sheet optimization measurement for purposes of the Corporate Scorecard is specific to increased asset turn times and execution of opportunities to the fullest extent possible in order to increase liquidity levels and liquidity duration.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&amp; Inclusion Road Map (see 5b above)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Diversity, inclusiveness and respect are integral parts of our culture and work environment, and we are committed to being a globally diverse and inclusive workplace where every voice is heard. Our Diversity &amp; Inclusion (“D&amp;I”) Road Map is built around the four pillars of our diversity program, with numerous initiatives and short-term actions to support each one. Our 2020 goals and key results are summarized below:</w:t>
      </w:r>
    </w:p>
    <w:p>
      <w:pPr>
        <w:sectPr>
          <w:pgSz w:w="11900" w:h="16838" w:orient="portrait"/>
          <w:cols w:equalWidth="0" w:num="1">
            <w:col w:w="11240"/>
          </w:cols>
          <w:pgMar w:left="320" w:top="638" w:right="339"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Pillar</w:t>
            </w:r>
          </w:p>
        </w:tc>
        <w:tc>
          <w:tcPr>
            <w:tcW w:w="3360" w:type="dxa"/>
            <w:vAlign w:val="bottom"/>
          </w:tcPr>
          <w:p>
            <w:pPr>
              <w:spacing w:after="0"/>
              <w:rPr>
                <w:sz w:val="20"/>
                <w:szCs w:val="20"/>
                <w:color w:val="auto"/>
              </w:rPr>
            </w:pPr>
            <w:r>
              <w:rPr>
                <w:rFonts w:ascii="Arial" w:cs="Arial" w:eastAsia="Arial" w:hAnsi="Arial"/>
                <w:sz w:val="18"/>
                <w:szCs w:val="18"/>
                <w:b w:val="1"/>
                <w:bCs w:val="1"/>
                <w:color w:val="auto"/>
              </w:rPr>
              <w:t>Road Map Goals</w:t>
            </w:r>
          </w:p>
        </w:tc>
      </w:tr>
      <w:tr>
        <w:trPr>
          <w:trHeight w:val="202"/>
        </w:trPr>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Leadership</w:t>
            </w:r>
          </w:p>
        </w:tc>
        <w:tc>
          <w:tcPr>
            <w:tcW w:w="220" w:type="dxa"/>
            <w:vAlign w:val="bottom"/>
          </w:tcPr>
          <w:p>
            <w:pPr>
              <w:spacing w:after="0"/>
              <w:rPr>
                <w:sz w:val="17"/>
                <w:szCs w:val="17"/>
                <w:color w:val="auto"/>
              </w:rPr>
            </w:pPr>
          </w:p>
        </w:tc>
        <w:tc>
          <w:tcPr>
            <w:tcW w:w="3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Strengthen the understanding and</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8"/>
              </w:rPr>
              <w:t>commitment of D&amp;I throughout all levels of</w:t>
            </w:r>
          </w:p>
        </w:tc>
      </w:tr>
      <w:tr>
        <w:trPr>
          <w:trHeight w:val="230"/>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the organization.</w:t>
            </w:r>
          </w:p>
        </w:tc>
      </w:tr>
      <w:tr>
        <w:trPr>
          <w:trHeight w:val="418"/>
        </w:trPr>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1"/>
              </w:rPr>
              <w:t>Ensure all leaders fully understand the benefit</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7"/>
              </w:rPr>
              <w:t>of D&amp;I and can demonstrate inclusive work</w:t>
            </w:r>
          </w:p>
        </w:tc>
      </w:tr>
      <w:tr>
        <w:trPr>
          <w:trHeight w:val="230"/>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strategies.</w:t>
            </w:r>
          </w:p>
        </w:tc>
      </w:tr>
      <w:tr>
        <w:trPr>
          <w:trHeight w:val="418"/>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Workforce</w:t>
            </w:r>
          </w:p>
        </w:tc>
        <w:tc>
          <w:tcPr>
            <w:tcW w:w="3360" w:type="dxa"/>
            <w:vAlign w:val="bottom"/>
          </w:tcPr>
          <w:p>
            <w:pPr>
              <w:spacing w:after="0"/>
              <w:rPr>
                <w:sz w:val="20"/>
                <w:szCs w:val="20"/>
                <w:color w:val="auto"/>
              </w:rPr>
            </w:pPr>
            <w:r>
              <w:rPr>
                <w:rFonts w:ascii="Arial" w:cs="Arial" w:eastAsia="Arial" w:hAnsi="Arial"/>
                <w:sz w:val="18"/>
                <w:szCs w:val="18"/>
                <w:color w:val="auto"/>
                <w:w w:val="92"/>
              </w:rPr>
              <w:t>Increase our ability to attract and hire diverse</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talent and improve our Diversity and</w:t>
            </w:r>
          </w:p>
        </w:tc>
      </w:tr>
      <w:tr>
        <w:trPr>
          <w:trHeight w:val="230"/>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Inclusion brand.</w:t>
            </w:r>
          </w:p>
        </w:tc>
      </w:tr>
      <w:tr>
        <w:trPr>
          <w:trHeight w:val="432"/>
        </w:trPr>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Increase diversity in leadership levels.</w:t>
            </w:r>
          </w:p>
        </w:tc>
      </w:tr>
      <w:tr>
        <w:trPr>
          <w:trHeight w:val="418"/>
        </w:trPr>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Drive engagement, development, and</w:t>
            </w:r>
          </w:p>
        </w:tc>
      </w:tr>
      <w:tr>
        <w:trPr>
          <w:trHeight w:val="230"/>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retention of top talent employees.</w:t>
            </w:r>
          </w:p>
        </w:tc>
      </w:tr>
      <w:tr>
        <w:trPr>
          <w:trHeight w:val="41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Community</w:t>
            </w:r>
          </w:p>
        </w:tc>
        <w:tc>
          <w:tcPr>
            <w:tcW w:w="3360" w:type="dxa"/>
            <w:vAlign w:val="bottom"/>
          </w:tcPr>
          <w:p>
            <w:pPr>
              <w:spacing w:after="0"/>
              <w:rPr>
                <w:sz w:val="20"/>
                <w:szCs w:val="20"/>
                <w:color w:val="auto"/>
              </w:rPr>
            </w:pPr>
            <w:r>
              <w:rPr>
                <w:rFonts w:ascii="Arial" w:cs="Arial" w:eastAsia="Arial" w:hAnsi="Arial"/>
                <w:sz w:val="18"/>
                <w:szCs w:val="18"/>
                <w:color w:val="auto"/>
              </w:rPr>
              <w:t>Continue efforts to support external</w:t>
            </w:r>
          </w:p>
        </w:tc>
      </w:tr>
      <w:tr>
        <w:trPr>
          <w:trHeight w:val="23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Engagement</w:t>
            </w:r>
          </w:p>
        </w:tc>
        <w:tc>
          <w:tcPr>
            <w:tcW w:w="3360" w:type="dxa"/>
            <w:vAlign w:val="bottom"/>
          </w:tcPr>
          <w:p>
            <w:pPr>
              <w:spacing w:after="0"/>
              <w:rPr>
                <w:sz w:val="20"/>
                <w:szCs w:val="20"/>
                <w:color w:val="auto"/>
              </w:rPr>
            </w:pPr>
            <w:r>
              <w:rPr>
                <w:rFonts w:ascii="Arial" w:cs="Arial" w:eastAsia="Arial" w:hAnsi="Arial"/>
                <w:sz w:val="18"/>
                <w:szCs w:val="18"/>
                <w:color w:val="auto"/>
              </w:rPr>
              <w:t>community engagement partnerships.</w:t>
            </w:r>
          </w:p>
        </w:tc>
      </w:tr>
      <w:tr>
        <w:trPr>
          <w:trHeight w:val="418"/>
        </w:trPr>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Create a corporate structure for social</w:t>
            </w:r>
          </w:p>
        </w:tc>
      </w:tr>
      <w:tr>
        <w:trPr>
          <w:trHeight w:val="230"/>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responsibility and employee outreach.</w:t>
            </w: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Diversity was incorporated into AIP, individual performance goals, mandatory training for the entire workforce, and cultural celebrations.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Access to leadership increased through mentoring programs and CEO roundtables, diverse recruitment was supported through a partnership with the National Association of Minority Mortgage Bankers of America, and internal training, and Ocwen Global Women’s Network events facilitated career development of women globally.</w:t>
      </w:r>
    </w:p>
    <w:p>
      <w:pPr>
        <w:spacing w:after="0" w:line="18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Additionally, there was significant improvement in women’s leadership metrics (hiring, promotions, representation and attrition).</w:t>
      </w:r>
    </w:p>
    <w:p>
      <w:pPr>
        <w:spacing w:after="0" w:line="146"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Borrower outreach events increased 67% from 2019, and new corporate social responsibility efforts supported local communities with donations.</w:t>
      </w:r>
    </w:p>
    <w:p>
      <w:pPr>
        <w:spacing w:after="0" w:line="767" w:lineRule="exact"/>
        <w:rPr>
          <w:sz w:val="20"/>
          <w:szCs w:val="20"/>
          <w:color w:val="auto"/>
        </w:rPr>
      </w:pPr>
    </w:p>
    <w:p>
      <w:pPr>
        <w:sectPr>
          <w:pgSz w:w="11900" w:h="16838" w:orient="portrait"/>
          <w:cols w:equalWidth="0" w:num="2">
            <w:col w:w="5400" w:space="220"/>
            <w:col w:w="5620"/>
          </w:cols>
          <w:pgMar w:left="320" w:top="638" w:right="339" w:bottom="1440" w:gutter="0" w:footer="0" w:header="0"/>
          <w:type w:val="continuous"/>
        </w:sectPr>
      </w:pPr>
    </w:p>
    <w:p>
      <w:pPr>
        <w:spacing w:after="0"/>
        <w:tabs>
          <w:tab w:leader="none" w:pos="2020" w:val="left"/>
        </w:tabs>
        <w:rPr>
          <w:sz w:val="20"/>
          <w:szCs w:val="20"/>
          <w:color w:val="auto"/>
        </w:rPr>
      </w:pPr>
      <w:r>
        <w:rPr>
          <w:rFonts w:ascii="Arial" w:cs="Arial" w:eastAsia="Arial" w:hAnsi="Arial"/>
          <w:sz w:val="18"/>
          <w:szCs w:val="18"/>
          <w:b w:val="1"/>
          <w:bCs w:val="1"/>
          <w:color w:val="auto"/>
        </w:rPr>
        <w:t>Vendor Diversity</w:t>
      </w:r>
      <w:r>
        <w:rPr>
          <w:sz w:val="20"/>
          <w:szCs w:val="20"/>
          <w:color w:val="auto"/>
        </w:rPr>
        <w:tab/>
      </w:r>
      <w:r>
        <w:rPr>
          <w:rFonts w:ascii="Arial" w:cs="Arial" w:eastAsia="Arial" w:hAnsi="Arial"/>
          <w:sz w:val="16"/>
          <w:szCs w:val="16"/>
          <w:color w:val="auto"/>
        </w:rPr>
        <w:t>Strengthen partnerships with diverse supplier</w:t>
      </w:r>
    </w:p>
    <w:p>
      <w:pPr>
        <w:spacing w:after="0" w:line="27" w:lineRule="exact"/>
        <w:rPr>
          <w:sz w:val="20"/>
          <w:szCs w:val="20"/>
          <w:color w:val="auto"/>
        </w:rPr>
      </w:pPr>
    </w:p>
    <w:p>
      <w:pPr>
        <w:ind w:left="2040" w:right="80"/>
        <w:spacing w:after="0" w:line="260" w:lineRule="auto"/>
        <w:rPr>
          <w:sz w:val="20"/>
          <w:szCs w:val="20"/>
          <w:color w:val="auto"/>
        </w:rPr>
      </w:pPr>
      <w:r>
        <w:rPr>
          <w:rFonts w:ascii="Arial" w:cs="Arial" w:eastAsia="Arial" w:hAnsi="Arial"/>
          <w:sz w:val="18"/>
          <w:szCs w:val="18"/>
          <w:color w:val="auto"/>
        </w:rPr>
        <w:t>groups and expand supplier diversity efforts year over year.</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Minority- and/or women-owned vendors comprise 6.5% of spend and 10.5% of Tier 1/2 vendors, including two new vendors specializing in diversity hiring in APAC.</w:t>
      </w:r>
    </w:p>
    <w:p>
      <w:pPr>
        <w:spacing w:after="0" w:line="184" w:lineRule="exact"/>
        <w:rPr>
          <w:sz w:val="20"/>
          <w:szCs w:val="20"/>
          <w:color w:val="auto"/>
        </w:rPr>
      </w:pPr>
    </w:p>
    <w:p>
      <w:pPr>
        <w:sectPr>
          <w:pgSz w:w="11900" w:h="16838" w:orient="portrait"/>
          <w:cols w:equalWidth="0" w:num="2">
            <w:col w:w="5300" w:space="320"/>
            <w:col w:w="5620"/>
          </w:cols>
          <w:pgMar w:left="320" w:top="638"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Organizational Performance Funding Allocation by Business Unit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approval of the Corporate Scorecard results, funding is allocated to each Business Unit based on the Compensation Committee’s assessment of the Business Unit’s contributions to scorecard achievement, which is informed by the CEO’s recommendation. The assessment is based on the Business Unit’s achievement of a unique set of financial and operating objectives required to support the six key priorities reflected in the Corporate Scorecard.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Each NEO worked with the CEO to develop their unique set of key priorities in their respective area of responsibility, which included specific cost or profitability targets, and were weighted depending upon their relative importance to overall organization success. These priorities are outlined in the Performance Assessments section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Performance Multiplier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accountable for reviewing and approving the full-year performance evaluations and recommended performance appraisal ratings for each member of the executive leadership team, including the CEO. The Compensation Committee considers recommendations from the CEO in determining performance appraisal ratings of the other NEOs. The CEO’s performance appraisal rating is determined by the Compensation Committee in consultation with the other independent directors.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spacing w:after="0" w:line="165" w:lineRule="exact"/>
        <w:rPr>
          <w:sz w:val="20"/>
          <w:szCs w:val="20"/>
          <w:color w:val="auto"/>
        </w:rPr>
      </w:pPr>
    </w:p>
    <w:p>
      <w:pPr>
        <w:ind w:left="66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Key Business Unit and Functional Priorities (50% weight) reflected individual goals required to meet the objectives contained in the Corporate Scorecards;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 and Compliance (25% weight) assessed executive performance in promoting a culture of appropriate risk and compliance through training and policy review and adherence, remediating of any identified issues, and lack of any material findings relating to audit, protocols under the Sarbanes-Oxley Act or examination matters;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Leadership Expectations and Behaviors (25% weight,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Leadership expectations and behaviors for our executive team require them to:</w:t>
      </w:r>
    </w:p>
    <w:p>
      <w:pPr>
        <w:spacing w:after="0" w:line="225" w:lineRule="exact"/>
        <w:rPr>
          <w:sz w:val="20"/>
          <w:szCs w:val="20"/>
          <w:color w:val="auto"/>
        </w:rPr>
      </w:pPr>
    </w:p>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Behave as a leadership role model and lead by example, demonstrate integrity, create a culture in which we keep our promises, treat all with respect and dignity, and build trust within and outside the organization.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Build strong working relationships in which they solicit, consider and appropriately incorporate perspectives from others.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Drive and deliver exceptional results by proactively anticipating situations that require a plan of action, identifying critical issues and assuming personal ownership for driving their resolution.</w:t>
      </w: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Lead efforts on diversity and inclusion by creating, promoting and sustaining an inclusive work environment in which diversity, inclusiveness and respect are integral parts of our culture and work environment.</w:t>
      </w: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Build and motivate a high performing team by identifying and securing top talent to increase performance while also actively holding people accountable for results and behaviors.</w:t>
      </w:r>
    </w:p>
    <w:p>
      <w:pPr>
        <w:ind w:left="66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Lead change by providing a visible anchor for others and helping resolve breakdowns in times of transition and uncertainty, and by convincing others of the need for change to support critical organizational objectives.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then evaluates the proposed results and performance appraisal recommendations and determines the final incentive compensation awards for each executive. Each executive receives an individual Performance Appraisal rating against a 4-point scale with an “individual performance multiplier” that is applied to their funded Annual Incentive, as described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value for the multiplier is determined by the Compensation Committee using a value from the range shown in the chart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Individual Performance</w:t>
            </w:r>
          </w:p>
        </w:tc>
      </w:tr>
      <w:tr>
        <w:trPr>
          <w:trHeight w:val="241"/>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 Performance Rating</w:t>
            </w:r>
          </w:p>
        </w:tc>
        <w:tc>
          <w:tcPr>
            <w:tcW w:w="1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Multiplier</w:t>
            </w:r>
          </w:p>
        </w:tc>
        <w:tc>
          <w:tcPr>
            <w:tcW w:w="160" w:type="dxa"/>
            <w:vAlign w:val="bottom"/>
            <w:tcBorders>
              <w:bottom w:val="single" w:sz="8" w:color="CCEEFF"/>
            </w:tcBorders>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Exceeds Expectations</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105-150%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Fully Meets Expectations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95-105%</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Sometimes Meets Expectations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70-95%</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Does Not Meet Expectations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Assessments and Calculation of Total 2020 AIP Awards and Additional Cash Bonuses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Outlined below are the payout results for each NEO, expressed as a percentage of target annual incentive, calculated by multiplying the Organizational Performance Funding determined by the Corporate Scorecard achievement and Business Unit allocation by the Individual Performance Multiplier, equaling the total payout.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careful consideration, the Compensation Committee - and the full Board, in the case of the CEO - determined that each NEOs’ performance, as described below, warranted an Exceeds Expectations performance rating in 2020, and assigned Individual Performance Multipliers reflective of Risk and Compliance objectives and Leadership Expectations and Behaviors that further differentiated their performance, as described below.</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AIP limits payouts to 150% of individual targets. The Compensation Committee elected to reward certain executives for exceptional performance by providing an additional lump-sum bonus of up to 50% of his or her individual target.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Organizational</w:t>
            </w: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Individual</w:t>
            </w: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Final AIP</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Additional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Performance</w:t>
            </w: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Performance</w:t>
            </w: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Payout (% of</w:t>
            </w: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Bonus (% of</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Payout (% of</w:t>
            </w:r>
          </w:p>
        </w:tc>
      </w:tr>
      <w:tr>
        <w:trPr>
          <w:trHeight w:val="241"/>
        </w:trPr>
        <w:tc>
          <w:tcPr>
            <w:tcW w:w="378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Funding</w:t>
            </w:r>
          </w:p>
        </w:tc>
        <w:tc>
          <w:tcPr>
            <w:tcW w:w="3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Multiplier</w:t>
            </w:r>
          </w:p>
        </w:tc>
        <w:tc>
          <w:tcPr>
            <w:tcW w:w="3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w:t>
            </w:r>
          </w:p>
        </w:tc>
        <w:tc>
          <w:tcPr>
            <w:tcW w:w="3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w:t>
            </w:r>
          </w:p>
        </w:tc>
        <w:tc>
          <w:tcPr>
            <w:tcW w:w="3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w:t>
            </w:r>
          </w:p>
        </w:tc>
        <w:tc>
          <w:tcPr>
            <w:tcW w:w="160" w:type="dxa"/>
            <w:vAlign w:val="bottom"/>
            <w:tcBorders>
              <w:bottom w:val="single" w:sz="8" w:color="CCEEFF"/>
            </w:tcBorders>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155.3%</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 Britti</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148.5%</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performance of each executive and his or her respective Business Unit: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Glen Messina</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As CEO, Mr. Messina received Organizational Performance Funding equivalent to the Corporate Scorecard results, or 141.1%. His exceptional performance during the year, highlighted below, warranted maximum AIP payout and an additional bonus of 50% of target.</w:t>
      </w:r>
    </w:p>
    <w:p>
      <w:pPr>
        <w:spacing w:after="0" w:line="170" w:lineRule="exact"/>
        <w:rPr>
          <w:sz w:val="20"/>
          <w:szCs w:val="20"/>
          <w:color w:val="auto"/>
        </w:rPr>
      </w:pPr>
    </w:p>
    <w:p>
      <w:pPr>
        <w:ind w:left="980" w:hanging="324"/>
        <w:spacing w:after="0" w:line="25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Led the team through the pandemic and made decisions necessary to exceed all Corporate Scorecard plan and profitability objectives that were committed to shareholders, additionally achieving significant cost savings and improved strategic options.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Shifted the organization’s focus and priorities to maximize originations volume opportunity created by low interest rates caused by the pandemic. Focused servicing and enabling functions on right-sizing the servicing platform and aggressively reducing overhead costs in response to portfolio runoff.</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Implemented a comprehensive strategic review process to explore all options and engaged in various negotiations with external parties to maximize value for shareholders.</w:t>
      </w: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Realigned the leadership team to create focus and bandwidth, and built a new Capital Markets function.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Maintained high levels of employee engagement and productivity in a difficult year of cost cutting, layoffs, operating changes and the strategic review, compounded by the move to a remote work environment and uncertainty caused by the pandemic.</w:t>
      </w:r>
    </w:p>
    <w:p>
      <w:pPr>
        <w:jc w:val="both"/>
        <w:ind w:left="980" w:hanging="324"/>
        <w:spacing w:after="0" w:line="25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Successfully attracted new investors as a result of an expanded shareholder relations effort, and actively engaged with the Mortgage Bankers Association and the Housing Policy Council on the evaluation and responses to key regulatory and investor proposals that may materially impact our industry.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Scott Anderson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Anderson’s key priorities for the Servicing organization included developing the Reverse Servicing business, maintaining first-line compliance performance, and improving customer satisfaction scores. Under his leadership, Servicing earned 135% Organizational Performance Funding and he was awarded the maximum payout under the AIP and an additional bonus of 5.3% of target, with key accomplishments described below.</w:t>
      </w:r>
    </w:p>
    <w:p>
      <w:pPr>
        <w:spacing w:after="0" w:line="165" w:lineRule="exact"/>
        <w:rPr>
          <w:sz w:val="20"/>
          <w:szCs w:val="20"/>
          <w:color w:val="auto"/>
        </w:rPr>
      </w:pPr>
    </w:p>
    <w:p>
      <w:pPr>
        <w:jc w:val="both"/>
        <w:ind w:left="640" w:hanging="324"/>
        <w:spacing w:after="0" w:line="255"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Responded and adapted to extensive regulatory changes from federal, state and government agencies, including over 1,700 COVID-related compliance bulletins, more than a third of which required process, correspondence or technology changes, frequently with an effective date of “immediately.”</w:t>
      </w:r>
    </w:p>
    <w:p>
      <w:pPr>
        <w:spacing w:after="0" w:line="2" w:lineRule="exact"/>
        <w:rPr>
          <w:rFonts w:ascii="Arial" w:cs="Arial" w:eastAsia="Arial" w:hAnsi="Arial"/>
          <w:sz w:val="18"/>
          <w:szCs w:val="18"/>
          <w:color w:val="auto"/>
        </w:rPr>
      </w:pPr>
    </w:p>
    <w:p>
      <w:pPr>
        <w:ind w:left="640" w:hanging="324"/>
        <w:spacing w:after="0" w:line="25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Maintained better-than-industry call center metrics (i.e. average speed to answer, abandonment rate) despite moving 98% of employees to remote work environment in less than two weeks when pandemic lock-downs were implemented.</w:t>
      </w:r>
    </w:p>
    <w:p>
      <w:pPr>
        <w:ind w:left="640" w:hanging="324"/>
        <w:spacing w:after="0" w:line="25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Exceeded customer satisfaction expectations, even after factoring in responses on those related to COVID-impacted borrowers, with strong defect rates and all-time-low numbers of Consumer Financial Protection Bureau complaints.</w:t>
      </w:r>
    </w:p>
    <w:p>
      <w:pPr>
        <w:ind w:left="640" w:right="20" w:hanging="324"/>
        <w:spacing w:after="0" w:line="25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Implemented process improvements to improve recovery timeline for modification-related advances and develop one-month forbearance plans, which contributed to exceeding balance sheet optimization targets.</w:t>
      </w:r>
    </w:p>
    <w:p>
      <w:pPr>
        <w:ind w:left="640" w:hanging="32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Exceeded Direct Cost to Service target by 109 basis points in 2020 despite increased volumes and regulatory changes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Britti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Britti’s key priorities for the Corporate Development organization included sourcing capital for sustainable growth and optimizing the availability and funding of corporate assets. He also supported growth objectives more generally by supporting development of originations channels and evaluating strategic transactions. Based on the achievements of the function and his individual performance, highlighted below, he received the maximum AIP payout and was awarded an additional bonus of 23.6% of target.</w:t>
      </w:r>
    </w:p>
    <w:p>
      <w:pPr>
        <w:spacing w:after="0" w:line="187" w:lineRule="exact"/>
        <w:rPr>
          <w:sz w:val="20"/>
          <w:szCs w:val="20"/>
          <w:color w:val="auto"/>
        </w:rPr>
      </w:pPr>
    </w:p>
    <w:p>
      <w:pPr>
        <w:ind w:left="640" w:hanging="324"/>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Led strategic review processes, resulting in expanding Ocwen’s sources of capital and securing funding for the planned MSR asset vehicle.</w:t>
      </w:r>
    </w:p>
    <w:p>
      <w:pPr>
        <w:spacing w:after="0" w:line="46" w:lineRule="exact"/>
        <w:rPr>
          <w:rFonts w:ascii="Arial" w:cs="Arial" w:eastAsia="Arial" w:hAnsi="Arial"/>
          <w:sz w:val="16"/>
          <w:szCs w:val="16"/>
          <w:color w:val="auto"/>
        </w:rPr>
      </w:pPr>
    </w:p>
    <w:p>
      <w:pPr>
        <w:ind w:left="640" w:hanging="324"/>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Built originations channels in Freddie Mac Cash Window and Flow that significantly contributed to improving Ocwen’s profitability.</w:t>
      </w:r>
    </w:p>
    <w:p>
      <w:pPr>
        <w:spacing w:after="0" w:line="20" w:lineRule="exact"/>
        <w:rPr>
          <w:rFonts w:ascii="Arial" w:cs="Arial" w:eastAsia="Arial" w:hAnsi="Arial"/>
          <w:sz w:val="17"/>
          <w:szCs w:val="17"/>
          <w:color w:val="auto"/>
        </w:rPr>
      </w:pPr>
    </w:p>
    <w:p>
      <w:pPr>
        <w:ind w:left="640" w:hanging="324"/>
        <w:spacing w:after="0" w:line="250"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Secured additional advance financing to mitigate challenges from COVID-related uncertainties, and managed debt restructuring efforts that resulted in lower debt expense.</w:t>
      </w:r>
    </w:p>
    <w:p>
      <w:pPr>
        <w:ind w:left="640" w:hanging="324"/>
        <w:spacing w:after="0" w:line="265"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Led industry efforts to improve Housing Policy Council, Mortgage Bankers Association and Urban Institute responses to Conference of State Bank Supervisors and Federal Housing Finance Agency capital requirements that resulted in key changes to their positions.</w:t>
      </w:r>
    </w:p>
    <w:p>
      <w:pPr>
        <w:ind w:left="640" w:hanging="32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Led various corporate efforts that led to improved profitability and liquidity as well as cost reductions.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Campbell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Campbell’s key priorities for the Finance organization included financial reporting and forecasting, cash management and balance sheet optimization, and process design. Organizational Performance Funding allocated to Finance was 135% and she received an Individual Performance Multiplier of 110%, with key accomplishments described below.</w:t>
      </w:r>
    </w:p>
    <w:p>
      <w:pPr>
        <w:spacing w:after="0" w:line="184" w:lineRule="exact"/>
        <w:rPr>
          <w:sz w:val="20"/>
          <w:szCs w:val="20"/>
          <w:color w:val="auto"/>
        </w:rPr>
      </w:pPr>
    </w:p>
    <w:p>
      <w:pPr>
        <w:ind w:left="640" w:hanging="324"/>
        <w:spacing w:after="0" w:line="258"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Introduced new systems and processes to drive to best-in-class timing for financial updates to the investment community, which helped attract early investor attention and interest.</w:t>
      </w:r>
    </w:p>
    <w:p>
      <w:pPr>
        <w:spacing w:after="0" w:line="1" w:lineRule="exact"/>
        <w:rPr>
          <w:rFonts w:ascii="Arial" w:cs="Arial" w:eastAsia="Arial" w:hAnsi="Arial"/>
          <w:sz w:val="18"/>
          <w:szCs w:val="18"/>
          <w:color w:val="auto"/>
        </w:rPr>
      </w:pPr>
    </w:p>
    <w:p>
      <w:pPr>
        <w:ind w:left="640" w:right="20" w:hanging="324"/>
        <w:spacing w:after="0" w:line="250"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Redesigned shareholder relations programs, including hosting 40+ virtual investor meetings to improve Ocwen’s market visibility and credibility, which resulted in adding new analysts and institutional investors expanding their positions.</w:t>
      </w:r>
    </w:p>
    <w:p>
      <w:pPr>
        <w:ind w:left="640" w:hanging="32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Developed data-driven analytics models supporting strategic decision making in Servicing and Originations.</w:t>
      </w:r>
    </w:p>
    <w:p>
      <w:pPr>
        <w:spacing w:after="0" w:line="9" w:lineRule="exact"/>
        <w:rPr>
          <w:rFonts w:ascii="Arial" w:cs="Arial" w:eastAsia="Arial" w:hAnsi="Arial"/>
          <w:sz w:val="18"/>
          <w:szCs w:val="18"/>
          <w:color w:val="auto"/>
        </w:rPr>
      </w:pPr>
    </w:p>
    <w:p>
      <w:pPr>
        <w:ind w:left="640" w:hanging="324"/>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Created a new Cash Management Program which delivered on-target, end-of-quarter cash balances and generated surplus cash for investment.</w:t>
      </w: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3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Dennis Zeleny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Zeleny’s key priorities as Chief Administrative Officer included executing a range of enabling functions associated with our growth and cost reduction initiatives, in addition to longer-range strategic imperatives associated with organization and human capital changes, engagement, and diversity and inclusion. The exceptional performance of the functions he led and his individual performance, highlighted below, warranted maximum AIP payout and an additional bonus of 50% of target.</w:t>
      </w:r>
    </w:p>
    <w:p>
      <w:pPr>
        <w:spacing w:after="0" w:line="187" w:lineRule="exact"/>
        <w:rPr>
          <w:sz w:val="20"/>
          <w:szCs w:val="20"/>
          <w:color w:val="auto"/>
        </w:rPr>
      </w:pPr>
    </w:p>
    <w:p>
      <w:pPr>
        <w:ind w:left="980" w:hanging="324"/>
        <w:spacing w:after="0" w:line="25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Co-led rapid enterprise recovery efforts enabling a remote operating model, including down-stream implications for people, policies, and procedures.</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Assumed responsibility for Information Technology, Project Management, Sourcing and Offshore Operations, and exceeded goals and stretch budget targets.</w:t>
      </w:r>
    </w:p>
    <w:p>
      <w:pPr>
        <w:ind w:left="980" w:right="20" w:hanging="324"/>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Enhanced communications by promoting our business turnaround to external stakeholders, the investment community, media and employees, helping enhance our reputation and shape our perception in the industry.</w:t>
      </w:r>
    </w:p>
    <w:p>
      <w:pPr>
        <w:jc w:val="both"/>
        <w:ind w:left="980" w:hanging="324"/>
        <w:spacing w:after="0" w:line="25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Led talent enhancement across all levels of the company, executed key organization changes and sponsored initiatives to foster a high-performing culture, achieving employee engagement survey results that significantly exceeded industry benchmarks and realizing significant strides in diversity representation, including improvements to hiring, promotion and attrition metrics relating to women in leadership positions, both in U.S. and APAC.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Long-Term Incentive (LTIP)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grant of LTIP awards is designed to promote actions and decisions aligned with our strategic objectives and reward our executives and other program participants for long-term value creation for our shareholders in a manner that is consistent with our pay-for-performance philosophy. The Compensation Committee periodically reviews the granting of equity awards to employees based on such factors as Company performance, market competitive conditions and advice from its independent compensation consultant.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Ocwen’s long-term incentive opportunity for eligible employees, including executive officers, through equity awards is provided under the 2017 Performance Incentive Plan (the “2017 Plan”). The 2017 Plan authorizes the grant of restricted stock, restricted stock units, options, stock appreciation rights or other equity-based awards, including cash-settled awards, to our employees (including executive officers), directors, advisors and consultants. To date, we have made grants under the 2017 Plan only to employees and directors. We implemented the 2017 Plan to motivate employees to make extraordinary efforts to achieve significant improvements to shareholder value, support retention of key employees and align the interests of our employees with the interests of our shareholders.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2020 LTIP awards include both a time-vesting component for retention purposes and performance-based component to align with pay-for-performance objectives. Half of the target value is granted as restricted stock units (“RSUs”) vesting in equal thirds on the first, second and third anniversaries of the grant, and half is granted as performance-restricted stock units (“PRSUs”) vesting on the third anniversary of the grant based on Total Shareholder Return (“TSR”) compared to our compensation peer group at the time of grant, described earlier.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PRSUs use four distinct weighted performance periods to measure overall performance – three annual periods and one three-year period, as shown below. This structure assigns a weight more than three times greater to the three-year period while also providing incentive for year-over-year improvements compared to the peer group.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 of Target PRSUs Assigned to</w:t>
            </w:r>
          </w:p>
        </w:tc>
      </w:tr>
      <w:tr>
        <w:trPr>
          <w:trHeight w:val="24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 #</w:t>
            </w:r>
          </w:p>
        </w:tc>
        <w:tc>
          <w:tcPr>
            <w:tcW w:w="260" w:type="dxa"/>
            <w:vAlign w:val="bottom"/>
            <w:tcBorders>
              <w:bottom w:val="single" w:sz="8" w:color="CCEEFF"/>
            </w:tcBorders>
          </w:tcPr>
          <w:p>
            <w:pPr>
              <w:spacing w:after="0"/>
              <w:rPr>
                <w:sz w:val="20"/>
                <w:szCs w:val="20"/>
                <w:color w:val="auto"/>
              </w:rPr>
            </w:pPr>
          </w:p>
        </w:tc>
        <w:tc>
          <w:tcPr>
            <w:tcW w:w="33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Measurement Period</w:t>
            </w:r>
          </w:p>
        </w:tc>
        <w:tc>
          <w:tcPr>
            <w:tcW w:w="260" w:type="dxa"/>
            <w:vAlign w:val="bottom"/>
            <w:tcBorders>
              <w:bottom w:val="single" w:sz="8" w:color="CCEEFF"/>
            </w:tcBorders>
          </w:tcPr>
          <w:p>
            <w:pPr>
              <w:spacing w:after="0"/>
              <w:rPr>
                <w:sz w:val="20"/>
                <w:szCs w:val="20"/>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 Period</w:t>
            </w:r>
          </w:p>
        </w:tc>
        <w:tc>
          <w:tcPr>
            <w:tcW w:w="160" w:type="dxa"/>
            <w:vAlign w:val="bottom"/>
            <w:tcBorders>
              <w:bottom w:val="single" w:sz="8" w:color="CCEEFF"/>
            </w:tcBorders>
          </w:tcPr>
          <w:p>
            <w:pPr>
              <w:spacing w:after="0"/>
              <w:rPr>
                <w:sz w:val="20"/>
                <w:szCs w:val="20"/>
                <w:color w:val="auto"/>
              </w:rPr>
            </w:pPr>
          </w:p>
        </w:tc>
      </w:tr>
      <w:tr>
        <w:trPr>
          <w:trHeight w:val="243"/>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21"/>
                <w:szCs w:val="21"/>
                <w:color w:val="auto"/>
              </w:rPr>
            </w:pPr>
          </w:p>
        </w:tc>
        <w:tc>
          <w:tcPr>
            <w:tcW w:w="3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March 30, 2020 – March 30, 2021</w:t>
            </w:r>
          </w:p>
        </w:tc>
        <w:tc>
          <w:tcPr>
            <w:tcW w:w="26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17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0"/>
                <w:szCs w:val="20"/>
                <w:color w:val="auto"/>
              </w:rPr>
            </w:pPr>
          </w:p>
        </w:tc>
        <w:tc>
          <w:tcPr>
            <w:tcW w:w="3560" w:type="dxa"/>
            <w:vAlign w:val="bottom"/>
            <w:gridSpan w:val="2"/>
          </w:tcPr>
          <w:p>
            <w:pPr>
              <w:ind w:left="460"/>
              <w:spacing w:after="0"/>
              <w:rPr>
                <w:sz w:val="20"/>
                <w:szCs w:val="20"/>
                <w:color w:val="auto"/>
              </w:rPr>
            </w:pPr>
            <w:r>
              <w:rPr>
                <w:rFonts w:ascii="Arial" w:cs="Arial" w:eastAsia="Arial" w:hAnsi="Arial"/>
                <w:sz w:val="18"/>
                <w:szCs w:val="18"/>
                <w:color w:val="auto"/>
              </w:rPr>
              <w:t>March 30, 2021 – March 30, 2022</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49"/>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March 30, 2022 – March 30, 2023</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0"/>
                <w:szCs w:val="20"/>
                <w:color w:val="auto"/>
              </w:rPr>
            </w:pPr>
          </w:p>
        </w:tc>
        <w:tc>
          <w:tcPr>
            <w:tcW w:w="3560" w:type="dxa"/>
            <w:vAlign w:val="bottom"/>
            <w:gridSpan w:val="2"/>
          </w:tcPr>
          <w:p>
            <w:pPr>
              <w:ind w:left="460"/>
              <w:spacing w:after="0"/>
              <w:rPr>
                <w:sz w:val="20"/>
                <w:szCs w:val="20"/>
                <w:color w:val="auto"/>
              </w:rPr>
            </w:pPr>
            <w:r>
              <w:rPr>
                <w:rFonts w:ascii="Arial" w:cs="Arial" w:eastAsia="Arial" w:hAnsi="Arial"/>
                <w:sz w:val="18"/>
                <w:szCs w:val="18"/>
                <w:color w:val="auto"/>
              </w:rPr>
              <w:t>March 30, 2020 – March 30, 2023</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55%</w:t>
            </w:r>
          </w:p>
        </w:tc>
      </w:tr>
    </w:tbl>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200% of the target PRSUs are eligible to vest. The number of target PRSUs that may be eligible to become vested based on relative TSR performance during each measurement period is interpolated between the applicable performance levels. No PRSUs will be earned for a specific measurement period if TSR is below threshold. Units credited based on TSR for any performance period are subject to continued service through the third anniversary of the grant.</w:t>
      </w:r>
    </w:p>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Ocwen’s TSR during the first measurement period was 87.6%, the 71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percentile of the peer group, which resulted in 141.1% of the target PRSUs assigned to the period becoming eligible to vest, subject to the award recipient’s continued employment through the third anniversary of the grant.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All NEOs received 2020 LTIP awards. With the exception of Mr. Messina’s award, these awards will be cash-settled to avoid share dilution but were granted as share-based units to align final award value with share performance.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account for the volatility of the market at the time of grant and mitigate share dilution, target values were denominated into units based on the 30-trading-day average closing share price ending on the March 30, 2020 grant date of $15.00 rather than the $7.95 closing share price on that date, resulting in a 42% reduction in initial grant date fair value compared to the grant date fair value that would have resulted using $7.95 to determine the number of units subject to the awards.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annual target value opportunities for our NEOs and the grant date fair values of equity awards granted to our NEOs in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Annual</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Annual</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Target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Target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Grant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Variance of</w:t>
            </w: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Variance of</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Granted as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Date Fair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Grant Date</w:t>
            </w: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Granted as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Performance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Annual</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Restricted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Restricted</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Annual</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to Target</w:t>
            </w:r>
          </w:p>
        </w:tc>
        <w:tc>
          <w:tcPr>
            <w:tcW w:w="12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to Target</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Target Value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Units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Units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Value</w:t>
            </w:r>
          </w:p>
        </w:tc>
      </w:tr>
      <w:tr>
        <w:trPr>
          <w:trHeight w:val="24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43"/>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596,250</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1,316,250</w:t>
            </w:r>
          </w:p>
        </w:tc>
        <w:tc>
          <w:tcPr>
            <w:tcW w:w="2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(933,750)</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Scott W. Anderson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79,500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96,000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175,500</w:t>
            </w: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(124,500)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4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 Britti</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86,400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157,950</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(112,050)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380,000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100,700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121,600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222,300</w:t>
            </w: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(157,700)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4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Zeleny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248,625</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(176,375)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RSU and Cash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10, 2020, all NEOs except Mr. Messina received a combination of cash and equity-based awards to bolster incentives encouraging their commitment to the Company during a period in which the Company was evaluating strategic options, and to recognize their exceptional performance navigating the business through the pandemic, returning to profitability, servicing our customers, growing the originations platform, and keeping our workforce engaged and productive.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with the input of its independent consultant, considered a range of variables in determining the structure of these awards, including:</w:t>
      </w:r>
    </w:p>
    <w:p>
      <w:pPr>
        <w:spacing w:after="0" w:line="170" w:lineRule="exact"/>
        <w:rPr>
          <w:sz w:val="20"/>
          <w:szCs w:val="20"/>
          <w:color w:val="auto"/>
        </w:rPr>
      </w:pPr>
    </w:p>
    <w:p>
      <w:pPr>
        <w:ind w:left="66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duration of time that would be needed to ensure that NEOs remained with the Company not only to explore a full range of potential strategic outcomes, but also to execute against their delivery;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retentive and motivational effect of the award, which influenced the mix between cash and restricted stock units;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prevalence of these type of awards.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reviewing these factors, the Compensation Committee determined that it was in the best interests of the Company to lock in the leadership team that has led the Company through the remarkable turn-around over the prior 18 months with awards where the target values were split 70% as cash retention and 30% as cash-settled restricted stock units, with both awards vesting and payable after 18 months, subject to continued employment through such 18-month period. The cash emphasis of the awards mitigated uncertainty in award value that would stem from a yet to be concluded strategic review process. The table below outlines the value of these awards to our NEOs.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Grant Date Fair</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 Granted as</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 Fair</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Total Grant Date</w:t>
            </w: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Restricted Stock</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Value Granted as</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Units</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Cash Awards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Special Awards</w:t>
            </w:r>
          </w:p>
        </w:tc>
      </w:tr>
      <w:tr>
        <w:trPr>
          <w:trHeight w:val="241"/>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r>
      <w:tr>
        <w:trPr>
          <w:trHeight w:val="243"/>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W. Anderson</w:t>
            </w:r>
          </w:p>
        </w:tc>
        <w:tc>
          <w:tcPr>
            <w:tcW w:w="18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149,988</w:t>
            </w:r>
          </w:p>
        </w:tc>
        <w:tc>
          <w:tcPr>
            <w:tcW w:w="28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499,988</w:t>
            </w:r>
          </w:p>
        </w:tc>
        <w:tc>
          <w:tcPr>
            <w:tcW w:w="80" w:type="dxa"/>
            <w:vAlign w:val="bottom"/>
            <w:tcBorders>
              <w:top w:val="single" w:sz="8" w:color="CCEEFF"/>
            </w:tcBorders>
            <w:shd w:val="clear" w:color="auto" w:fill="CCEEFF"/>
          </w:tcPr>
          <w:p>
            <w:pPr>
              <w:spacing w:after="0"/>
              <w:rPr>
                <w:sz w:val="21"/>
                <w:szCs w:val="2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John V. Britti</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116,991</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273,000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389,991</w:t>
            </w:r>
          </w:p>
        </w:tc>
      </w:tr>
      <w:tr>
        <w:trPr>
          <w:trHeight w:val="249"/>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C. Campbell</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101,998</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238,000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339,998</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110,990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259,000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369,990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Prohibition against Short Sales, Hedging and Margin Accounts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have stock ownership requirements for our executives,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an Insider Trading Prevention Policy that governs the timing of transactions in securities of the Company by directors and executives. In addition, this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and engaging in any other transaction that hedges the economic risk associated with the ownership of the Company’s securities. This policy is designed to encourage investment in the Company’s stock for the long term and to discourage active trading or short-term speculation.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maintains an incentive compensation clawback policy that allows our Board of Directors or the Compensation Committee to recoup incentive compensation if the Company restates its financial statements. Under this policy, in the event of a restatement due to intentional misconduct, the Chief Executive Officer and Chief Financial Officer must reimburse or forfeit to the Company the amount of bonus or incentive compensation (whether cash-based or equity-based) such officer received during the fiscal year immediately preceding the year the restatement is determined to be required, to the extent that such bonus or incentive compensation exceeds what the officer would have received based on an applicable restated performance measure or target. In addition, in the event that the Company is required to prepare restated financial statements as a result of intentional misconduct or material noncompliance with financial reporting requirements under securities laws, the Compensation Committee may require reimbursement or forfeiture of the amount of bonus or incentive compensation any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Company’s rights to recoupment under the clawback policy are in addition to any other rights of recoupment under the terms of any equity incentive plan or individual award.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In connection with the special cash awards described above, all of our NEOs (other than Mr. Messina) agreed to</w:t>
      </w:r>
    </w:p>
    <w:p>
      <w:pPr>
        <w:spacing w:after="0" w:line="2" w:lineRule="exact"/>
        <w:rPr>
          <w:sz w:val="20"/>
          <w:szCs w:val="20"/>
          <w:color w:val="auto"/>
        </w:rPr>
      </w:pPr>
    </w:p>
    <w:p>
      <w:pPr>
        <w:jc w:val="both"/>
        <w:ind w:firstLine="8"/>
        <w:spacing w:after="0" w:line="253"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non-compete covenants during their term of employment and (ii) certain covenants relating to the non-solicitation of employees and non-interference with business relationships until September 10, 2023 (whether or not employed by the Company during such period). From time to time, we enter into separation agreements with executive officers that contain non-competition and non-solicitation provisions. In addition, certain of our equity award agreements contain provisions that provide that post-retirement vesting or exercise of the award, as applicable, is dependent on compliance with certain covenants.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2017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2017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Pay-Ratio Disclosure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2020 was $4,587,915 and the median of the total 2020 compensation of all of our employees (including our India and Philippines operations and excluding our CEO) was $35,997 (after applying a cost-of-living adjustment and converting foreign currency to U.S. dollars, as described below). Accordingly, we estimate the cost-of-living-adjusted ratio of our CEO’s total compensation for 2020 to the median of the total 2020 compensation of all of our employees (excluding our CEO) to be 127 to 1.</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the median employee by taking into account the total compensation paid during 2020 to all individuals, excluding our CEO, who were employed by us or one of our subsidiaries on December 31, 2020. We included all employees, whether employed on a full-time, part-time, or seasonal basis. We did not annualize the compensation for any employees who were not employed by us for all of 2020. We applied a cost of living adjustment to employees employed outside of the United States as described below. Once the median employee was identified as described above, that employee’s total compensation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only considered our U.S.-based employees (excluding our CEO) in identifying the median employee using the methodology otherwise described above, we determined that our median U.S.-based employee’s total compensation was $64,001. Accordingly, we estimate the resulting ratio of our CEO’s total compensation to the median of the total compensation of all our U.S.-based employees (excluding our CEO) to be 72 to 1.</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calculating the compensation of our employees in the Philippines, we applied a currency conversion factor based on the U.S. dollar to Philippines Peso exchange rate as of December 31, 2020. In calculating the compensation of our employees in India, we applied a currency conversion factor based on the</w:t>
      </w:r>
    </w:p>
    <w:p>
      <w:pPr>
        <w:jc w:val="both"/>
        <w:spacing w:after="0" w:line="234" w:lineRule="auto"/>
        <w:rPr>
          <w:sz w:val="20"/>
          <w:szCs w:val="20"/>
          <w:color w:val="auto"/>
        </w:rPr>
      </w:pPr>
      <w:r>
        <w:rPr>
          <w:rFonts w:ascii="Arial" w:cs="Arial" w:eastAsia="Arial" w:hAnsi="Arial"/>
          <w:sz w:val="16"/>
          <w:szCs w:val="16"/>
          <w:color w:val="auto"/>
        </w:rPr>
        <w:t>U.S. dollar to Indian Rupee exchange rate as of December 31, 2020.</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permitted under SEC rules, in identifying the median employee and in presenting the median employee’s total 2020 compensation above, we applied a cost-of-living adjustment to the compensation of employees outside the United States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based on a purchasing power parity conversion factor published by The World Bank for 2019.</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$12,398 and we estimate the resulting ratio of our CEO’s total compensation to the median of the total compensation of all of our employees (excluding our CEO) would have been 370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5" w:lineRule="exact"/>
        <w:rPr>
          <w:sz w:val="20"/>
          <w:szCs w:val="20"/>
          <w:color w:val="auto"/>
        </w:rPr>
      </w:pPr>
    </w:p>
    <w:p>
      <w:pPr>
        <w:ind w:firstLine="8"/>
        <w:spacing w:after="0" w:line="194" w:lineRule="auto"/>
        <w:tabs>
          <w:tab w:leader="none" w:pos="123"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As reported by the U.S. Bureau of the Fiscal Service Treasury Reporting Rates of Exchange as of December 31, 2020, the Indian Rupee to U.S. Dollar to conversion rate was 73.03:1 and the Philippines Peso to U.S. Dollar to conversion rate was 48.17:1.</w:t>
      </w:r>
    </w:p>
    <w:p>
      <w:pPr>
        <w:spacing w:after="0" w:line="26" w:lineRule="exact"/>
        <w:rPr>
          <w:sz w:val="20"/>
          <w:szCs w:val="20"/>
          <w:color w:val="auto"/>
        </w:rPr>
      </w:pPr>
    </w:p>
    <w:p>
      <w:pPr>
        <w:jc w:val="both"/>
        <w:ind w:firstLine="8"/>
        <w:spacing w:after="0" w:line="253" w:lineRule="auto"/>
        <w:tabs>
          <w:tab w:leader="none" w:pos="120" w:val="left"/>
        </w:tabs>
        <w:numPr>
          <w:ilvl w:val="0"/>
          <w:numId w:val="46"/>
        </w:numPr>
        <w:rPr>
          <w:rFonts w:ascii="Arial" w:cs="Arial" w:eastAsia="Arial" w:hAnsi="Arial"/>
          <w:sz w:val="27"/>
          <w:szCs w:val="27"/>
          <w:color w:val="auto"/>
          <w:vertAlign w:val="superscript"/>
        </w:rPr>
      </w:pPr>
      <w:r>
        <w:rPr>
          <w:rFonts w:ascii="Arial" w:cs="Arial" w:eastAsia="Arial" w:hAnsi="Arial"/>
          <w:sz w:val="16"/>
          <w:szCs w:val="16"/>
          <w:color w:val="auto"/>
        </w:rPr>
        <w:t>The “price level ratio of PPP conversion factor (GDP) to market exchange rate” published by the World Bank indicates how many U.S. dollars are needed to buy one U.S. dollar’s worth of goods in a particular country. For 2019, the most recent data accessible, the ratios reported for India and the Philippines were 0.3 and 0.4, respectively, meaning the local currency equivalent of $1 purchased $3.33 and $2.50 worth of goods in those countries. Accordingly, we multiplied the 2020 compensation of each employee based in India by 3.33 and in the Philippines by 2.5 prior to identifying the employee with the median of the total compensation and in presenting such employee’s total compensation in order to reflect a cost-of-living adjustment.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Arial" w:cs="Arial" w:eastAsia="Arial" w:hAnsi="Arial"/>
                <w:sz w:val="18"/>
                <w:szCs w:val="18"/>
                <w:color w:val="auto"/>
              </w:rPr>
              <w:t>April 16, 2021</w:t>
            </w:r>
          </w:p>
        </w:tc>
        <w:tc>
          <w:tcPr>
            <w:tcW w:w="7940" w:type="dxa"/>
            <w:vAlign w:val="bottom"/>
          </w:tcPr>
          <w:p>
            <w:pPr>
              <w:ind w:left="2320"/>
              <w:spacing w:after="0"/>
              <w:rPr>
                <w:sz w:val="20"/>
                <w:szCs w:val="20"/>
                <w:color w:val="auto"/>
              </w:rPr>
            </w:pPr>
            <w:r>
              <w:rPr>
                <w:rFonts w:ascii="Arial" w:cs="Arial" w:eastAsia="Arial" w:hAnsi="Arial"/>
                <w:sz w:val="18"/>
                <w:szCs w:val="18"/>
                <w:b w:val="1"/>
                <w:bCs w:val="1"/>
                <w:color w:val="auto"/>
              </w:rPr>
              <w:t>Compensation Committee: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rPr>
              <w:t>DeForest B. Soaries, Jr., Chair</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rPr>
              <w:t>Jenne K. Britell, Director</w:t>
            </w:r>
          </w:p>
        </w:tc>
      </w:tr>
      <w:tr>
        <w:trPr>
          <w:trHeight w:val="230"/>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rPr>
              <w:t>Jacques J. Busquet, Director</w:t>
            </w:r>
          </w:p>
        </w:tc>
      </w:tr>
      <w:tr>
        <w:trPr>
          <w:trHeight w:val="439"/>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Summary Compensation Table - 2018, 2019 and 2020</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the compensation of our named executive officers for the 2020, 2019 and 2018 fiscal years.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Non-Equity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Incentive Plan</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All Other</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960" w:type="dxa"/>
            <w:vAlign w:val="bottom"/>
            <w:gridSpan w:val="2"/>
          </w:tcPr>
          <w:p>
            <w:pPr>
              <w:jc w:val="center"/>
              <w:ind w:right="260"/>
              <w:spacing w:after="0" w:line="252" w:lineRule="exact"/>
              <w:rPr>
                <w:sz w:val="20"/>
                <w:szCs w:val="20"/>
                <w:color w:val="auto"/>
              </w:rPr>
            </w:pPr>
            <w:r>
              <w:rPr>
                <w:rFonts w:ascii="Arial" w:cs="Arial" w:eastAsia="Arial" w:hAnsi="Arial"/>
                <w:sz w:val="18"/>
                <w:szCs w:val="18"/>
                <w:b w:val="1"/>
                <w:bCs w:val="1"/>
                <w:color w:val="auto"/>
                <w:w w:val="82"/>
              </w:rPr>
              <w:t>Bonus</w:t>
            </w:r>
            <w:r>
              <w:rPr>
                <w:rFonts w:ascii="Arial" w:cs="Arial" w:eastAsia="Arial" w:hAnsi="Arial"/>
                <w:sz w:val="29"/>
                <w:szCs w:val="29"/>
                <w:b w:val="1"/>
                <w:bCs w:val="1"/>
                <w:color w:val="auto"/>
                <w:w w:val="82"/>
                <w:vertAlign w:val="superscript"/>
              </w:rPr>
              <w:t>(1)</w:t>
            </w:r>
          </w:p>
        </w:tc>
        <w:tc>
          <w:tcPr>
            <w:tcW w:w="960" w:type="dxa"/>
            <w:vAlign w:val="bottom"/>
            <w:gridSpan w:val="2"/>
          </w:tcPr>
          <w:p>
            <w:pPr>
              <w:jc w:val="center"/>
              <w:ind w:right="120"/>
              <w:spacing w:after="0" w:line="252"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(2)</w:t>
            </w:r>
          </w:p>
        </w:tc>
        <w:tc>
          <w:tcPr>
            <w:tcW w:w="1140" w:type="dxa"/>
            <w:vAlign w:val="bottom"/>
            <w:gridSpan w:val="3"/>
          </w:tcPr>
          <w:p>
            <w:pPr>
              <w:jc w:val="center"/>
              <w:ind w:right="140"/>
              <w:spacing w:after="0" w:line="252"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(2)</w:t>
            </w:r>
          </w:p>
        </w:tc>
        <w:tc>
          <w:tcPr>
            <w:tcW w:w="1540" w:type="dxa"/>
            <w:vAlign w:val="bottom"/>
            <w:gridSpan w:val="2"/>
          </w:tcPr>
          <w:p>
            <w:pPr>
              <w:jc w:val="center"/>
              <w:ind w:right="260"/>
              <w:spacing w:after="0" w:line="252" w:lineRule="exact"/>
              <w:rPr>
                <w:sz w:val="20"/>
                <w:szCs w:val="20"/>
                <w:color w:val="auto"/>
              </w:rPr>
            </w:pPr>
            <w:r>
              <w:rPr>
                <w:rFonts w:ascii="Arial" w:cs="Arial" w:eastAsia="Arial" w:hAnsi="Arial"/>
                <w:sz w:val="18"/>
                <w:szCs w:val="18"/>
                <w:b w:val="1"/>
                <w:bCs w:val="1"/>
                <w:color w:val="auto"/>
                <w:w w:val="86"/>
              </w:rPr>
              <w:t>Compensation</w:t>
            </w:r>
            <w:r>
              <w:rPr>
                <w:rFonts w:ascii="Arial" w:cs="Arial" w:eastAsia="Arial" w:hAnsi="Arial"/>
                <w:sz w:val="29"/>
                <w:szCs w:val="29"/>
                <w:b w:val="1"/>
                <w:bCs w:val="1"/>
                <w:color w:val="auto"/>
                <w:w w:val="86"/>
                <w:vertAlign w:val="superscript"/>
              </w:rPr>
              <w:t>(3)</w:t>
            </w:r>
          </w:p>
        </w:tc>
        <w:tc>
          <w:tcPr>
            <w:tcW w:w="1560" w:type="dxa"/>
            <w:vAlign w:val="bottom"/>
            <w:gridSpan w:val="2"/>
          </w:tcPr>
          <w:p>
            <w:pPr>
              <w:jc w:val="center"/>
              <w:ind w:right="240"/>
              <w:spacing w:after="0" w:line="252" w:lineRule="exact"/>
              <w:rPr>
                <w:sz w:val="20"/>
                <w:szCs w:val="20"/>
                <w:color w:val="auto"/>
              </w:rPr>
            </w:pPr>
            <w:r>
              <w:rPr>
                <w:rFonts w:ascii="Arial" w:cs="Arial" w:eastAsia="Arial" w:hAnsi="Arial"/>
                <w:sz w:val="18"/>
                <w:szCs w:val="18"/>
                <w:b w:val="1"/>
                <w:bCs w:val="1"/>
                <w:color w:val="auto"/>
                <w:w w:val="86"/>
              </w:rPr>
              <w:t>Compensation</w:t>
            </w:r>
            <w:r>
              <w:rPr>
                <w:rFonts w:ascii="Arial" w:cs="Arial" w:eastAsia="Arial" w:hAnsi="Arial"/>
                <w:sz w:val="29"/>
                <w:szCs w:val="29"/>
                <w:b w:val="1"/>
                <w:bCs w:val="1"/>
                <w:color w:val="auto"/>
                <w:w w:val="86"/>
                <w:vertAlign w:val="superscript"/>
              </w:rPr>
              <w:t>(4)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w w:val="90"/>
              </w:rPr>
              <w:t>Name and Principal Position</w:t>
            </w:r>
          </w:p>
        </w:tc>
        <w:tc>
          <w:tcPr>
            <w:tcW w:w="16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20"/>
                <w:szCs w:val="20"/>
                <w:color w:val="auto"/>
              </w:rPr>
            </w:pPr>
          </w:p>
        </w:tc>
        <w:tc>
          <w:tcPr>
            <w:tcW w:w="8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Glen A. Messina</w:t>
            </w:r>
          </w:p>
        </w:tc>
        <w:tc>
          <w:tcPr>
            <w:tcW w:w="1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900,000</w:t>
            </w:r>
          </w:p>
        </w:tc>
        <w:tc>
          <w:tcPr>
            <w:tcW w:w="26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590,779</w:t>
            </w:r>
          </w:p>
        </w:tc>
        <w:tc>
          <w:tcPr>
            <w:tcW w:w="2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1,316,250</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1,772,336</w:t>
            </w:r>
          </w:p>
        </w:tc>
        <w:tc>
          <w:tcPr>
            <w:tcW w:w="24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2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4,587,915</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900,000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2,518,950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1,529,974</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2,613,406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7,562,330</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214,615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4,050,001</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791,035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213,966</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1,690,804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6,960,421</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June C. Campbell</w:t>
            </w:r>
          </w:p>
        </w:tc>
        <w:tc>
          <w:tcPr>
            <w:tcW w:w="9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475,000</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324,298</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705,375</w:t>
            </w:r>
          </w:p>
        </w:tc>
        <w:tc>
          <w:tcPr>
            <w:tcW w:w="15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137,089</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1,641,762</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980" w:type="dxa"/>
            <w:vAlign w:val="bottom"/>
            <w:gridSpan w:val="3"/>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156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and Chief Financial Officer</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370,673</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253,757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153,986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51,432</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468,583</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1,418,545</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Scott W. Anderson</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23,625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325,488</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675,000</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1,524,113</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538,002</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592,207</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1,630,208</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Chief Servicing Officer</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314,236</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814,236</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Dennis Zeleny</w:t>
            </w:r>
          </w:p>
        </w:tc>
        <w:tc>
          <w:tcPr>
            <w:tcW w:w="9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431,635</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162,172</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359,615</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486,516</w:t>
            </w:r>
          </w:p>
        </w:tc>
        <w:tc>
          <w:tcPr>
            <w:tcW w:w="15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3,136</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1,443,074</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980" w:type="dxa"/>
            <w:vAlign w:val="bottom"/>
            <w:gridSpan w:val="3"/>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156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and Chief Administrative</w:t>
            </w:r>
          </w:p>
        </w:tc>
        <w:tc>
          <w:tcPr>
            <w:tcW w:w="9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2019</w:t>
            </w:r>
          </w:p>
        </w:tc>
        <w:tc>
          <w:tcPr>
            <w:tcW w:w="9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176,539</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409,539</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163,879</w:t>
            </w:r>
          </w:p>
        </w:tc>
        <w:tc>
          <w:tcPr>
            <w:tcW w:w="15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426,000</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1,525,956</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980" w:type="dxa"/>
            <w:vAlign w:val="bottom"/>
            <w:gridSpan w:val="3"/>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156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John V. Britti</w:t>
            </w:r>
          </w:p>
        </w:tc>
        <w:tc>
          <w:tcPr>
            <w:tcW w:w="9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450,000</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95,580</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274,941</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607,500</w:t>
            </w:r>
          </w:p>
        </w:tc>
        <w:tc>
          <w:tcPr>
            <w:tcW w:w="15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8,896</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1,436,918</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980" w:type="dxa"/>
            <w:vAlign w:val="bottom"/>
            <w:gridSpan w:val="3"/>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156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and Chief Investment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450,000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484,201</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472,901</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1,415,744</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450,000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450,001</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264,771</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1,320,072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Amounts for 2020 represent lump-sum bonuses paid to our NEOs (other than Ms. Campbell) approved by the Compensation Committee to reward such executives for exceptional performance.</w:t>
      </w:r>
    </w:p>
    <w:p>
      <w:pPr>
        <w:jc w:val="both"/>
        <w:ind w:left="340" w:hanging="332"/>
        <w:spacing w:after="0" w:line="263" w:lineRule="auto"/>
        <w:tabs>
          <w:tab w:leader="none" w:pos="340" w:val="left"/>
        </w:tabs>
        <w:numPr>
          <w:ilvl w:val="0"/>
          <w:numId w:val="47"/>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grant date fair value of stock awards and stock options, computed in accordance with FASB ASC 718. These amounts do not represent the actual amounts paid to or realized by the executive. We based the grant date fair value of stock awards with a service condition on the closing prices of our common stock as reported on the New York Stock Exchange on the date of grant of the awards. The grant date fair value of stock unit awards with both a service condition and a market-based vesting condition is based on the output of a Monte Carlo simulation. Additional detail regarding the calculation of these values is included in Note 22 to our audited financial statements for the fiscal year ended December 31, 2020, which are included in our Annual Report on Form 10-K filed with the Securities and Exchange Commission on February 19, 2021. As to the stock awards granted in 2020 with market-based vesting conditions, the grant date fair value of each of these awards (calculated based on the output of a Monte Carlo simulation, which is the value of these awards included in the Summary Compensation Table above) is presented in the “Grants of Plan-Based Awards for 2020” table below, and the value of these awards assuming that the highest level of performance conditions will be achieved is $1,192,500 for Mr. Messina, $201,400 for Ms. Campbell, $159,000 for Mr. Anderson, $225,250 for Mr. Zeleny and $143,100 for Mr. Britti.</w:t>
      </w:r>
    </w:p>
    <w:p>
      <w:pPr>
        <w:spacing w:after="0" w:line="5" w:lineRule="exact"/>
        <w:rPr>
          <w:rFonts w:ascii="Arial" w:cs="Arial" w:eastAsia="Arial" w:hAnsi="Arial"/>
          <w:sz w:val="27"/>
          <w:szCs w:val="27"/>
          <w:color w:val="auto"/>
          <w:vertAlign w:val="superscript"/>
        </w:rPr>
      </w:pPr>
    </w:p>
    <w:p>
      <w:pPr>
        <w:ind w:left="340" w:hanging="332"/>
        <w:spacing w:after="0" w:line="180"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Represents annual incentive compensation earned in the corresponding year and paid in the first quarter of the following year.</w:t>
      </w:r>
    </w:p>
    <w:p>
      <w:pPr>
        <w:spacing w:after="0" w:line="2" w:lineRule="exact"/>
        <w:rPr>
          <w:rFonts w:ascii="Arial" w:cs="Arial" w:eastAsia="Arial" w:hAnsi="Arial"/>
          <w:sz w:val="25"/>
          <w:szCs w:val="25"/>
          <w:color w:val="auto"/>
          <w:vertAlign w:val="superscript"/>
        </w:rPr>
      </w:pPr>
    </w:p>
    <w:p>
      <w:pPr>
        <w:ind w:left="340" w:hanging="332"/>
        <w:spacing w:after="0" w:line="194" w:lineRule="auto"/>
        <w:tabs>
          <w:tab w:leader="none" w:pos="340" w:val="left"/>
        </w:tabs>
        <w:numPr>
          <w:ilvl w:val="0"/>
          <w:numId w:val="47"/>
        </w:numPr>
        <w:rPr>
          <w:rFonts w:ascii="Arial" w:cs="Arial" w:eastAsia="Arial" w:hAnsi="Arial"/>
          <w:sz w:val="23"/>
          <w:szCs w:val="23"/>
          <w:color w:val="auto"/>
          <w:vertAlign w:val="superscript"/>
        </w:rPr>
      </w:pPr>
      <w:r>
        <w:rPr>
          <w:rFonts w:ascii="Arial" w:cs="Arial" w:eastAsia="Arial" w:hAnsi="Arial"/>
          <w:sz w:val="15"/>
          <w:szCs w:val="15"/>
          <w:color w:val="auto"/>
        </w:rPr>
        <w:t>Amounts shown in this column are set forth in the supplemental “All Other Compensation” table below.</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additional information about the amounts that appear in the “All Other Compensation” column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401(k) Matching</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center"/>
              <w:ind w:right="280"/>
              <w:spacing w:after="0" w:line="252" w:lineRule="exact"/>
              <w:rPr>
                <w:sz w:val="20"/>
                <w:szCs w:val="20"/>
                <w:color w:val="auto"/>
              </w:rPr>
            </w:pPr>
            <w:r>
              <w:rPr>
                <w:rFonts w:ascii="Arial" w:cs="Arial" w:eastAsia="Arial" w:hAnsi="Arial"/>
                <w:sz w:val="18"/>
                <w:szCs w:val="18"/>
                <w:b w:val="1"/>
                <w:bCs w:val="1"/>
                <w:color w:val="auto"/>
                <w:w w:val="88"/>
              </w:rPr>
              <w:t>Contributions</w:t>
            </w:r>
            <w:r>
              <w:rPr>
                <w:rFonts w:ascii="Arial" w:cs="Arial" w:eastAsia="Arial" w:hAnsi="Arial"/>
                <w:sz w:val="29"/>
                <w:szCs w:val="29"/>
                <w:b w:val="1"/>
                <w:bCs w:val="1"/>
                <w:color w:val="auto"/>
                <w:w w:val="88"/>
                <w:vertAlign w:val="superscript"/>
              </w:rPr>
              <w:t>(1)</w:t>
            </w: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Other</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41"/>
        </w:trPr>
        <w:tc>
          <w:tcPr>
            <w:tcW w:w="4320" w:type="dxa"/>
            <w:vAlign w:val="bottom"/>
            <w:gridSpan w:val="2"/>
          </w:tcPr>
          <w:p>
            <w:pPr>
              <w:ind w:left="1400"/>
              <w:spacing w:after="0"/>
              <w:rPr>
                <w:sz w:val="20"/>
                <w:szCs w:val="20"/>
                <w:color w:val="auto"/>
              </w:rPr>
            </w:pPr>
            <w:r>
              <w:rPr>
                <w:rFonts w:ascii="Arial" w:cs="Arial" w:eastAsia="Arial" w:hAnsi="Arial"/>
                <w:sz w:val="18"/>
                <w:szCs w:val="18"/>
                <w:b w:val="1"/>
                <w:bCs w:val="1"/>
                <w:color w:val="auto"/>
              </w:rPr>
              <w:t>Executive Officer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43"/>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18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28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80" w:type="dxa"/>
            <w:vAlign w:val="bottom"/>
            <w:tcBorders>
              <w:top w:val="single" w:sz="8" w:color="CCEEFF"/>
            </w:tcBorders>
            <w:shd w:val="clear" w:color="auto" w:fill="CCEEFF"/>
          </w:tcPr>
          <w:p>
            <w:pPr>
              <w:spacing w:after="0"/>
              <w:rPr>
                <w:sz w:val="21"/>
                <w:szCs w:val="21"/>
                <w:color w:val="auto"/>
              </w:rPr>
            </w:pPr>
          </w:p>
        </w:tc>
      </w:tr>
      <w:tr>
        <w:trPr>
          <w:trHeight w:val="283"/>
        </w:trPr>
        <w:tc>
          <w:tcPr>
            <w:tcW w:w="4320" w:type="dxa"/>
            <w:vAlign w:val="bottom"/>
            <w:gridSpan w:val="2"/>
          </w:tcPr>
          <w:p>
            <w:pPr>
              <w:spacing w:after="0" w:line="284" w:lineRule="exact"/>
              <w:rPr>
                <w:sz w:val="20"/>
                <w:szCs w:val="20"/>
                <w:color w:val="auto"/>
              </w:rPr>
            </w:pPr>
            <w:r>
              <w:rPr>
                <w:rFonts w:ascii="Arial" w:cs="Arial" w:eastAsia="Arial" w:hAnsi="Arial"/>
                <w:sz w:val="18"/>
                <w:szCs w:val="18"/>
                <w:color w:val="auto"/>
              </w:rPr>
              <w:t>June C. Campbell</w:t>
            </w:r>
            <w:r>
              <w:rPr>
                <w:rFonts w:ascii="Arial" w:cs="Arial" w:eastAsia="Arial" w:hAnsi="Arial"/>
                <w:sz w:val="29"/>
                <w:szCs w:val="29"/>
                <w:color w:val="auto"/>
                <w:vertAlign w:val="superscript"/>
              </w:rPr>
              <w:t>(2)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7,673</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129,415</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137,089</w:t>
            </w:r>
          </w:p>
        </w:tc>
      </w:tr>
      <w:tr>
        <w:trPr>
          <w:trHeight w:val="243"/>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W. Anderson</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3,136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3,136</w:t>
            </w:r>
          </w:p>
        </w:tc>
      </w:tr>
      <w:tr>
        <w:trPr>
          <w:trHeight w:val="290"/>
        </w:trPr>
        <w:tc>
          <w:tcPr>
            <w:tcW w:w="4320" w:type="dxa"/>
            <w:vAlign w:val="bottom"/>
            <w:gridSpan w:val="2"/>
            <w:shd w:val="clear" w:color="auto" w:fill="CCEEFF"/>
          </w:tcPr>
          <w:p>
            <w:pPr>
              <w:spacing w:after="0" w:line="290" w:lineRule="exact"/>
              <w:rPr>
                <w:sz w:val="20"/>
                <w:szCs w:val="20"/>
                <w:color w:val="auto"/>
              </w:rPr>
            </w:pPr>
            <w:r>
              <w:rPr>
                <w:rFonts w:ascii="Arial" w:cs="Arial" w:eastAsia="Arial" w:hAnsi="Arial"/>
                <w:sz w:val="18"/>
                <w:szCs w:val="18"/>
                <w:color w:val="auto"/>
              </w:rPr>
              <w:t>John V. Britti</w:t>
            </w:r>
            <w:r>
              <w:rPr>
                <w:rFonts w:ascii="Arial" w:cs="Arial" w:eastAsia="Arial" w:hAnsi="Arial"/>
                <w:sz w:val="29"/>
                <w:szCs w:val="29"/>
                <w:color w:val="auto"/>
                <w:vertAlign w:val="superscript"/>
              </w:rPr>
              <w:t>(3)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8,550</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8,896</w:t>
            </w:r>
          </w:p>
        </w:tc>
      </w:tr>
    </w:tbl>
    <w:p>
      <w:pPr>
        <w:spacing w:after="0" w:line="8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Reflects employer matching contributions made under the Ocwen Financial Corporation 401(k) Savings Plan.</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“Other” reflects the value of temporary commuting and relocation benefits paid under the Ocwen Relocation Plan pursuant to Ms. Campbell’s March 4, 2019 offer letter, including amounts to gross-up for taxable expenses.</w:t>
      </w:r>
    </w:p>
    <w:p>
      <w:pPr>
        <w:ind w:left="340" w:hanging="332"/>
        <w:spacing w:after="0" w:line="180"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“Other” reflects the value of stipends to cover telecommuting expenses under a program that was discontinued in May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241"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Grants of Plan-Based Awards for 2020</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provides information related to awards granted in 2020 under our 2017 Performance Incentive Plan and our 1998 Annual Incentive Plan, as amended. Unit counts for awards granted prior to the August 13, 2020 reverse stock split have been adjusted proportionate to the 1:15 split ratio.</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All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All Other</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89"/>
              </w:rPr>
              <w:t>Estimated Possible Payouts</w:t>
            </w:r>
          </w:p>
        </w:tc>
        <w:tc>
          <w:tcPr>
            <w:tcW w:w="140" w:type="dxa"/>
            <w:vAlign w:val="bottom"/>
          </w:tcPr>
          <w:p>
            <w:pPr>
              <w:spacing w:after="0"/>
              <w:rPr>
                <w:sz w:val="17"/>
                <w:szCs w:val="17"/>
                <w:color w:val="auto"/>
              </w:rPr>
            </w:pPr>
          </w:p>
        </w:tc>
        <w:tc>
          <w:tcPr>
            <w:tcW w:w="2440" w:type="dxa"/>
            <w:vAlign w:val="bottom"/>
            <w:gridSpan w:val="6"/>
            <w:vMerge w:val="restart"/>
          </w:tcPr>
          <w:p>
            <w:pPr>
              <w:jc w:val="center"/>
              <w:ind w:right="160"/>
              <w:spacing w:after="0"/>
              <w:rPr>
                <w:sz w:val="20"/>
                <w:szCs w:val="20"/>
                <w:color w:val="auto"/>
              </w:rPr>
            </w:pPr>
            <w:r>
              <w:rPr>
                <w:rFonts w:ascii="Arial" w:cs="Arial" w:eastAsia="Arial" w:hAnsi="Arial"/>
                <w:sz w:val="16"/>
                <w:szCs w:val="16"/>
                <w:b w:val="1"/>
                <w:bCs w:val="1"/>
                <w:color w:val="auto"/>
                <w:w w:val="91"/>
              </w:rPr>
              <w:t>Estimated Future Payouts</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Awards:</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85"/>
              </w:rPr>
              <w:t>Exercise</w:t>
            </w:r>
          </w:p>
        </w:tc>
        <w:tc>
          <w:tcPr>
            <w:tcW w:w="18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vMerge w:val="continue"/>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line="162" w:lineRule="exact"/>
              <w:rPr>
                <w:sz w:val="20"/>
                <w:szCs w:val="20"/>
                <w:color w:val="auto"/>
              </w:rPr>
            </w:pPr>
            <w:r>
              <w:rPr>
                <w:rFonts w:ascii="Arial" w:cs="Arial" w:eastAsia="Arial" w:hAnsi="Arial"/>
                <w:sz w:val="16"/>
                <w:szCs w:val="16"/>
                <w:b w:val="1"/>
                <w:bCs w:val="1"/>
                <w:color w:val="auto"/>
                <w:w w:val="94"/>
              </w:rPr>
              <w:t>Number of</w:t>
            </w:r>
          </w:p>
        </w:tc>
        <w:tc>
          <w:tcPr>
            <w:tcW w:w="5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91"/>
              </w:rPr>
              <w:t>or Base</w:t>
            </w:r>
          </w:p>
        </w:tc>
        <w:tc>
          <w:tcPr>
            <w:tcW w:w="180" w:type="dxa"/>
            <w:vAlign w:val="bottom"/>
          </w:tcPr>
          <w:p>
            <w:pPr>
              <w:spacing w:after="0"/>
              <w:rPr>
                <w:sz w:val="14"/>
                <w:szCs w:val="14"/>
                <w:color w:val="auto"/>
              </w:rPr>
            </w:pPr>
          </w:p>
        </w:tc>
        <w:tc>
          <w:tcPr>
            <w:tcW w:w="7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5"/>
              </w:rPr>
              <w:t>Under Non-Equity</w:t>
            </w:r>
          </w:p>
        </w:tc>
        <w:tc>
          <w:tcPr>
            <w:tcW w:w="140" w:type="dxa"/>
            <w:vAlign w:val="bottom"/>
          </w:tcPr>
          <w:p>
            <w:pPr>
              <w:spacing w:after="0"/>
              <w:rPr>
                <w:sz w:val="17"/>
                <w:szCs w:val="17"/>
                <w:color w:val="auto"/>
              </w:rPr>
            </w:pPr>
          </w:p>
        </w:tc>
        <w:tc>
          <w:tcPr>
            <w:tcW w:w="244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6"/>
              </w:rPr>
              <w:t>Under Equity</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Securities</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1"/>
              </w:rPr>
              <w:t>Price of</w:t>
            </w:r>
          </w:p>
        </w:tc>
        <w:tc>
          <w:tcPr>
            <w:tcW w:w="940" w:type="dxa"/>
            <w:vAlign w:val="bottom"/>
            <w:gridSpan w:val="3"/>
          </w:tcPr>
          <w:p>
            <w:pPr>
              <w:jc w:val="center"/>
              <w:ind w:left="20"/>
              <w:spacing w:after="0"/>
              <w:rPr>
                <w:sz w:val="20"/>
                <w:szCs w:val="20"/>
                <w:color w:val="auto"/>
              </w:rPr>
            </w:pPr>
            <w:r>
              <w:rPr>
                <w:rFonts w:ascii="Arial" w:cs="Arial" w:eastAsia="Arial" w:hAnsi="Arial"/>
                <w:sz w:val="16"/>
                <w:szCs w:val="16"/>
                <w:b w:val="1"/>
                <w:bCs w:val="1"/>
                <w:color w:val="auto"/>
                <w:w w:val="88"/>
              </w:rPr>
              <w:t>Stock and</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00" w:type="dxa"/>
            <w:vAlign w:val="bottom"/>
            <w:tcBorders>
              <w:bottom w:val="single" w:sz="8" w:color="auto"/>
            </w:tcBorders>
            <w:gridSpan w:val="5"/>
          </w:tcPr>
          <w:p>
            <w:pPr>
              <w:jc w:val="center"/>
              <w:spacing w:after="0" w:line="243" w:lineRule="exact"/>
              <w:rPr>
                <w:sz w:val="20"/>
                <w:szCs w:val="20"/>
                <w:color w:val="auto"/>
              </w:rPr>
            </w:pPr>
            <w:r>
              <w:rPr>
                <w:rFonts w:ascii="Arial" w:cs="Arial" w:eastAsia="Arial" w:hAnsi="Arial"/>
                <w:sz w:val="16"/>
                <w:szCs w:val="16"/>
                <w:b w:val="1"/>
                <w:bCs w:val="1"/>
                <w:color w:val="auto"/>
                <w:w w:val="90"/>
              </w:rPr>
              <w:t>Incentive Plan Awards</w:t>
            </w:r>
            <w:r>
              <w:rPr>
                <w:rFonts w:ascii="Arial" w:cs="Arial" w:eastAsia="Arial" w:hAnsi="Arial"/>
                <w:sz w:val="26"/>
                <w:szCs w:val="26"/>
                <w:b w:val="1"/>
                <w:bCs w:val="1"/>
                <w:color w:val="auto"/>
                <w:w w:val="90"/>
                <w:vertAlign w:val="superscript"/>
              </w:rPr>
              <w:t>(1)</w:t>
            </w:r>
          </w:p>
        </w:tc>
        <w:tc>
          <w:tcPr>
            <w:tcW w:w="140" w:type="dxa"/>
            <w:vAlign w:val="bottom"/>
          </w:tcPr>
          <w:p>
            <w:pPr>
              <w:spacing w:after="0"/>
              <w:rPr>
                <w:sz w:val="21"/>
                <w:szCs w:val="21"/>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1"/>
              </w:rPr>
              <w:t>Incentive Plan Awards</w:t>
            </w:r>
          </w:p>
        </w:tc>
        <w:tc>
          <w:tcPr>
            <w:tcW w:w="1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1"/>
              </w:rPr>
              <w:t>of Stock</w:t>
            </w:r>
          </w:p>
        </w:tc>
        <w:tc>
          <w:tcPr>
            <w:tcW w:w="11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Underlying</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1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c>
          <w:tcPr>
            <w:tcW w:w="20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Threshold</w:t>
            </w: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Target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Maximum</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Threshold</w:t>
            </w:r>
          </w:p>
        </w:tc>
        <w:tc>
          <w:tcPr>
            <w:tcW w:w="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Target</w:t>
            </w: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Maximum</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5"/>
              </w:rPr>
              <w:t>or Units</w:t>
            </w: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Options</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3"/>
              </w:rPr>
              <w:t>Awards</w:t>
            </w:r>
          </w:p>
        </w:tc>
        <w:tc>
          <w:tcPr>
            <w:tcW w:w="180" w:type="dxa"/>
            <w:vAlign w:val="bottom"/>
          </w:tcPr>
          <w:p>
            <w:pPr>
              <w:spacing w:after="0"/>
              <w:rPr>
                <w:sz w:val="18"/>
                <w:szCs w:val="18"/>
                <w:color w:val="auto"/>
              </w:rPr>
            </w:pPr>
          </w:p>
        </w:tc>
        <w:tc>
          <w:tcPr>
            <w:tcW w:w="760" w:type="dxa"/>
            <w:vAlign w:val="bottom"/>
            <w:gridSpan w:val="2"/>
          </w:tcPr>
          <w:p>
            <w:pPr>
              <w:jc w:val="center"/>
              <w:ind w:right="80"/>
              <w:spacing w:after="0" w:line="216" w:lineRule="exact"/>
              <w:rPr>
                <w:sz w:val="20"/>
                <w:szCs w:val="20"/>
                <w:color w:val="auto"/>
              </w:rPr>
            </w:pPr>
            <w:r>
              <w:rPr>
                <w:rFonts w:ascii="Arial" w:cs="Arial" w:eastAsia="Arial" w:hAnsi="Arial"/>
                <w:sz w:val="16"/>
                <w:szCs w:val="16"/>
                <w:b w:val="1"/>
                <w:bCs w:val="1"/>
                <w:color w:val="auto"/>
                <w:w w:val="86"/>
              </w:rPr>
              <w:t>Awards</w:t>
            </w:r>
            <w:r>
              <w:rPr>
                <w:rFonts w:ascii="Arial" w:cs="Arial" w:eastAsia="Arial" w:hAnsi="Arial"/>
                <w:sz w:val="25"/>
                <w:szCs w:val="25"/>
                <w:b w:val="1"/>
                <w:bCs w:val="1"/>
                <w:color w:val="auto"/>
                <w:w w:val="86"/>
                <w:vertAlign w:val="superscript"/>
              </w:rPr>
              <w:t>(2)</w:t>
            </w:r>
          </w:p>
        </w:tc>
        <w:tc>
          <w:tcPr>
            <w:tcW w:w="0" w:type="dxa"/>
            <w:vAlign w:val="bottom"/>
          </w:tcPr>
          <w:p>
            <w:pPr>
              <w:spacing w:after="0"/>
              <w:rPr>
                <w:sz w:val="1"/>
                <w:szCs w:val="1"/>
                <w:color w:val="auto"/>
              </w:rPr>
            </w:pPr>
          </w:p>
        </w:tc>
      </w:tr>
      <w:tr>
        <w:trPr>
          <w:trHeight w:val="223"/>
        </w:trPr>
        <w:tc>
          <w:tcPr>
            <w:tcW w:w="1920" w:type="dxa"/>
            <w:vAlign w:val="bottom"/>
          </w:tcPr>
          <w:p>
            <w:pPr>
              <w:ind w:left="760"/>
              <w:spacing w:after="0"/>
              <w:rPr>
                <w:sz w:val="20"/>
                <w:szCs w:val="20"/>
                <w:color w:val="auto"/>
              </w:rPr>
            </w:pPr>
            <w:r>
              <w:rPr>
                <w:rFonts w:ascii="Arial" w:cs="Arial" w:eastAsia="Arial" w:hAnsi="Arial"/>
                <w:sz w:val="16"/>
                <w:szCs w:val="16"/>
                <w:b w:val="1"/>
                <w:bCs w:val="1"/>
                <w:color w:val="auto"/>
              </w:rPr>
              <w:t>Name</w:t>
            </w:r>
          </w:p>
        </w:tc>
        <w:tc>
          <w:tcPr>
            <w:tcW w:w="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70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60" w:type="dxa"/>
            <w:vAlign w:val="bottom"/>
          </w:tcPr>
          <w:p>
            <w:pPr>
              <w:spacing w:after="0"/>
              <w:rPr>
                <w:sz w:val="19"/>
                <w:szCs w:val="19"/>
                <w:color w:val="auto"/>
              </w:rPr>
            </w:pPr>
          </w:p>
        </w:tc>
        <w:tc>
          <w:tcPr>
            <w:tcW w:w="72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96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center"/>
              <w:ind w:left="80"/>
              <w:spacing w:after="0"/>
              <w:rPr>
                <w:sz w:val="20"/>
                <w:szCs w:val="20"/>
                <w:color w:val="auto"/>
              </w:rPr>
            </w:pPr>
            <w:r>
              <w:rPr>
                <w:rFonts w:ascii="Arial" w:cs="Arial" w:eastAsia="Arial" w:hAnsi="Arial"/>
                <w:sz w:val="16"/>
                <w:szCs w:val="16"/>
                <w:b w:val="1"/>
                <w:bCs w:val="1"/>
                <w:color w:val="auto"/>
                <w:w w:val="9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5"/>
                <w:szCs w:val="15"/>
                <w:color w:val="auto"/>
              </w:rPr>
              <w:t>Glen A. Messina</w:t>
            </w: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5"/>
                <w:szCs w:val="15"/>
                <w:color w:val="auto"/>
                <w:w w:val="95"/>
              </w:rPr>
              <w:t>3/30/2020</w:t>
            </w:r>
          </w:p>
        </w:tc>
        <w:tc>
          <w:tcPr>
            <w:tcW w:w="2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40"/>
              <w:spacing w:after="0" w:line="135" w:lineRule="exact"/>
              <w:rPr>
                <w:sz w:val="20"/>
                <w:szCs w:val="20"/>
                <w:color w:val="auto"/>
              </w:rPr>
            </w:pPr>
            <w:r>
              <w:rPr>
                <w:rFonts w:ascii="Arial" w:cs="Arial" w:eastAsia="Arial" w:hAnsi="Arial"/>
                <w:sz w:val="15"/>
                <w:szCs w:val="15"/>
                <w:color w:val="auto"/>
                <w:w w:val="93"/>
              </w:rPr>
              <w:t>—</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37,500</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75,000</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150,000</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720,000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(4)</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596,250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1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6/30/2020</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590,779</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1,181,557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1,772,336</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June C. Campbell</w:t>
            </w:r>
          </w:p>
        </w:tc>
        <w:tc>
          <w:tcPr>
            <w:tcW w:w="780" w:type="dxa"/>
            <w:vAlign w:val="bottom"/>
            <w:gridSpan w:val="2"/>
            <w:shd w:val="clear" w:color="auto" w:fill="CCEEFF"/>
          </w:tcPr>
          <w:p>
            <w:pPr>
              <w:jc w:val="center"/>
              <w:ind w:left="64"/>
              <w:spacing w:after="0" w:line="135" w:lineRule="exact"/>
              <w:rPr>
                <w:sz w:val="20"/>
                <w:szCs w:val="20"/>
                <w:color w:val="auto"/>
              </w:rPr>
            </w:pPr>
            <w:r>
              <w:rPr>
                <w:rFonts w:ascii="Arial" w:cs="Arial" w:eastAsia="Arial" w:hAnsi="Arial"/>
                <w:sz w:val="15"/>
                <w:szCs w:val="15"/>
                <w:color w:val="auto"/>
                <w:w w:val="95"/>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6,333</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12,667</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25,333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5"/>
                <w:szCs w:val="15"/>
                <w:color w:val="auto"/>
              </w:rPr>
              <w:t>121,600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(4)</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12,667</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100,700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1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6/30/2020</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237,500</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712,500</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9/10/2020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(5)</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5,592</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6"/>
                <w:szCs w:val="16"/>
                <w:color w:val="auto"/>
              </w:rPr>
              <w:t>101,998</w:t>
            </w:r>
          </w:p>
        </w:tc>
        <w:tc>
          <w:tcPr>
            <w:tcW w:w="0" w:type="dxa"/>
            <w:vAlign w:val="bottom"/>
          </w:tcPr>
          <w:p>
            <w:pPr>
              <w:spacing w:after="0"/>
              <w:rPr>
                <w:sz w:val="1"/>
                <w:szCs w:val="1"/>
                <w:color w:val="auto"/>
              </w:rPr>
            </w:pPr>
          </w:p>
        </w:tc>
      </w:tr>
      <w:tr>
        <w:trPr>
          <w:trHeight w:val="74"/>
        </w:trPr>
        <w:tc>
          <w:tcPr>
            <w:tcW w:w="19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Scott W. Anderson</w:t>
            </w:r>
          </w:p>
        </w:tc>
        <w:tc>
          <w:tcPr>
            <w:tcW w:w="780" w:type="dxa"/>
            <w:vAlign w:val="bottom"/>
            <w:gridSpan w:val="2"/>
            <w:shd w:val="clear" w:color="auto" w:fill="CCEEFF"/>
          </w:tcPr>
          <w:p>
            <w:pPr>
              <w:jc w:val="center"/>
              <w:ind w:left="64"/>
              <w:spacing w:after="0" w:line="135" w:lineRule="exact"/>
              <w:rPr>
                <w:sz w:val="20"/>
                <w:szCs w:val="20"/>
                <w:color w:val="auto"/>
              </w:rPr>
            </w:pPr>
            <w:r>
              <w:rPr>
                <w:rFonts w:ascii="Arial" w:cs="Arial" w:eastAsia="Arial" w:hAnsi="Arial"/>
                <w:sz w:val="15"/>
                <w:szCs w:val="15"/>
                <w:color w:val="auto"/>
                <w:w w:val="95"/>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5,000</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10,000</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5"/>
                <w:szCs w:val="15"/>
                <w:color w:val="auto"/>
              </w:rPr>
              <w:t>96,000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(4)</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79,500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1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6/30/2020</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675,000</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9/10/2020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(5)</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8,223</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6"/>
                <w:szCs w:val="16"/>
                <w:color w:val="auto"/>
              </w:rPr>
              <w:t>149,988</w:t>
            </w:r>
          </w:p>
        </w:tc>
        <w:tc>
          <w:tcPr>
            <w:tcW w:w="0" w:type="dxa"/>
            <w:vAlign w:val="bottom"/>
          </w:tcPr>
          <w:p>
            <w:pPr>
              <w:spacing w:after="0"/>
              <w:rPr>
                <w:sz w:val="1"/>
                <w:szCs w:val="1"/>
                <w:color w:val="auto"/>
              </w:rPr>
            </w:pPr>
          </w:p>
        </w:tc>
      </w:tr>
      <w:tr>
        <w:trPr>
          <w:trHeight w:val="74"/>
        </w:trPr>
        <w:tc>
          <w:tcPr>
            <w:tcW w:w="19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Dennis Zeleny</w:t>
            </w:r>
          </w:p>
        </w:tc>
        <w:tc>
          <w:tcPr>
            <w:tcW w:w="780" w:type="dxa"/>
            <w:vAlign w:val="bottom"/>
            <w:gridSpan w:val="2"/>
            <w:shd w:val="clear" w:color="auto" w:fill="CCEEFF"/>
          </w:tcPr>
          <w:p>
            <w:pPr>
              <w:jc w:val="center"/>
              <w:ind w:left="64"/>
              <w:spacing w:after="0" w:line="135" w:lineRule="exact"/>
              <w:rPr>
                <w:sz w:val="20"/>
                <w:szCs w:val="20"/>
                <w:color w:val="auto"/>
              </w:rPr>
            </w:pPr>
            <w:r>
              <w:rPr>
                <w:rFonts w:ascii="Arial" w:cs="Arial" w:eastAsia="Arial" w:hAnsi="Arial"/>
                <w:sz w:val="15"/>
                <w:szCs w:val="15"/>
                <w:color w:val="auto"/>
                <w:w w:val="95"/>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7,083</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14,167</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28,333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5"/>
                <w:szCs w:val="15"/>
                <w:color w:val="auto"/>
              </w:rPr>
              <w:t>136,000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(4)</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14,167</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112,625</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1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6/30/2020</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162,172</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324,344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486,516</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9/10/2020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(5)</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6,085</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6"/>
                <w:szCs w:val="16"/>
                <w:color w:val="auto"/>
              </w:rPr>
              <w:t>110,990</w:t>
            </w:r>
          </w:p>
        </w:tc>
        <w:tc>
          <w:tcPr>
            <w:tcW w:w="0" w:type="dxa"/>
            <w:vAlign w:val="bottom"/>
          </w:tcPr>
          <w:p>
            <w:pPr>
              <w:spacing w:after="0"/>
              <w:rPr>
                <w:sz w:val="1"/>
                <w:szCs w:val="1"/>
                <w:color w:val="auto"/>
              </w:rPr>
            </w:pPr>
          </w:p>
        </w:tc>
      </w:tr>
      <w:tr>
        <w:trPr>
          <w:trHeight w:val="75"/>
        </w:trPr>
        <w:tc>
          <w:tcPr>
            <w:tcW w:w="19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John V. Britti</w:t>
            </w:r>
          </w:p>
        </w:tc>
        <w:tc>
          <w:tcPr>
            <w:tcW w:w="780" w:type="dxa"/>
            <w:vAlign w:val="bottom"/>
            <w:gridSpan w:val="2"/>
            <w:shd w:val="clear" w:color="auto" w:fill="CCEEFF"/>
          </w:tcPr>
          <w:p>
            <w:pPr>
              <w:jc w:val="center"/>
              <w:ind w:left="64"/>
              <w:spacing w:after="0" w:line="135" w:lineRule="exact"/>
              <w:rPr>
                <w:sz w:val="20"/>
                <w:szCs w:val="20"/>
                <w:color w:val="auto"/>
              </w:rPr>
            </w:pPr>
            <w:r>
              <w:rPr>
                <w:rFonts w:ascii="Arial" w:cs="Arial" w:eastAsia="Arial" w:hAnsi="Arial"/>
                <w:sz w:val="15"/>
                <w:szCs w:val="15"/>
                <w:color w:val="auto"/>
                <w:w w:val="95"/>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4,500</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9,000</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18,000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5"/>
                <w:szCs w:val="15"/>
                <w:color w:val="auto"/>
              </w:rPr>
              <w:t>86,400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(4)</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71,550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1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6/30/2020</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202,500</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405,000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607,500</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9/10/2020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(5)</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6,414</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6"/>
                <w:szCs w:val="16"/>
                <w:color w:val="auto"/>
              </w:rPr>
              <w:t>116,991</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5"/>
        </w:trPr>
        <w:tc>
          <w:tcPr>
            <w:tcW w:w="19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40" w:hanging="332"/>
        <w:spacing w:after="0" w:line="227"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These amounts represent the potential non-equity compensation that would have been earned by each respective executive officer for 2020 service under the different achievement levels under their 2020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2020 service is set forth in the “Non-Equity Incentive Plan Compensation” column of the “Summary Compensation Table” above.</w:t>
      </w:r>
    </w:p>
    <w:p>
      <w:pPr>
        <w:spacing w:after="0" w:line="5" w:lineRule="exact"/>
        <w:rPr>
          <w:rFonts w:ascii="Arial" w:cs="Arial" w:eastAsia="Arial" w:hAnsi="Arial"/>
          <w:sz w:val="30"/>
          <w:szCs w:val="30"/>
          <w:color w:val="auto"/>
          <w:vertAlign w:val="superscript"/>
        </w:rPr>
      </w:pPr>
    </w:p>
    <w:p>
      <w:pPr>
        <w:ind w:left="340" w:hanging="332"/>
        <w:spacing w:after="0" w:line="180"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See footnote (2) under “Summary Compensation Table” above for detail regarding the methodology used to calculate Grant Date Fair Value.</w:t>
      </w:r>
    </w:p>
    <w:p>
      <w:pPr>
        <w:spacing w:after="0" w:line="2" w:lineRule="exact"/>
        <w:rPr>
          <w:rFonts w:ascii="Arial" w:cs="Arial" w:eastAsia="Arial" w:hAnsi="Arial"/>
          <w:sz w:val="25"/>
          <w:szCs w:val="25"/>
          <w:color w:val="auto"/>
          <w:vertAlign w:val="superscript"/>
        </w:rPr>
      </w:pPr>
    </w:p>
    <w:p>
      <w:pPr>
        <w:jc w:val="both"/>
        <w:ind w:left="340" w:hanging="332"/>
        <w:spacing w:after="0" w:line="204"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PRSU awards are earned based on the Company’s TSR relative to its peer group during multiple performance periods spanning March 30, 2020 through March 30, 2023, and vest at the third anniversary of the respective grant dates. Awards for all but Mr. Messina will settle in cash, if earned. Refer to “Compensation Discussion and Analysis - 2020 Long-Term Incentive Awards” for additional details.</w:t>
      </w:r>
    </w:p>
    <w:p>
      <w:pPr>
        <w:spacing w:after="0" w:line="1" w:lineRule="exact"/>
        <w:rPr>
          <w:rFonts w:ascii="Arial" w:cs="Arial" w:eastAsia="Arial" w:hAnsi="Arial"/>
          <w:sz w:val="30"/>
          <w:szCs w:val="30"/>
          <w:color w:val="auto"/>
          <w:vertAlign w:val="superscript"/>
        </w:rPr>
      </w:pPr>
    </w:p>
    <w:p>
      <w:pPr>
        <w:jc w:val="both"/>
        <w:ind w:left="340" w:hanging="332"/>
        <w:spacing w:after="0" w:line="204"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RSU awards granted March 30, 2020 vest in three equal installments on the first, second and third anniversary dates of the grant, subject to continued employment. Awards for Mr. Messina settle in equity, but they do not have any rights of a stockholder with respect to any of the shares subject to the award until such units are vested. Awards for other named executive officers will settle in cash.</w:t>
      </w:r>
    </w:p>
    <w:p>
      <w:pPr>
        <w:spacing w:after="0" w:line="2" w:lineRule="exact"/>
        <w:rPr>
          <w:rFonts w:ascii="Arial" w:cs="Arial" w:eastAsia="Arial" w:hAnsi="Arial"/>
          <w:sz w:val="30"/>
          <w:szCs w:val="30"/>
          <w:color w:val="auto"/>
          <w:vertAlign w:val="superscript"/>
        </w:rPr>
      </w:pPr>
    </w:p>
    <w:p>
      <w:pPr>
        <w:ind w:left="340" w:right="20" w:hanging="332"/>
        <w:spacing w:after="0" w:line="187"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RSU awards granted September 10, 2020 vest in full on the 18-month anniversary date of the grant, subject to continued employment. Awards will settle in cash.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at December 31, 2020 for Ocwen’s named 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4"/>
              </w:rPr>
              <w:t>Option Awards</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Stock Awards</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80" w:type="dxa"/>
            <w:vAlign w:val="bottom"/>
          </w:tcPr>
          <w:p>
            <w:pPr>
              <w:spacing w:after="0"/>
              <w:rPr>
                <w:sz w:val="16"/>
                <w:szCs w:val="16"/>
                <w:color w:val="auto"/>
              </w:rPr>
            </w:pP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Equity</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Incentive</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Incentive</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Plan</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Plan</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Awards:</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Awards:</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Market or</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Equity</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Number</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Payout</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Incentive</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Number</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of</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Plan</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of</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w:t>
            </w: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Unearned</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Unearned</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Awards: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Value of</w:t>
            </w: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1180" w:type="dxa"/>
            <w:vAlign w:val="bottom"/>
            <w:gridSpan w:val="2"/>
          </w:tcPr>
          <w:p>
            <w:pPr>
              <w:jc w:val="center"/>
              <w:ind w:right="166"/>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Number of</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or Units</w:t>
            </w: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 or</w:t>
            </w: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Units or</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Units or</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40" w:type="dxa"/>
            <w:vAlign w:val="bottom"/>
          </w:tcPr>
          <w:p>
            <w:pPr>
              <w:spacing w:after="0"/>
              <w:rPr>
                <w:sz w:val="17"/>
                <w:szCs w:val="17"/>
                <w:color w:val="auto"/>
              </w:rPr>
            </w:pPr>
          </w:p>
        </w:tc>
        <w:tc>
          <w:tcPr>
            <w:tcW w:w="1180" w:type="dxa"/>
            <w:vAlign w:val="bottom"/>
            <w:gridSpan w:val="2"/>
          </w:tcPr>
          <w:p>
            <w:pPr>
              <w:jc w:val="center"/>
              <w:ind w:right="146"/>
              <w:spacing w:after="0"/>
              <w:rPr>
                <w:sz w:val="20"/>
                <w:szCs w:val="20"/>
                <w:color w:val="auto"/>
              </w:rPr>
            </w:pPr>
            <w:r>
              <w:rPr>
                <w:rFonts w:ascii="Arial" w:cs="Arial" w:eastAsia="Arial" w:hAnsi="Arial"/>
                <w:sz w:val="16"/>
                <w:szCs w:val="16"/>
                <w:b w:val="1"/>
                <w:bCs w:val="1"/>
                <w:color w:val="auto"/>
                <w:w w:val="88"/>
              </w:rPr>
              <w:t>Securities</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Securities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of Stock</w:t>
            </w: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Units of</w:t>
            </w: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Other</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Underlying</w:t>
            </w:r>
          </w:p>
        </w:tc>
        <w:tc>
          <w:tcPr>
            <w:tcW w:w="140" w:type="dxa"/>
            <w:vAlign w:val="bottom"/>
          </w:tcPr>
          <w:p>
            <w:pPr>
              <w:spacing w:after="0"/>
              <w:rPr>
                <w:sz w:val="17"/>
                <w:szCs w:val="17"/>
                <w:color w:val="auto"/>
              </w:rPr>
            </w:pPr>
          </w:p>
        </w:tc>
        <w:tc>
          <w:tcPr>
            <w:tcW w:w="1180" w:type="dxa"/>
            <w:vAlign w:val="bottom"/>
            <w:gridSpan w:val="2"/>
          </w:tcPr>
          <w:p>
            <w:pPr>
              <w:jc w:val="center"/>
              <w:ind w:right="166"/>
              <w:spacing w:after="0"/>
              <w:rPr>
                <w:sz w:val="20"/>
                <w:szCs w:val="20"/>
                <w:color w:val="auto"/>
              </w:rPr>
            </w:pPr>
            <w:r>
              <w:rPr>
                <w:rFonts w:ascii="Arial" w:cs="Arial" w:eastAsia="Arial" w:hAnsi="Arial"/>
                <w:sz w:val="16"/>
                <w:szCs w:val="16"/>
                <w:b w:val="1"/>
                <w:bCs w:val="1"/>
                <w:color w:val="auto"/>
                <w:w w:val="93"/>
              </w:rPr>
              <w:t>Underlying</w:t>
            </w: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Underlying</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That</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Stock</w:t>
            </w: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Rights</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Rights</w:t>
            </w:r>
          </w:p>
        </w:tc>
      </w:tr>
      <w:tr>
        <w:trPr>
          <w:trHeight w:val="203"/>
        </w:trPr>
        <w:tc>
          <w:tcPr>
            <w:tcW w:w="196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40" w:type="dxa"/>
            <w:vAlign w:val="bottom"/>
          </w:tcPr>
          <w:p>
            <w:pPr>
              <w:spacing w:after="0"/>
              <w:rPr>
                <w:sz w:val="17"/>
                <w:szCs w:val="17"/>
                <w:color w:val="auto"/>
              </w:rPr>
            </w:pPr>
          </w:p>
        </w:tc>
        <w:tc>
          <w:tcPr>
            <w:tcW w:w="1180" w:type="dxa"/>
            <w:vAlign w:val="bottom"/>
            <w:gridSpan w:val="2"/>
          </w:tcPr>
          <w:p>
            <w:pPr>
              <w:jc w:val="center"/>
              <w:ind w:right="146"/>
              <w:spacing w:after="0"/>
              <w:rPr>
                <w:sz w:val="20"/>
                <w:szCs w:val="20"/>
                <w:color w:val="auto"/>
              </w:rPr>
            </w:pPr>
            <w:r>
              <w:rPr>
                <w:rFonts w:ascii="Arial" w:cs="Arial" w:eastAsia="Arial" w:hAnsi="Arial"/>
                <w:sz w:val="16"/>
                <w:szCs w:val="16"/>
                <w:b w:val="1"/>
                <w:bCs w:val="1"/>
                <w:color w:val="auto"/>
                <w:w w:val="88"/>
              </w:rPr>
              <w:t>Unexercised</w:t>
            </w: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Unexercised</w:t>
            </w: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Have</w:t>
            </w: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That</w:t>
            </w: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That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That</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Options</w:t>
            </w:r>
          </w:p>
        </w:tc>
        <w:tc>
          <w:tcPr>
            <w:tcW w:w="140" w:type="dxa"/>
            <w:vAlign w:val="bottom"/>
          </w:tcPr>
          <w:p>
            <w:pPr>
              <w:spacing w:after="0"/>
              <w:rPr>
                <w:sz w:val="17"/>
                <w:szCs w:val="17"/>
                <w:color w:val="auto"/>
              </w:rPr>
            </w:pPr>
          </w:p>
        </w:tc>
        <w:tc>
          <w:tcPr>
            <w:tcW w:w="1180" w:type="dxa"/>
            <w:vAlign w:val="bottom"/>
            <w:gridSpan w:val="2"/>
          </w:tcPr>
          <w:p>
            <w:pPr>
              <w:jc w:val="center"/>
              <w:ind w:right="166"/>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Unearned</w:t>
            </w: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Not</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Have Not</w:t>
            </w: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Have Not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Have Not</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Exercisable</w:t>
            </w:r>
          </w:p>
        </w:tc>
        <w:tc>
          <w:tcPr>
            <w:tcW w:w="1320" w:type="dxa"/>
            <w:vAlign w:val="bottom"/>
            <w:gridSpan w:val="3"/>
          </w:tcPr>
          <w:p>
            <w:pPr>
              <w:jc w:val="center"/>
              <w:ind w:right="6"/>
              <w:spacing w:after="0"/>
              <w:rPr>
                <w:sz w:val="20"/>
                <w:szCs w:val="20"/>
                <w:color w:val="auto"/>
              </w:rPr>
            </w:pPr>
            <w:r>
              <w:rPr>
                <w:rFonts w:ascii="Arial" w:cs="Arial" w:eastAsia="Arial" w:hAnsi="Arial"/>
                <w:sz w:val="16"/>
                <w:szCs w:val="16"/>
                <w:b w:val="1"/>
                <w:bCs w:val="1"/>
                <w:color w:val="auto"/>
                <w:w w:val="88"/>
              </w:rPr>
              <w:t>Unexercisable</w:t>
            </w: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Options</w:t>
            </w: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Expiration</w:t>
            </w: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Vested</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Vested</w:t>
            </w: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Vested</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Vested</w:t>
            </w:r>
          </w:p>
        </w:tc>
      </w:tr>
      <w:tr>
        <w:trPr>
          <w:trHeight w:val="263"/>
        </w:trPr>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Name</w:t>
            </w:r>
          </w:p>
        </w:tc>
        <w:tc>
          <w:tcPr>
            <w:tcW w:w="98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2"/>
                <w:szCs w:val="22"/>
                <w:color w:val="auto"/>
              </w:rPr>
            </w:pPr>
          </w:p>
        </w:tc>
        <w:tc>
          <w:tcPr>
            <w:tcW w:w="1100" w:type="dxa"/>
            <w:vAlign w:val="bottom"/>
            <w:gridSpan w:val="2"/>
          </w:tcPr>
          <w:p>
            <w:pPr>
              <w:jc w:val="center"/>
              <w:ind w:left="39"/>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(1)</w:t>
            </w:r>
          </w:p>
        </w:tc>
        <w:tc>
          <w:tcPr>
            <w:tcW w:w="220" w:type="dxa"/>
            <w:vAlign w:val="bottom"/>
          </w:tcPr>
          <w:p>
            <w:pPr>
              <w:spacing w:after="0"/>
              <w:rPr>
                <w:sz w:val="22"/>
                <w:szCs w:val="22"/>
                <w:color w:val="auto"/>
              </w:rPr>
            </w:pPr>
          </w:p>
        </w:tc>
        <w:tc>
          <w:tcPr>
            <w:tcW w:w="980" w:type="dxa"/>
            <w:vAlign w:val="bottom"/>
            <w:gridSpan w:val="2"/>
          </w:tcPr>
          <w:p>
            <w:pPr>
              <w:jc w:val="center"/>
              <w:ind w:left="39"/>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(2)</w:t>
            </w:r>
          </w:p>
        </w:tc>
        <w:tc>
          <w:tcPr>
            <w:tcW w:w="3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22"/>
                <w:szCs w:val="2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660" w:type="dxa"/>
            <w:vAlign w:val="bottom"/>
            <w:gridSpan w:val="2"/>
          </w:tcPr>
          <w:p>
            <w:pPr>
              <w:jc w:val="center"/>
              <w:ind w:left="39"/>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(1)</w:t>
            </w:r>
          </w:p>
        </w:tc>
        <w:tc>
          <w:tcPr>
            <w:tcW w:w="380" w:type="dxa"/>
            <w:vAlign w:val="bottom"/>
          </w:tcPr>
          <w:p>
            <w:pPr>
              <w:spacing w:after="0"/>
              <w:rPr>
                <w:sz w:val="22"/>
                <w:szCs w:val="22"/>
                <w:color w:val="auto"/>
              </w:rPr>
            </w:pPr>
          </w:p>
        </w:tc>
        <w:tc>
          <w:tcPr>
            <w:tcW w:w="720" w:type="dxa"/>
            <w:vAlign w:val="bottom"/>
          </w:tcPr>
          <w:p>
            <w:pPr>
              <w:jc w:val="center"/>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(3)</w:t>
            </w:r>
          </w:p>
        </w:tc>
        <w:tc>
          <w:tcPr>
            <w:tcW w:w="220" w:type="dxa"/>
            <w:vAlign w:val="bottom"/>
          </w:tcPr>
          <w:p>
            <w:pPr>
              <w:spacing w:after="0"/>
              <w:rPr>
                <w:sz w:val="22"/>
                <w:szCs w:val="22"/>
                <w:color w:val="auto"/>
              </w:rPr>
            </w:pPr>
          </w:p>
        </w:tc>
        <w:tc>
          <w:tcPr>
            <w:tcW w:w="680" w:type="dxa"/>
            <w:vAlign w:val="bottom"/>
          </w:tcPr>
          <w:p>
            <w:pPr>
              <w:jc w:val="center"/>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(4)</w:t>
            </w:r>
          </w:p>
        </w:tc>
        <w:tc>
          <w:tcPr>
            <w:tcW w:w="360" w:type="dxa"/>
            <w:vAlign w:val="bottom"/>
          </w:tcPr>
          <w:p>
            <w:pPr>
              <w:spacing w:after="0"/>
              <w:rPr>
                <w:sz w:val="22"/>
                <w:szCs w:val="22"/>
                <w:color w:val="auto"/>
              </w:rPr>
            </w:pPr>
          </w:p>
        </w:tc>
        <w:tc>
          <w:tcPr>
            <w:tcW w:w="740" w:type="dxa"/>
            <w:vAlign w:val="bottom"/>
          </w:tcPr>
          <w:p>
            <w:pPr>
              <w:jc w:val="center"/>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(3)</w:t>
            </w:r>
          </w:p>
        </w:tc>
        <w:tc>
          <w:tcPr>
            <w:tcW w:w="80" w:type="dxa"/>
            <w:vAlign w:val="bottom"/>
          </w:tcPr>
          <w:p>
            <w:pPr>
              <w:spacing w:after="0"/>
              <w:rPr>
                <w:sz w:val="22"/>
                <w:szCs w:val="22"/>
                <w:color w:val="auto"/>
              </w:rPr>
            </w:pPr>
          </w:p>
        </w:tc>
      </w:tr>
      <w:tr>
        <w:trPr>
          <w:trHeight w:val="206"/>
        </w:trPr>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Glen A. Messina</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5,933</w:t>
            </w:r>
          </w:p>
        </w:tc>
        <w:tc>
          <w:tcPr>
            <w:tcW w:w="22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3"/>
                <w:szCs w:val="13"/>
                <w:color w:val="auto"/>
                <w:w w:val="75"/>
              </w:rPr>
              <w:t>(5)</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10/4/2028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2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21,845</w:t>
            </w:r>
            <w:r>
              <w:rPr>
                <w:rFonts w:ascii="Arial" w:cs="Arial" w:eastAsia="Arial" w:hAnsi="Arial"/>
                <w:sz w:val="13"/>
                <w:szCs w:val="13"/>
                <w:color w:val="auto"/>
              </w:rPr>
              <w:t>(6)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631,551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25,126</w:t>
            </w:r>
            <w:r>
              <w:rPr>
                <w:rFonts w:ascii="Arial" w:cs="Arial" w:eastAsia="Arial" w:hAnsi="Arial"/>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726,381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75,000</w:t>
            </w:r>
            <w:r>
              <w:rPr>
                <w:rFonts w:ascii="Arial" w:cs="Arial" w:eastAsia="Arial" w:hAnsi="Arial"/>
                <w:sz w:val="13"/>
                <w:szCs w:val="13"/>
                <w:color w:val="auto"/>
              </w:rPr>
              <w:t>(8)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2,168,250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18,844</w:t>
            </w:r>
            <w:r>
              <w:rPr>
                <w:rFonts w:ascii="Arial" w:cs="Arial" w:eastAsia="Arial" w:hAnsi="Arial"/>
                <w:sz w:val="13"/>
                <w:szCs w:val="13"/>
                <w:color w:val="auto"/>
              </w:rPr>
              <w:t>(9)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544,780</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1,929</w:t>
            </w:r>
            <w:r>
              <w:rPr>
                <w:rFonts w:ascii="Arial" w:cs="Arial" w:eastAsia="Arial" w:hAnsi="Arial"/>
                <w:sz w:val="13"/>
                <w:szCs w:val="13"/>
                <w:color w:val="auto"/>
              </w:rPr>
              <w:t>(10)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55,767</w:t>
            </w:r>
          </w:p>
        </w:tc>
      </w:tr>
      <w:tr>
        <w:trPr>
          <w:trHeight w:val="243"/>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150,000</w:t>
            </w:r>
            <w:r>
              <w:rPr>
                <w:rFonts w:ascii="Arial" w:cs="Arial" w:eastAsia="Arial" w:hAnsi="Arial"/>
                <w:sz w:val="13"/>
                <w:szCs w:val="13"/>
                <w:color w:val="auto"/>
              </w:rPr>
              <w:t>(11)</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4,336,500</w:t>
            </w:r>
          </w:p>
        </w:tc>
      </w:tr>
      <w:tr>
        <w:trPr>
          <w:trHeight w:val="230"/>
        </w:trPr>
        <w:tc>
          <w:tcPr>
            <w:tcW w:w="1960" w:type="dxa"/>
            <w:vAlign w:val="bottom"/>
          </w:tcPr>
          <w:p>
            <w:pPr>
              <w:spacing w:after="0"/>
              <w:rPr>
                <w:sz w:val="19"/>
                <w:szCs w:val="19"/>
                <w:color w:val="auto"/>
              </w:rPr>
            </w:pPr>
          </w:p>
        </w:tc>
        <w:tc>
          <w:tcPr>
            <w:tcW w:w="106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June C. Campbell</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1,474</w:t>
            </w:r>
            <w:r>
              <w:rPr>
                <w:rFonts w:ascii="Arial" w:cs="Arial" w:eastAsia="Arial" w:hAnsi="Arial"/>
                <w:sz w:val="13"/>
                <w:szCs w:val="13"/>
                <w:color w:val="auto"/>
              </w:rPr>
              <w:t>(12)</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3/4/2029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1,085</w:t>
            </w:r>
            <w:r>
              <w:rPr>
                <w:rFonts w:ascii="Arial" w:cs="Arial" w:eastAsia="Arial" w:hAnsi="Arial"/>
                <w:sz w:val="13"/>
                <w:szCs w:val="13"/>
                <w:color w:val="auto"/>
              </w:rPr>
              <w:t>(13)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31,381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12,667</w:t>
            </w:r>
            <w:r>
              <w:rPr>
                <w:rFonts w:ascii="Arial" w:cs="Arial" w:eastAsia="Arial" w:hAnsi="Arial"/>
                <w:sz w:val="13"/>
                <w:szCs w:val="13"/>
                <w:color w:val="auto"/>
              </w:rPr>
              <w:t>(8)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366,193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5,592</w:t>
            </w:r>
            <w:r>
              <w:rPr>
                <w:rFonts w:ascii="Arial" w:cs="Arial" w:eastAsia="Arial" w:hAnsi="Arial"/>
                <w:sz w:val="13"/>
                <w:szCs w:val="13"/>
                <w:color w:val="auto"/>
              </w:rPr>
              <w:t>(14)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161,665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3,840</w:t>
            </w:r>
            <w:r>
              <w:rPr>
                <w:rFonts w:ascii="Arial" w:cs="Arial" w:eastAsia="Arial" w:hAnsi="Arial"/>
                <w:sz w:val="13"/>
                <w:szCs w:val="13"/>
                <w:color w:val="auto"/>
              </w:rPr>
              <w:t>(15)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111,022</w:t>
            </w:r>
          </w:p>
        </w:tc>
      </w:tr>
      <w:tr>
        <w:trPr>
          <w:trHeight w:val="243"/>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25,333</w:t>
            </w:r>
            <w:r>
              <w:rPr>
                <w:rFonts w:ascii="Arial" w:cs="Arial" w:eastAsia="Arial" w:hAnsi="Arial"/>
                <w:sz w:val="13"/>
                <w:szCs w:val="13"/>
                <w:color w:val="auto"/>
              </w:rPr>
              <w:t>(11)</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732,387</w:t>
            </w:r>
          </w:p>
        </w:tc>
      </w:tr>
      <w:tr>
        <w:trPr>
          <w:trHeight w:val="230"/>
        </w:trPr>
        <w:tc>
          <w:tcPr>
            <w:tcW w:w="19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Scott W. Anderson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5/14/2024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3,000</w:t>
            </w:r>
            <w:r>
              <w:rPr>
                <w:rFonts w:ascii="Arial" w:cs="Arial" w:eastAsia="Arial" w:hAnsi="Arial"/>
                <w:sz w:val="13"/>
                <w:szCs w:val="13"/>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501.75</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5/14/2024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1,500</w:t>
            </w:r>
            <w:r>
              <w:rPr>
                <w:rFonts w:ascii="Arial" w:cs="Arial" w:eastAsia="Arial" w:hAnsi="Arial"/>
                <w:sz w:val="13"/>
                <w:szCs w:val="13"/>
                <w:color w:val="auto"/>
              </w:rPr>
              <w:t>(17)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501.75</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5/14/2024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2/24/2025</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3,663</w:t>
            </w:r>
            <w:r>
              <w:rPr>
                <w:rFonts w:ascii="Arial" w:cs="Arial" w:eastAsia="Arial" w:hAnsi="Arial"/>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105,897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10,000</w:t>
            </w:r>
            <w:r>
              <w:rPr>
                <w:rFonts w:ascii="Arial" w:cs="Arial" w:eastAsia="Arial" w:hAnsi="Arial"/>
                <w:sz w:val="13"/>
                <w:szCs w:val="13"/>
                <w:color w:val="auto"/>
              </w:rPr>
              <w:t>(8)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289,100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8,223</w:t>
            </w:r>
            <w:r>
              <w:rPr>
                <w:rFonts w:ascii="Arial" w:cs="Arial" w:eastAsia="Arial" w:hAnsi="Arial"/>
                <w:sz w:val="13"/>
                <w:szCs w:val="13"/>
                <w:color w:val="auto"/>
              </w:rPr>
              <w:t>(14)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237,727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2,747</w:t>
            </w:r>
            <w:r>
              <w:rPr>
                <w:rFonts w:ascii="Arial" w:cs="Arial" w:eastAsia="Arial" w:hAnsi="Arial"/>
                <w:sz w:val="13"/>
                <w:szCs w:val="13"/>
                <w:color w:val="auto"/>
              </w:rPr>
              <w:t>(9)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79,416</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3,205</w:t>
            </w:r>
            <w:r>
              <w:rPr>
                <w:rFonts w:ascii="Arial" w:cs="Arial" w:eastAsia="Arial" w:hAnsi="Arial"/>
                <w:sz w:val="13"/>
                <w:szCs w:val="13"/>
                <w:color w:val="auto"/>
              </w:rPr>
              <w:t>(10)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92,657</w:t>
            </w:r>
          </w:p>
        </w:tc>
      </w:tr>
      <w:tr>
        <w:trPr>
          <w:trHeight w:val="243"/>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20,000</w:t>
            </w:r>
            <w:r>
              <w:rPr>
                <w:rFonts w:ascii="Arial" w:cs="Arial" w:eastAsia="Arial" w:hAnsi="Arial"/>
                <w:sz w:val="13"/>
                <w:szCs w:val="13"/>
                <w:color w:val="auto"/>
              </w:rPr>
              <w:t>(11)</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578,200</w:t>
            </w:r>
          </w:p>
        </w:tc>
      </w:tr>
      <w:tr>
        <w:trPr>
          <w:trHeight w:val="230"/>
        </w:trPr>
        <w:tc>
          <w:tcPr>
            <w:tcW w:w="1960" w:type="dxa"/>
            <w:vAlign w:val="bottom"/>
          </w:tcPr>
          <w:p>
            <w:pPr>
              <w:spacing w:after="0"/>
              <w:rPr>
                <w:sz w:val="19"/>
                <w:szCs w:val="19"/>
                <w:color w:val="auto"/>
              </w:rPr>
            </w:pPr>
          </w:p>
        </w:tc>
        <w:tc>
          <w:tcPr>
            <w:tcW w:w="1060" w:type="dxa"/>
            <w:vAlign w:val="bottom"/>
            <w:gridSpan w:val="3"/>
          </w:tcPr>
          <w:p>
            <w:pPr>
              <w:spacing w:after="0"/>
              <w:rPr>
                <w:sz w:val="19"/>
                <w:szCs w:val="19"/>
                <w:color w:val="auto"/>
              </w:rPr>
            </w:pPr>
          </w:p>
        </w:tc>
        <w:tc>
          <w:tcPr>
            <w:tcW w:w="13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Dennis Zeleny</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4,386</w:t>
            </w:r>
            <w:r>
              <w:rPr>
                <w:rFonts w:ascii="Arial" w:cs="Arial" w:eastAsia="Arial" w:hAnsi="Arial"/>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126,799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14,167</w:t>
            </w:r>
            <w:r>
              <w:rPr>
                <w:rFonts w:ascii="Arial" w:cs="Arial" w:eastAsia="Arial" w:hAnsi="Arial"/>
                <w:sz w:val="13"/>
                <w:szCs w:val="13"/>
                <w:color w:val="auto"/>
              </w:rPr>
              <w:t>(8)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409,558</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6,085</w:t>
            </w:r>
            <w:r>
              <w:rPr>
                <w:rFonts w:ascii="Arial" w:cs="Arial" w:eastAsia="Arial" w:hAnsi="Arial"/>
                <w:sz w:val="13"/>
                <w:szCs w:val="13"/>
                <w:color w:val="auto"/>
              </w:rPr>
              <w:t>(14)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175,917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3,289</w:t>
            </w:r>
            <w:r>
              <w:rPr>
                <w:rFonts w:ascii="Arial" w:cs="Arial" w:eastAsia="Arial" w:hAnsi="Arial"/>
                <w:sz w:val="13"/>
                <w:szCs w:val="13"/>
                <w:color w:val="auto"/>
              </w:rPr>
              <w:t>(9)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95,085</w:t>
            </w:r>
          </w:p>
        </w:tc>
      </w:tr>
      <w:tr>
        <w:trPr>
          <w:trHeight w:val="243"/>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28,333</w:t>
            </w:r>
            <w:r>
              <w:rPr>
                <w:rFonts w:ascii="Arial" w:cs="Arial" w:eastAsia="Arial" w:hAnsi="Arial"/>
                <w:sz w:val="13"/>
                <w:szCs w:val="13"/>
                <w:color w:val="auto"/>
              </w:rPr>
              <w:t>(11)</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819,117</w:t>
            </w:r>
          </w:p>
        </w:tc>
      </w:tr>
      <w:tr>
        <w:trPr>
          <w:trHeight w:val="229"/>
        </w:trPr>
        <w:tc>
          <w:tcPr>
            <w:tcW w:w="19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John V. Britti</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2/24/2025</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242.55</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3/5/2022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242.55</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3/5/2022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242.55</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3/5/2022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4,386</w:t>
            </w:r>
            <w:r>
              <w:rPr>
                <w:rFonts w:ascii="Arial" w:cs="Arial" w:eastAsia="Arial" w:hAnsi="Arial"/>
                <w:sz w:val="13"/>
                <w:szCs w:val="13"/>
                <w:color w:val="auto"/>
              </w:rPr>
              <w:t>(18)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126,799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3,297</w:t>
            </w:r>
            <w:r>
              <w:rPr>
                <w:rFonts w:ascii="Arial" w:cs="Arial" w:eastAsia="Arial" w:hAnsi="Arial"/>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95,307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9,000</w:t>
            </w:r>
            <w:r>
              <w:rPr>
                <w:rFonts w:ascii="Arial" w:cs="Arial" w:eastAsia="Arial" w:hAnsi="Arial"/>
                <w:sz w:val="13"/>
                <w:szCs w:val="13"/>
                <w:color w:val="auto"/>
              </w:rPr>
              <w:t>(8)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260,190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6,414</w:t>
            </w:r>
            <w:r>
              <w:rPr>
                <w:rFonts w:ascii="Arial" w:cs="Arial" w:eastAsia="Arial" w:hAnsi="Arial"/>
                <w:sz w:val="13"/>
                <w:szCs w:val="13"/>
                <w:color w:val="auto"/>
              </w:rPr>
              <w:t>(14)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185,429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2,472</w:t>
            </w:r>
            <w:r>
              <w:rPr>
                <w:rFonts w:ascii="Arial" w:cs="Arial" w:eastAsia="Arial" w:hAnsi="Arial"/>
                <w:sz w:val="13"/>
                <w:szCs w:val="13"/>
                <w:color w:val="auto"/>
              </w:rPr>
              <w:t>(9)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71,466</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2,884</w:t>
            </w:r>
            <w:r>
              <w:rPr>
                <w:rFonts w:ascii="Arial" w:cs="Arial" w:eastAsia="Arial" w:hAnsi="Arial"/>
                <w:sz w:val="13"/>
                <w:szCs w:val="13"/>
                <w:color w:val="auto"/>
              </w:rPr>
              <w:t>(10)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83,376</w:t>
            </w:r>
          </w:p>
        </w:tc>
      </w:tr>
      <w:tr>
        <w:trPr>
          <w:trHeight w:val="229"/>
        </w:trPr>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18,000</w:t>
            </w:r>
            <w:r>
              <w:rPr>
                <w:rFonts w:ascii="Arial" w:cs="Arial" w:eastAsia="Arial" w:hAnsi="Arial"/>
                <w:sz w:val="13"/>
                <w:szCs w:val="13"/>
                <w:color w:val="auto"/>
              </w:rPr>
              <w:t>(11)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520,380</w:t>
            </w:r>
          </w:p>
        </w:tc>
      </w:tr>
      <w:tr>
        <w:trPr>
          <w:trHeight w:val="33"/>
        </w:trPr>
        <w:tc>
          <w:tcPr>
            <w:tcW w:w="1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02" w:gutter="0" w:footer="0" w:header="0"/>
        </w:sectPr>
      </w:pPr>
    </w:p>
    <w:bookmarkStart w:id="50" w:name="page51"/>
    <w:bookmarkEnd w:id="50"/>
    <w:p>
      <w:pPr>
        <w:ind w:left="340" w:hanging="332"/>
        <w:spacing w:after="0" w:line="194"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Consists of equity awards with respect to which, as of December 31, 2020, any applicable performance hurdles have been met but awards remain subject to time-based vesting criteria.</w:t>
      </w:r>
    </w:p>
    <w:p>
      <w:pPr>
        <w:ind w:left="340" w:hanging="332"/>
        <w:spacing w:after="0" w:line="180"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5"/>
          <w:szCs w:val="15"/>
          <w:color w:val="auto"/>
        </w:rPr>
        <w:t>Consists of option awards with respect to which, as of December 31, 2020, the applicable performance hurdles have not been met.</w:t>
      </w:r>
    </w:p>
    <w:p>
      <w:pPr>
        <w:spacing w:after="0" w:line="2" w:lineRule="exact"/>
        <w:rPr>
          <w:rFonts w:ascii="Arial" w:cs="Arial" w:eastAsia="Arial" w:hAnsi="Arial"/>
          <w:sz w:val="25"/>
          <w:szCs w:val="25"/>
          <w:color w:val="auto"/>
          <w:vertAlign w:val="superscript"/>
        </w:rPr>
      </w:pPr>
    </w:p>
    <w:p>
      <w:pPr>
        <w:ind w:left="340" w:hanging="332"/>
        <w:spacing w:after="0" w:line="195" w:lineRule="auto"/>
        <w:tabs>
          <w:tab w:leader="none" w:pos="340" w:val="left"/>
        </w:tabs>
        <w:numPr>
          <w:ilvl w:val="0"/>
          <w:numId w:val="50"/>
        </w:numPr>
        <w:rPr>
          <w:rFonts w:ascii="Arial" w:cs="Arial" w:eastAsia="Arial" w:hAnsi="Arial"/>
          <w:sz w:val="29"/>
          <w:szCs w:val="29"/>
          <w:color w:val="auto"/>
          <w:vertAlign w:val="superscript"/>
        </w:rPr>
      </w:pPr>
      <w:r>
        <w:rPr>
          <w:rFonts w:ascii="Arial" w:cs="Arial" w:eastAsia="Arial" w:hAnsi="Arial"/>
          <w:sz w:val="17"/>
          <w:szCs w:val="17"/>
          <w:color w:val="auto"/>
        </w:rPr>
        <w:t>The dollar amounts shown in these columns are determined by multiplying the number of unvested shares or units subject to the award by $28.91, the closing price of a share of our common stock on the New York Stock Exchange on December 31, 2020 (the last trading day of 2020).</w:t>
      </w:r>
    </w:p>
    <w:p>
      <w:pPr>
        <w:ind w:left="340" w:hanging="332"/>
        <w:spacing w:after="0" w:line="187"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Consists of equity awards with respect to which, as of December 31, 2020, the applicable time-based and/or performance vesting criteria have not been met.</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Represents non-qualified stock options (“NQSOs”) granted to Mr. Messina October 4, 2018. One-third of granted options vested each of October 4, 2019 and October 4, 2020, with the remaining options vesting on the third anniversary of the grant.</w:t>
      </w:r>
    </w:p>
    <w:p>
      <w:pPr>
        <w:spacing w:after="0" w:line="1" w:lineRule="exact"/>
        <w:rPr>
          <w:rFonts w:ascii="Arial" w:cs="Arial" w:eastAsia="Arial" w:hAnsi="Arial"/>
          <w:sz w:val="30"/>
          <w:szCs w:val="30"/>
          <w:color w:val="auto"/>
          <w:vertAlign w:val="superscript"/>
        </w:rPr>
      </w:pPr>
    </w:p>
    <w:p>
      <w:pPr>
        <w:jc w:val="both"/>
        <w:ind w:left="340" w:hanging="332"/>
        <w:spacing w:after="0" w:line="204"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Represents RSUs granted to Mr. Messina October 4, 2018. One-third of granted units vested each of October 4, 2019 and October 4, 2020, with the remaining units vesting on the third anniversary of the grant, to be settled in shares except for a fractional unit resulting from the August 13, 2020 reverse stock split which will settle in cash.</w:t>
      </w:r>
    </w:p>
    <w:p>
      <w:pPr>
        <w:spacing w:after="0" w:line="2" w:lineRule="exact"/>
        <w:rPr>
          <w:rFonts w:ascii="Arial" w:cs="Arial" w:eastAsia="Arial" w:hAnsi="Arial"/>
          <w:sz w:val="30"/>
          <w:szCs w:val="30"/>
          <w:color w:val="auto"/>
          <w:vertAlign w:val="superscript"/>
        </w:rPr>
      </w:pPr>
    </w:p>
    <w:p>
      <w:pPr>
        <w:jc w:val="both"/>
        <w:ind w:left="340" w:hanging="332"/>
        <w:spacing w:after="0" w:line="225" w:lineRule="auto"/>
        <w:tabs>
          <w:tab w:leader="none" w:pos="340" w:val="left"/>
        </w:tabs>
        <w:numPr>
          <w:ilvl w:val="0"/>
          <w:numId w:val="50"/>
        </w:numPr>
        <w:rPr>
          <w:rFonts w:ascii="Arial" w:cs="Arial" w:eastAsia="Arial" w:hAnsi="Arial"/>
          <w:sz w:val="29"/>
          <w:szCs w:val="29"/>
          <w:color w:val="auto"/>
          <w:vertAlign w:val="superscript"/>
        </w:rPr>
      </w:pPr>
      <w:r>
        <w:rPr>
          <w:rFonts w:ascii="Arial" w:cs="Arial" w:eastAsia="Arial" w:hAnsi="Arial"/>
          <w:sz w:val="17"/>
          <w:szCs w:val="17"/>
          <w:color w:val="auto"/>
        </w:rPr>
        <w:t>Represents RSUs granted to Mr. Messina April 11, 2019, to Messrs. Anderson and Britti March 29, 2019 and Mr. Zeleny July 31, 2019. One-third of granted units vested on the first anniversary of the respective grant dates, with the remaining units vesting in equal tranches on the second and third anniversaries of the respective grant dates. Awards for all but Mr. Messina will settle in cash. Mr. Messina’s award has or will settle in shares, except for a fractional unit resulting from the August 13, 2020 reverse stock split which will settle in cash.</w:t>
      </w:r>
    </w:p>
    <w:p>
      <w:pPr>
        <w:spacing w:after="0" w:line="1" w:lineRule="exact"/>
        <w:rPr>
          <w:rFonts w:ascii="Arial" w:cs="Arial" w:eastAsia="Arial" w:hAnsi="Arial"/>
          <w:sz w:val="29"/>
          <w:szCs w:val="29"/>
          <w:color w:val="auto"/>
          <w:vertAlign w:val="superscript"/>
        </w:rPr>
      </w:pPr>
    </w:p>
    <w:p>
      <w:pPr>
        <w:ind w:left="340" w:hanging="332"/>
        <w:spacing w:after="0" w:line="187"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Represents RSUs granted March 30, 2020, vesting in equal tranches on the first, second and third anniversaries of the grant date. Awards for all but Mr. Messina will settle in cash.</w:t>
      </w:r>
    </w:p>
    <w:p>
      <w:pPr>
        <w:spacing w:after="0" w:line="1" w:lineRule="exact"/>
        <w:rPr>
          <w:rFonts w:ascii="Arial" w:cs="Arial" w:eastAsia="Arial" w:hAnsi="Arial"/>
          <w:sz w:val="30"/>
          <w:szCs w:val="30"/>
          <w:color w:val="auto"/>
          <w:vertAlign w:val="superscript"/>
        </w:rPr>
      </w:pPr>
    </w:p>
    <w:p>
      <w:pPr>
        <w:jc w:val="both"/>
        <w:ind w:left="340" w:hanging="332"/>
        <w:spacing w:after="0" w:line="220" w:lineRule="auto"/>
        <w:tabs>
          <w:tab w:leader="none" w:pos="34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Represents PRSUs granted to Mr. Messina April 11, 2019, to Messrs. Anderson and Britti March 29, 2019 and Mr. Zeleny July 31, 2019. These PRSUs are earned based on the Company’s TSR during the performance period of March 29, 2019 through March 29, 2022, and vest on the third anniversary of the respective grant dates. Awards for all but Mr. Messina will settle in cash, if earned. Mr. Messina’s award will settle in shares, except for a fractional unit resulting from the August 13, 2020 reverse stock split which will settle in cash. Amounts reported assume threshold levels of achievement.</w:t>
      </w:r>
    </w:p>
    <w:p>
      <w:pPr>
        <w:spacing w:after="0" w:line="4" w:lineRule="exact"/>
        <w:rPr>
          <w:rFonts w:ascii="Arial" w:cs="Arial" w:eastAsia="Arial" w:hAnsi="Arial"/>
          <w:sz w:val="30"/>
          <w:szCs w:val="30"/>
          <w:color w:val="auto"/>
          <w:vertAlign w:val="superscript"/>
        </w:rPr>
      </w:pPr>
    </w:p>
    <w:p>
      <w:pPr>
        <w:jc w:val="both"/>
        <w:ind w:left="340" w:hanging="332"/>
        <w:spacing w:after="0" w:line="234"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PRSUs granted to Mr. Messina April 11, 2019, and to Messrs. Anderson and Britti March 29, 2019. These PRSUs vest in equal thirds on the first, second and third anniversaries of the respective grant dates based on the Company’s cumulative Total Shareholder Return during three performance periods (the first from March 29, 2019 through March 29, 2020, the second from March 29, 2019 through March 29, 2021, and the third from March 29, 2019 through March 29, 2022). The first tranche was forfeited due to below-threshold performance. These awards will settle in cash, if earned. Amounts reported assume threshold levels of achievement.</w:t>
      </w:r>
    </w:p>
    <w:p>
      <w:pPr>
        <w:spacing w:after="0" w:line="3" w:lineRule="exact"/>
        <w:rPr>
          <w:rFonts w:ascii="Arial" w:cs="Arial" w:eastAsia="Arial" w:hAnsi="Arial"/>
          <w:sz w:val="28"/>
          <w:szCs w:val="28"/>
          <w:color w:val="auto"/>
          <w:vertAlign w:val="superscript"/>
        </w:rPr>
      </w:pPr>
    </w:p>
    <w:p>
      <w:pPr>
        <w:jc w:val="both"/>
        <w:ind w:left="340" w:hanging="332"/>
        <w:spacing w:after="0" w:line="228"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PRSUs granted March 30, 2020, vesting on the third anniversary of the grant date. These PRSUs are earned based on the Company’s TSR relative to its peer group during multiple performance periods between March 30, 2020 through March 30, 2023, as described in the “2020 Long-Term Incentive Awards” section above. Awards for all but Mr. Messina will settle in cash, if earned. Amounts reported assume maximum levels of achievement.</w:t>
      </w:r>
    </w:p>
    <w:p>
      <w:pPr>
        <w:spacing w:after="0" w:line="1" w:lineRule="exact"/>
        <w:rPr>
          <w:rFonts w:ascii="Arial" w:cs="Arial" w:eastAsia="Arial" w:hAnsi="Arial"/>
          <w:sz w:val="28"/>
          <w:szCs w:val="28"/>
          <w:color w:val="auto"/>
          <w:vertAlign w:val="superscript"/>
        </w:rPr>
      </w:pPr>
    </w:p>
    <w:p>
      <w:pPr>
        <w:ind w:left="340" w:right="20" w:hanging="332"/>
        <w:spacing w:after="0" w:line="200"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March 4, 2019 to Ms. Campbell. One-third of granted options vested on the first anniversary of the grant, with the remaining options vesting in equal tranches on the second and third anniversaries of the grant.</w:t>
      </w:r>
    </w:p>
    <w:p>
      <w:pPr>
        <w:jc w:val="both"/>
        <w:ind w:left="340" w:hanging="332"/>
        <w:spacing w:after="0" w:line="218"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RSUs granted March 4, 2019 to Ms. Campbell. One-third of granted units vested on the first anniversary of the grant. The remaining units vesting in equal tranches on the second and third anniversaries of the grant will settle in shares, except for a fractional unit resulting from the August 13, 2020 reverse stock split which will settle in cash.</w:t>
      </w:r>
    </w:p>
    <w:p>
      <w:pPr>
        <w:ind w:left="340" w:hanging="332"/>
        <w:spacing w:after="0" w:line="180"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5"/>
          <w:szCs w:val="15"/>
          <w:color w:val="auto"/>
        </w:rPr>
        <w:t>Represents RSUs granted September 10, 2020, vesting on the 18-month anniversary of the grant date. Awards will settle in cash.</w:t>
      </w:r>
    </w:p>
    <w:p>
      <w:pPr>
        <w:spacing w:after="0" w:line="2" w:lineRule="exact"/>
        <w:rPr>
          <w:rFonts w:ascii="Arial" w:cs="Arial" w:eastAsia="Arial" w:hAnsi="Arial"/>
          <w:sz w:val="25"/>
          <w:szCs w:val="25"/>
          <w:color w:val="auto"/>
          <w:vertAlign w:val="superscript"/>
        </w:rPr>
      </w:pPr>
    </w:p>
    <w:p>
      <w:pPr>
        <w:jc w:val="both"/>
        <w:ind w:left="340" w:hanging="332"/>
        <w:spacing w:after="0" w:line="242"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PRSUs granted March 4, 2019 to Ms. Campbell, time-vesting in equal fourths on the first, second, third and fourth anniversaries of the grant, and performance vesting upon the Average Stock Price equaling or exceeding $65.10 at any time during such four-year period. For these purposes, “Average Stock Price” means the average of the Adjusted Stock Price for a period of twenty consecutive trading days, and the term “Adjusted Stock Price” shall mean, for a particular trading day, the sum of (i) the closing price of the Company’s common stock on such trading day, and (ii) the aggregate amount of dividends paid by the Company on a share of its common stock during the period commencing on the award date and ending on the applicable trading day. Units will settle in shares, except for a fractional unit resulting from the August 13, 2020 reverse stock split which will settle in cash.</w:t>
      </w:r>
    </w:p>
    <w:p>
      <w:pPr>
        <w:spacing w:after="0" w:line="3" w:lineRule="exact"/>
        <w:rPr>
          <w:rFonts w:ascii="Arial" w:cs="Arial" w:eastAsia="Arial" w:hAnsi="Arial"/>
          <w:sz w:val="28"/>
          <w:szCs w:val="28"/>
          <w:color w:val="auto"/>
          <w:vertAlign w:val="superscript"/>
        </w:rPr>
      </w:pPr>
    </w:p>
    <w:p>
      <w:pPr>
        <w:ind w:left="340" w:right="20" w:hanging="332"/>
        <w:spacing w:after="0" w:line="200"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to Mr. Anderson May 14, 2014, one-fourth of which vest upon achieving a stock price of $1,003.50 and compounded annual gain of 20% over the exercise price, with the balance vesting one-fourth each subsequent anniversary.</w:t>
      </w:r>
    </w:p>
    <w:p>
      <w:pPr>
        <w:ind w:left="340" w:right="20" w:hanging="332"/>
        <w:spacing w:after="0" w:line="200"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NQSOs granted to Mr. Anderson May 14, 2014, one-fourth of which vest upon achieving a stock price of $1,505.25 and compounded annual gain of 25% over the exercise price, with the balance vesting one-fourth each subsequent anniversary.</w:t>
      </w:r>
    </w:p>
    <w:p>
      <w:pPr>
        <w:jc w:val="both"/>
        <w:ind w:left="340" w:hanging="332"/>
        <w:spacing w:after="0" w:line="218" w:lineRule="auto"/>
        <w:tabs>
          <w:tab w:leader="none" w:pos="34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Represents RSUs granted to Mr. Britti November 15, 2018. Twenty percent of units vested on each of the first and second anniversaries of the grant date. The remaining units vesting on the third anniversary of the grant will settle in shares, except for a fractional unit resulting from the August 13, 2020 reverse stock split which will settle in cash.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Option Exercises and Stock Vested During 2020</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2020 for the individuals named in the Summary Compensation Table. Unit counts for awards vesting prior to the August 13, 2020 reverse stock split have been adjusted proportionate to the 1:15 split ratio.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4"/>
          </w:tcPr>
          <w:p>
            <w:pPr>
              <w:ind w:left="820"/>
              <w:spacing w:after="0"/>
              <w:rPr>
                <w:sz w:val="20"/>
                <w:szCs w:val="20"/>
                <w:color w:val="auto"/>
              </w:rPr>
            </w:pPr>
            <w:r>
              <w:rPr>
                <w:rFonts w:ascii="Arial" w:cs="Arial" w:eastAsia="Arial" w:hAnsi="Arial"/>
                <w:sz w:val="18"/>
                <w:szCs w:val="18"/>
                <w:b w:val="1"/>
                <w:bCs w:val="1"/>
                <w:color w:val="auto"/>
              </w:rPr>
              <w:t>Option Awards</w:t>
            </w:r>
          </w:p>
        </w:tc>
        <w:tc>
          <w:tcPr>
            <w:tcW w:w="2880" w:type="dxa"/>
            <w:vAlign w:val="bottom"/>
            <w:gridSpan w:val="4"/>
          </w:tcPr>
          <w:p>
            <w:pPr>
              <w:ind w:left="86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Value Realized</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91"/>
              </w:rPr>
              <w:t>Acquired on</w:t>
            </w:r>
          </w:p>
        </w:tc>
        <w:tc>
          <w:tcPr>
            <w:tcW w:w="1560" w:type="dxa"/>
            <w:vAlign w:val="bottom"/>
            <w:gridSpan w:val="2"/>
            <w:vMerge w:val="continue"/>
          </w:tcPr>
          <w:p>
            <w:pPr>
              <w:spacing w:after="0"/>
              <w:rPr>
                <w:sz w:val="15"/>
                <w:szCs w:val="15"/>
                <w:color w:val="auto"/>
              </w:rPr>
            </w:pPr>
          </w:p>
        </w:tc>
        <w:tc>
          <w:tcPr>
            <w:tcW w:w="154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1"/>
              </w:rPr>
              <w:t>Acquired on</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56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6"/>
              </w:rPr>
              <w:t>on Exercise</w:t>
            </w:r>
            <w:r>
              <w:rPr>
                <w:rFonts w:ascii="Arial" w:cs="Arial" w:eastAsia="Arial" w:hAnsi="Arial"/>
                <w:sz w:val="25"/>
                <w:szCs w:val="25"/>
                <w:b w:val="1"/>
                <w:bCs w:val="1"/>
                <w:color w:val="auto"/>
                <w:w w:val="96"/>
                <w:vertAlign w:val="superscript"/>
              </w:rPr>
              <w:t>(1)</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Vesting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on Vesting</w:t>
            </w:r>
          </w:p>
        </w:tc>
        <w:tc>
          <w:tcPr>
            <w:tcW w:w="0" w:type="dxa"/>
            <w:vAlign w:val="bottom"/>
          </w:tcPr>
          <w:p>
            <w:pPr>
              <w:spacing w:after="0"/>
              <w:rPr>
                <w:sz w:val="1"/>
                <w:szCs w:val="1"/>
                <w:color w:val="auto"/>
              </w:rPr>
            </w:pPr>
          </w:p>
        </w:tc>
      </w:tr>
      <w:tr>
        <w:trPr>
          <w:trHeight w:val="277"/>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4"/>
                <w:szCs w:val="24"/>
                <w:color w:val="auto"/>
              </w:rPr>
            </w:pPr>
          </w:p>
        </w:tc>
        <w:tc>
          <w:tcPr>
            <w:tcW w:w="124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9"/>
                <w:szCs w:val="29"/>
                <w:b w:val="1"/>
                <w:bCs w:val="1"/>
                <w:color w:val="auto"/>
                <w:w w:val="87"/>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4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34,407</w:t>
            </w:r>
          </w:p>
        </w:tc>
        <w:tc>
          <w:tcPr>
            <w:tcW w:w="3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614,000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June C. Campbell</w:t>
            </w:r>
          </w:p>
        </w:tc>
        <w:tc>
          <w:tcPr>
            <w:tcW w:w="16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543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4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W. Anderson</w:t>
            </w:r>
          </w:p>
        </w:tc>
        <w:tc>
          <w:tcPr>
            <w:tcW w:w="16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27,059</w:t>
            </w: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Dennis Zeleny</w:t>
            </w:r>
          </w:p>
        </w:tc>
        <w:tc>
          <w:tcPr>
            <w:tcW w:w="16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2,193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39,144</w:t>
            </w:r>
          </w:p>
        </w:tc>
        <w:tc>
          <w:tcPr>
            <w:tcW w:w="0" w:type="dxa"/>
            <w:vAlign w:val="bottom"/>
          </w:tcPr>
          <w:p>
            <w:pPr>
              <w:spacing w:after="0"/>
              <w:rPr>
                <w:sz w:val="1"/>
                <w:szCs w:val="1"/>
                <w:color w:val="auto"/>
              </w:rPr>
            </w:pPr>
          </w:p>
        </w:tc>
      </w:tr>
      <w:tr>
        <w:trPr>
          <w:trHeight w:val="24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 Britti</w:t>
            </w:r>
          </w:p>
        </w:tc>
        <w:tc>
          <w:tcPr>
            <w:tcW w:w="16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24,425</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30"/>
          <w:szCs w:val="30"/>
          <w:color w:val="auto"/>
          <w:vertAlign w:val="superscript"/>
        </w:rPr>
      </w:pPr>
      <w:r>
        <w:rPr>
          <w:rFonts w:ascii="Arial" w:cs="Arial" w:eastAsia="Arial" w:hAnsi="Arial"/>
          <w:sz w:val="18"/>
          <w:szCs w:val="18"/>
          <w:color w:val="auto"/>
        </w:rPr>
        <w:t>No options were exercised during 2020.</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51"/>
        </w:numPr>
        <w:rPr>
          <w:rFonts w:ascii="Arial" w:cs="Arial" w:eastAsia="Arial" w:hAnsi="Arial"/>
          <w:sz w:val="30"/>
          <w:szCs w:val="30"/>
          <w:color w:val="auto"/>
          <w:vertAlign w:val="superscript"/>
        </w:rPr>
      </w:pPr>
      <w:r>
        <w:rPr>
          <w:rFonts w:ascii="Arial" w:cs="Arial" w:eastAsia="Arial" w:hAnsi="Arial"/>
          <w:sz w:val="18"/>
          <w:szCs w:val="18"/>
          <w:color w:val="auto"/>
        </w:rPr>
        <w:t>The dollar amounts shown in this column for stock awards are calculated based on the closing price of a share of our common stock on the New York Stock Exchange on the date of vesting.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non-disclosure, non-competition and non-solicitation agreements discussed above under “Restrictive Covenants,” and our clawback policy, as applicable. In addition, a named executive officer would typically retain any vested portion of prior equity awards granted through the 1998 Annual Incentive Plan, the 2007 Plan and the 2017 Plan.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Treatment of Annual Incentive Plan. </w:t>
      </w:r>
      <w:r>
        <w:rPr>
          <w:rFonts w:ascii="Arial" w:cs="Arial" w:eastAsia="Arial" w:hAnsi="Arial"/>
          <w:sz w:val="18"/>
          <w:szCs w:val="18"/>
          <w:color w:val="auto"/>
        </w:rPr>
        <w:t>The Compensation Committee approved a modification to the 2020 AIP which provided that in the event of a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control, 2020 AIP compensation would be paid at the greater of actual or target performance levels.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Treatment of Options and Equity. </w:t>
      </w:r>
      <w:r>
        <w:rPr>
          <w:rFonts w:ascii="Arial" w:cs="Arial" w:eastAsia="Arial" w:hAnsi="Arial"/>
          <w:sz w:val="17"/>
          <w:szCs w:val="17"/>
          <w:color w:val="auto"/>
        </w:rPr>
        <w:t>Our stock option agreements generally provide that, in the event of death, disability, retirement or termination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 (iii) all vested options generally terminate within a specified timeframe. Upon termination for cause, all vested and unvested options are immediately terminated. Additionally, pursuant to these stock option agreements, if there is a “change in control” as defined in the applicable stock option agreement, all options would immediately vest.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time-based and performance-based stock unit agreements for awards granted prior to March 29, 2019 provide for continued vesting upon retirement, disability or death. Upon retirement on or after the first anniversary of the award, or in the event of disability, vesting of the award continues as provided in the award agreement if certain conditions relating to cooperation and non-competition as set forth in the agreement are met. Upon death, vesting also continues as provided in the award agreement. If terminated (other than by retirement, disability or death), any unvested portion of the award shall be terminated on the last day of employment. If there is a “change in control” as defined in the applicable stock unit agreement, then all outstanding and unvested awards immediately vest.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provisions in our equity award agreements relating to change in control support our compelling business need to incentivize the retention of key employees during the uncertain times preceding a potential change in control. As described below, awards granted on or after March 29, 2019 provide for accelerated vesting following a change in control only if such change in control is followed by actual or constructive termination (i.e., a “double trigger”), in order to further incentivize post-change in control retention and engagement.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For the LTIP awards granted March 29, 2019 and after, in the case of death or disability, the awards will immediately vest on a pro-rata basis in proportion to the percentage of the vesting period the participant served prior to termination, and the performance-based vesting condition shall be deemed to have been achieved at target level, as applicable. In the event of voluntary resignation (other than for good reason, as defined in the applicable award agreements), any unvested portion of an award will be forfeited.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 termination without cause or retirement, the restricted stock units vest in the same pro-rata manner described above, and the pro-rata portion (determined in the same manner described above) of the three-year cliff-vesting performance-restricted stock units remain eligible to become vested, subject to achievement of applicable performance objectives, and the transitional three-year ratable-vesting performance-restricted stock units remain eligible to become vested in full, subject to achievement of performance objectives.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a change in control, awards continue vesting in accordance with their terms, though the applicable performance-based vesting condition shall be deemed to have been achieved at target levels at each subsequent vesting date. If, within 12 months of such change in control (or, with respect to the special RSU awards granted to our NEOs (other than Mr. Messina), at any time following a change in control prior to the vesting date), the Company terminates the participant’s employment for any reason other than for cause, or the participant resigns for good reason, the awards will vest at target level as of the date of termination.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Treatment of Cash Awards. </w:t>
      </w:r>
      <w:r>
        <w:rPr>
          <w:rFonts w:ascii="Arial" w:cs="Arial" w:eastAsia="Arial" w:hAnsi="Arial"/>
          <w:sz w:val="17"/>
          <w:szCs w:val="17"/>
          <w:color w:val="auto"/>
        </w:rPr>
        <w:t>In the event of an involuntary termination due to a job elimination, reduction in force or group layoff, all cash awards would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immediately vest in full. In the case of death or disability, the awards will immediately vest on a pro-rata basis as described above.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Payments for Mr. Messina. </w:t>
      </w:r>
      <w:r>
        <w:rPr>
          <w:rFonts w:ascii="Arial" w:cs="Arial" w:eastAsia="Arial" w:hAnsi="Arial"/>
          <w:sz w:val="18"/>
          <w:szCs w:val="18"/>
          <w:color w:val="auto"/>
        </w:rPr>
        <w:t>In the event of Mr. Messina’s termination without cause or resignation for good reason, under the terms of his offer letter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entitled to receive (i) a lump sum termination payment in an amount equal to the sum of his base salary plus his annual target incentive, plus the estimated cost of 18 months’ COBRA benefit premiums, (ii) a pro rata portion of his annual bonus payment based on actual achievement of Ocwen performance objectives, and (iii) payment of any unpaid prior year bonus. In addition, in the event of Mr. Messina’s termination without cause, resignation for good reason or termination due to death or disability, he will be entitled to accelerated vesting of his sign-on option award and sign-on restricted stock unit award. If within two years following a change in control his employment is terminated without cause or he resigns for good reason, the value of his lump sum termination payment will increase to two years of base salary, target incentive and COBRA benefit premiums, in addition to continued bonus eligibility outlined above.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Severance Plans. </w:t>
      </w:r>
      <w:r>
        <w:rPr>
          <w:rFonts w:ascii="Arial" w:cs="Arial" w:eastAsia="Arial" w:hAnsi="Arial"/>
          <w:sz w:val="18"/>
          <w:szCs w:val="18"/>
          <w:color w:val="auto"/>
        </w:rPr>
        <w:t>Messrs. Anderson, Britti and Zeleny and Ms. Campbell are eligible for severance benefits upon a qualifying termination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conditioned upon the execution of a separation and release agreement, consistent with either the United States Basic Severance Plan (the “Severance Plan”) or the United States Change in Control Severance Plan (the “CIC Plan”).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Severance Plan, if an executive officer’s employment with the Company is terminated by the Company due to an eligible termination as defined in the Plan, the executive will be entitled to receive the following benefits: (i) a lump sum payment equal to 18 times the monthly base salary rate; and (ii) eligibility for subsidized COBRA benefit premiums for continued healthcare coverage for up to 18 months, if elected.</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CIC Plan, if a Change in Control (as defined in the Plan) occurs and either the participant’s employment is involuntarily terminated or he or she resigns for good reason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and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eligibility for subsidized COBRA benefit premiums for continued healthcare coverage for up to 24 months, if elected.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Tabular Disclosure of Payments on Termination or Change in Control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table below sets forth the potential benefits that each named executive officer serving as of December 31, 2020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2020.</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value of any outstanding equity awards that would accelerate is determined by multiplying (i) the number of unvested restricted stock units held by the named executive officer that would accelerate by (ii) $28.91, the closing price of a share of our common stock on the New York Stock Exchange on December 31, 2020 (the last trading day of the year). Additionally, at that share price, no stock options for which vesting would accelerate had value.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91"/>
              </w:rPr>
              <w:t>Voluntary</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2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Termination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without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Good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Reason or</w:t>
            </w:r>
          </w:p>
        </w:tc>
        <w:tc>
          <w:tcPr>
            <w:tcW w:w="12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Voluntary</w:t>
            </w:r>
          </w:p>
        </w:tc>
        <w:tc>
          <w:tcPr>
            <w:tcW w:w="1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Involuntary</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Control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Involuntary</w:t>
            </w: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Resignation</w:t>
            </w:r>
          </w:p>
        </w:tc>
        <w:tc>
          <w:tcPr>
            <w:tcW w:w="1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Termination</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Control</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with</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Termination</w:t>
            </w:r>
          </w:p>
        </w:tc>
        <w:tc>
          <w:tcPr>
            <w:tcW w:w="12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with Good</w:t>
            </w:r>
          </w:p>
        </w:tc>
        <w:tc>
          <w:tcPr>
            <w:tcW w:w="1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Not for</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without</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Qualifying</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Disability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60" w:type="dxa"/>
            <w:vAlign w:val="bottom"/>
          </w:tcPr>
          <w:p>
            <w:pPr>
              <w:ind w:left="136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Cause</w:t>
            </w:r>
          </w:p>
        </w:tc>
        <w:tc>
          <w:tcPr>
            <w:tcW w:w="12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Reason</w:t>
            </w:r>
          </w:p>
        </w:tc>
        <w:tc>
          <w:tcPr>
            <w:tcW w:w="1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Cause</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Termination</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Termination</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or Death</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Retirement</w:t>
            </w:r>
          </w:p>
        </w:tc>
      </w:tr>
      <w:tr>
        <w:trPr>
          <w:trHeight w:val="243"/>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 A. Messina</w:t>
            </w:r>
          </w:p>
        </w:tc>
        <w:tc>
          <w:tcPr>
            <w:tcW w:w="2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4,204,341</w:t>
            </w: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7"/>
              </w:rPr>
              <w:t>5,028,785</w:t>
            </w:r>
          </w:p>
        </w:tc>
        <w:tc>
          <w:tcPr>
            <w:tcW w:w="2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631,551</w:t>
            </w:r>
          </w:p>
        </w:tc>
        <w:tc>
          <w:tcPr>
            <w:tcW w:w="2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13,186,268</w:t>
            </w:r>
          </w:p>
        </w:tc>
        <w:tc>
          <w:tcPr>
            <w:tcW w:w="2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2,180,745</w:t>
            </w:r>
          </w:p>
        </w:tc>
        <w:tc>
          <w:tcPr>
            <w:tcW w:w="2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824,444</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3160" w:type="dxa"/>
            <w:vAlign w:val="bottom"/>
          </w:tcPr>
          <w:p>
            <w:pPr>
              <w:spacing w:after="0"/>
              <w:rPr>
                <w:sz w:val="20"/>
                <w:szCs w:val="20"/>
                <w:color w:val="auto"/>
              </w:rPr>
            </w:pPr>
            <w:r>
              <w:rPr>
                <w:rFonts w:ascii="Arial" w:cs="Arial" w:eastAsia="Arial" w:hAnsi="Arial"/>
                <w:sz w:val="18"/>
                <w:szCs w:val="18"/>
                <w:color w:val="auto"/>
              </w:rPr>
              <w:t>June C. Campbell</w:t>
            </w:r>
          </w:p>
        </w:tc>
        <w:tc>
          <w:tcPr>
            <w:tcW w:w="200" w:type="dxa"/>
            <w:vAlign w:val="bottom"/>
          </w:tcPr>
          <w:p>
            <w:pPr>
              <w:spacing w:after="0"/>
              <w:rPr>
                <w:sz w:val="20"/>
                <w:szCs w:val="20"/>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712,500</w:t>
            </w:r>
          </w:p>
        </w:tc>
        <w:tc>
          <w:tcPr>
            <w:tcW w:w="1340" w:type="dxa"/>
            <w:vAlign w:val="bottom"/>
            <w:gridSpan w:val="3"/>
          </w:tcPr>
          <w:p>
            <w:pPr>
              <w:ind w:left="400"/>
              <w:spacing w:after="0"/>
              <w:rPr>
                <w:sz w:val="20"/>
                <w:szCs w:val="20"/>
                <w:color w:val="auto"/>
              </w:rPr>
            </w:pPr>
            <w:r>
              <w:rPr>
                <w:rFonts w:ascii="Arial" w:cs="Arial" w:eastAsia="Arial" w:hAnsi="Arial"/>
                <w:sz w:val="18"/>
                <w:szCs w:val="18"/>
                <w:color w:val="auto"/>
              </w:rPr>
              <w:t>1,076,442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142,403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2,929,829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267,659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125,942</w:t>
            </w:r>
          </w:p>
        </w:tc>
      </w:tr>
      <w:tr>
        <w:trPr>
          <w:trHeight w:val="24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Scott W. Anderson</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1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1,262,459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3,229,217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448,100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162,459</w:t>
            </w:r>
          </w:p>
        </w:tc>
      </w:tr>
      <w:tr>
        <w:trPr>
          <w:trHeight w:val="237"/>
        </w:trPr>
        <w:tc>
          <w:tcPr>
            <w:tcW w:w="3160" w:type="dxa"/>
            <w:vAlign w:val="bottom"/>
          </w:tcPr>
          <w:p>
            <w:pPr>
              <w:spacing w:after="0"/>
              <w:rPr>
                <w:sz w:val="20"/>
                <w:szCs w:val="20"/>
                <w:color w:val="auto"/>
              </w:rPr>
            </w:pPr>
            <w:r>
              <w:rPr>
                <w:rFonts w:ascii="Arial" w:cs="Arial" w:eastAsia="Arial" w:hAnsi="Arial"/>
                <w:sz w:val="18"/>
                <w:szCs w:val="18"/>
                <w:color w:val="auto"/>
              </w:rPr>
              <w:t>Dennis Zeleny</w:t>
            </w:r>
          </w:p>
        </w:tc>
        <w:tc>
          <w:tcPr>
            <w:tcW w:w="200" w:type="dxa"/>
            <w:vAlign w:val="bottom"/>
          </w:tcPr>
          <w:p>
            <w:pPr>
              <w:spacing w:after="0"/>
              <w:rPr>
                <w:sz w:val="20"/>
                <w:szCs w:val="20"/>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637,500</w:t>
            </w:r>
          </w:p>
        </w:tc>
        <w:tc>
          <w:tcPr>
            <w:tcW w:w="1340" w:type="dxa"/>
            <w:vAlign w:val="bottom"/>
            <w:gridSpan w:val="3"/>
          </w:tcPr>
          <w:p>
            <w:pPr>
              <w:ind w:left="400"/>
              <w:spacing w:after="0"/>
              <w:rPr>
                <w:sz w:val="20"/>
                <w:szCs w:val="20"/>
                <w:color w:val="auto"/>
              </w:rPr>
            </w:pPr>
            <w:r>
              <w:rPr>
                <w:rFonts w:ascii="Arial" w:cs="Arial" w:eastAsia="Arial" w:hAnsi="Arial"/>
                <w:sz w:val="18"/>
                <w:szCs w:val="18"/>
                <w:color w:val="auto"/>
              </w:rPr>
              <w:t>1,063,110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2,907,547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413,782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166,610</w:t>
            </w:r>
          </w:p>
        </w:tc>
      </w:tr>
      <w:tr>
        <w:trPr>
          <w:trHeight w:val="24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John V. Britti</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675,000</w:t>
            </w:r>
          </w:p>
        </w:tc>
        <w:tc>
          <w:tcPr>
            <w:tcW w:w="1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1,088,338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126,799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2,962,568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515,538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267,137</w:t>
            </w:r>
          </w:p>
        </w:tc>
      </w:tr>
      <w:tr>
        <w:trPr>
          <w:trHeight w:val="425"/>
        </w:trPr>
        <w:tc>
          <w:tcPr>
            <w:tcW w:w="3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2021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6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2020;</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Discussed with Deloitte &amp; Touche LLP, Ocwen’s independent registered public accounting firm, the matters required to be discussed by the applicable requirements of the Public Company Accounting Oversight Board and the Securities and Exchange Commission; and</w:t>
      </w:r>
    </w:p>
    <w:p>
      <w:pPr>
        <w:jc w:val="both"/>
        <w:ind w:left="66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ectPr>
          <w:pgSz w:w="11900" w:h="16838" w:orient="portrait"/>
          <w:cols w:equalWidth="0" w:num="1">
            <w:col w:w="11240"/>
          </w:cols>
          <w:pgMar w:left="320" w:top="66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April 16, 2021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J. Bowers, Chair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Jacques J. Busquet, Director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Kevin Stein, Director</w:t>
      </w:r>
    </w:p>
    <w:p>
      <w:pPr>
        <w:spacing w:after="0" w:line="200"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Deloitte &amp; Touche LLP Fees</w:t>
      </w:r>
    </w:p>
    <w:p>
      <w:pPr>
        <w:sectPr>
          <w:pgSz w:w="11900" w:h="16838" w:orient="portrait"/>
          <w:cols w:equalWidth="0" w:num="1">
            <w:col w:w="11240"/>
          </w:cols>
          <w:pgMar w:left="320" w:top="661"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2020 and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4,821,470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6,203,710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696,463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783,366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2,178,565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1,846,820</w:t>
            </w: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150,000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7,846,499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8,868,895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fiscal years 2020 and 2019, for the reviews of the financial statements included in Ocwen’s quarterly reports on Form 10-Q during fiscal years 2020 and 2019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Related Fees. </w:t>
      </w:r>
      <w:r>
        <w:rPr>
          <w:rFonts w:ascii="Arial" w:cs="Arial" w:eastAsia="Arial" w:hAnsi="Arial"/>
          <w:sz w:val="18"/>
          <w:szCs w:val="18"/>
          <w:color w:val="auto"/>
        </w:rPr>
        <w:t>This category includes the aggregate fees billed for reporting on internal controls relating to servicing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for tax compliance, tax planning and tax advice.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amounts billed in each of the last two fiscal years by the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that are not reported above under “Audit Fees,” “Audit-Related Fees” or “Tax Fees.” The 2020 amount includes fees of $150,000 paid to provide a comfort letter in connection with a corporate debt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The Audit Committee evaluated the non-audit-related services provided by and fees paid to Deloitte &amp; Touche LLP in 2019 and 2020 and the proposed services for 2021 and determined that such services and fees are compatible with the independence of Deloitte &amp; Touche LLP.</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Principles for Audit Committee Pre-Approval of Audit and Non-Audit Services Provided by the Independent Auditor (the “Pre-Approval Principles”). </w:t>
      </w:r>
      <w:r>
        <w:rPr>
          <w:rFonts w:ascii="Arial" w:cs="Arial" w:eastAsia="Arial" w:hAnsi="Arial"/>
          <w:sz w:val="17"/>
          <w:szCs w:val="17"/>
          <w:color w:val="auto"/>
        </w:rPr>
        <w:t>The 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does not delegate its responsibilities to pre-approve services performed by the independent auditor to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more detail under the heading “Executive Compensation,” we believe our executive compensation programs are effectively designed, are in alignment with the interests of our shareholders and are instrumental to achieving our business strategy. At our Annual Meeting of Shareholders in 2020, we received 90% of votes cast on our Say-on-Pay proposal in favor of our executive compensation.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considered the result of the 2020 Say-on-Pay proposal, as well as input gathered during outreach efforts to shareholders and investors in designing our 2021 executive compensation program. Through these efforts, we reached out to shareholders who held approximately 60% of our outstanding shares. During the process, we discussed progress made toward Ocwen’s financial turn-around, execution against the objectives in our business strategy, including in response to the pandemic, and how the metrics found in our executive pay programs tied back directly to achievement on those objectives. In particular, we demonstrated how AIP metrics were tied to improving profitability, continued cost reduction, improved operating metrics, and customer and employee satisfaction. We also reviewed the changes to our 2020 Long-Term Incentive program to incorporate performance metrics based on total shareholder return relative to our peer group, and the rationale underlying the grant of our September 2020 compensation awards, which was to promote management stability and, like all awards, incentivize efforts to identify and execute strategic change opportunities that create value for our shareholders. As a result of our outreach efforts, we feel confident that shareholders understand and support the linkage of our 2020 executive pay programs to reducing costs, improving operating profitability, diversifying our revenue sources and securing the talent needed to continue strengthening Ocwen.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2021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2017 Annual Meeting for Shareholders, who voted overwhelmingly to advise the Company to hold Say-on-Pay votes annually. Therefore, we expect that the next such vote will occur at the 2023 annual meeting of shareholders.</w:t>
      </w:r>
    </w:p>
    <w:p>
      <w:pPr>
        <w:spacing w:after="0" w:line="183" w:lineRule="exact"/>
        <w:rPr>
          <w:sz w:val="20"/>
          <w:szCs w:val="20"/>
          <w:color w:val="auto"/>
        </w:rPr>
      </w:pPr>
    </w:p>
    <w:p>
      <w:pPr>
        <w:jc w:val="center"/>
        <w:ind w:left="340" w:right="15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APPROVAL OF THE OCWEN FINANCIAL CORPORATION 2021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Four)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Annual Meeting, shareholders will be asked to approve the Ocwen Financial Corporation 2021 Equity Incentive Plan (the “2021 Plan”), which was adopted, subject to shareholder approval, by our Board of Directors on April 14,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that incentives and stock-based awards focus employees on the objective of creating shareholder value and promoting the success of the Company, and that incentive compensation plans like the proposed 2021 Plan are an important attraction, retention and motivation tool for participants in the plan.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maintains the 2017 Performance Incentive Plan (the “2017 Plan”). In addition, awards remain outstanding under our 2007 Equity Incentive Plan (the “2007 Plan” and together with the 2017 Plan, the “Legacy Plans”). As of April 15, 2021, a total of 634,875 shares of the Company’s common stock were subject to outstanding awards granted under Legacy Plans, and no additional shares of the Company’s common stock were available for new award grants under the 2017 Plan.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of Directors believes that the number of shares currently available under the 2017 Plan does not give the Company sufficient authority and flexibility to adequately provide for future incentives. If shareholders approve the 2021 Plan, no new awards will be granted under the 2017 Plan after the Annual Meeting. In that case, the number of shares of the Company’s common stock that remain available for award grants under the 2017 Plan immediately prior to the Annual Meeting will become available for award grants under the 2021 Plan. An additional 490,000 shares of the Company’s common stock will also be made available for award grants under the 2021 Plan. In addition, if shareholders approve the 2021 Plan, any shares of common stock underlying RSUs granted under Legacy Plans that fail to vest, are canceled, or otherwise terminate after the Annual Meeting will also be available for award grant purposes under the 2021 Plan. None of the shares of the Company’s common stock underlying stock options that expire, are canceled, or otherwise terminate after the Annual Meeting will be available for award grant purposes under the 2021 Plan.</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shareholders do not approve the 2021 Plan, the Company will continue to have the authority to grant awards under the 2017 Plan. If shareholders approve the 2021 Plan, the termination of our grant authority under the 2017 Plan will not affect awards then outstanding under the Legacy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the 2021 Equity Incentive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principal terms of the 2021 Plan are summarized below. The following summary is qualified in its entirety by the full text of the 2021 Plan, which appears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2021 Plan is to promote the success of the Company by providing an additional means for us to attract, motivate, retain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reward selected employees and other eligible persons through the grant of awards. Equity-based awards are also intended to further align the interests of award recipients and our shareholders.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or one or more committees appointed by our Board of Directors will administer the 2021 Plan.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has delegated general administrative authority for the 2021 Plan to the Compensation Committee. The Board of Directors or a committee thereof (within its delegated authority) may delegate different levels of authority to different committees or persons with administrative and grant authority under the 2021 Plan. (The appropriate acting body, be it the Board of Directors or a committee or other person within its delegated authority, is referred to in this proposal as the “Administrator”.)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has broad authority under the 2021 Plan, including, without limitation, the authority:</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select eligible participants and determine the type(s) of award(s) that they are to receive;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grant awards and determine the terms and conditions of awards, including the price (if any) to be paid for the shares or the award and, in the case of share-based awards, the number of shares to be offered or awarded;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left="660" w:hanging="328"/>
        <w:spacing w:after="0" w:line="25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cancel, modify, or waive the Company’s rights with respect to, or modify, discontinue, suspend, or terminate any or all outstanding awards, subject to any required consents;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 to the other provisions of the 2021 Plan, to make certain adjustments to an outstanding award and to authorize the conversion, succession or substitution of an award;</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determine the method of payment of any purchase price for an award or shares of the Company’s common stock delivered under the 2021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approve the form of any award agreements used under the 2021 Plan;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construe and interpret the 2021 Plan, make rules for the administration of the 2021 Plan, and make all other determinations for the administration of the 2021 Plan.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No Repricing. </w:t>
      </w:r>
      <w:r>
        <w:rPr>
          <w:rFonts w:ascii="Arial" w:cs="Arial" w:eastAsia="Arial" w:hAnsi="Arial"/>
          <w:sz w:val="17"/>
          <w:szCs w:val="17"/>
          <w:color w:val="auto"/>
        </w:rPr>
        <w:t>In no case (except due to an adjustment to reflect a stock split or other event referred to under “Adjustments” below, or any repricing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approved by shareholders) will the Administrator (1) amend an outstanding stock option or stock appreciation right to reduce the exercise price or base price of the award, (2) cancel, exchange, or surrender an outstanding stock option or stock appreciation right in exchange for cash or other awards at any time that the exercise price or base price of the award is greater than fair market value or under any other circumstances that would constitute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Eligibility. </w:t>
      </w:r>
      <w:r>
        <w:rPr>
          <w:rFonts w:ascii="Arial" w:cs="Arial" w:eastAsia="Arial" w:hAnsi="Arial"/>
          <w:sz w:val="17"/>
          <w:szCs w:val="17"/>
          <w:color w:val="auto"/>
        </w:rPr>
        <w:t>Persons eligible to receive awards under the 2021 Plan include officers or employees of the Company or any of its subsidiaries, directors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certain consultants and advisors to the Company or any of its subsidiaries. As of April 15, 2021, the Company and its subsidiaries had approximately 4,900 employees (including all of the Company’s named executive officers), and six members of our Board of Directors who are not employed by the Company or any of its subsidiaries (“non-management directors”), all of which are considered eligible under the 2021 Plan. As of April 15, 2021, the Company and its subsidiaries had approximately 108 consultants and advisors who were also considered eligible under the 2021 Plan. In 2020, 93 employees and all non-management directors received awards under the 2017 Plan.</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i w:val="1"/>
          <w:iCs w:val="1"/>
          <w:color w:val="auto"/>
        </w:rPr>
        <w:t>Aggregate Share Limit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maximum number of shares of the Company’s common stock that may be issued or transferred pursuant to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Plan equals the sum of the following (such total number of shares, the “Share Limit”):</w:t>
      </w:r>
    </w:p>
    <w:p>
      <w:pPr>
        <w:spacing w:after="0" w:line="16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490,000 shares, plus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available for additional award grant purposes under the 2017 Plan as of April 14, 2021, the date the Board of Directors approved the 2021 Plan (the “Effective Date”), plus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number of any shares subject to restricted stock and restricted stock unit awards granted under the 2017 Plan that are outstanding and unvested as of the Effective Date which are forfeited, terminated, cancelled, or otherwise reacquired after the Effective Date without having become vested (with any such shares taken into account based on the premium share-counting rule discussed below for full-value awards).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8"/>
          <w:szCs w:val="18"/>
          <w:color w:val="auto"/>
        </w:rPr>
        <w:t>As of the Effective Date, no shares were available for additional award grant purposes under the 2017 Plan. Accordingly, if shareholders approve the 2021 Plan, the 490,000 shares requested above will initially be available for award grant purposes under the 2021 Plan. As noted above, no additional awards will be granted under the 2017 Plan if shareholders approve the 2021 Plan. As of the Effective Date, approximately 499,536 shares (before taking into account the premium share-counting rule discussed below) were subject to potential forfeit under restricted stock and restricted stock unit awards then outstanding under the Legacy Plans.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issued in respect of any “full-value award” granted under the 2021 Plan will be counted against the Share Limit as 1.2 shares for every one share actually issued in connection with the award. For example, if the Company granted a bonus of 100 shares of its common stock under the 2021 Plan, 120 shares would be counted against the Share Limit with respect to that award. For this purpose, a “full-value award” generally means any award granted under the 2021 Plan other than a stock option or stock appreciation right.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Additional Share Limits</w:t>
      </w:r>
      <w:r>
        <w:rPr>
          <w:rFonts w:ascii="Arial" w:cs="Arial" w:eastAsia="Arial" w:hAnsi="Arial"/>
          <w:sz w:val="18"/>
          <w:szCs w:val="18"/>
          <w:color w:val="auto"/>
        </w:rPr>
        <w:t>. The following other limits are also contained in the 2021 Plan. These limits are in addition to, and not in lieu of, the Share Limit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plan described above and, in the case of share-based limits, are applied on a one-for-one basis without applying the premium share-counting ratio for full-value awards discussed above.</w:t>
      </w:r>
    </w:p>
    <w:p>
      <w:pPr>
        <w:spacing w:after="0" w:line="184" w:lineRule="exact"/>
        <w:rPr>
          <w:sz w:val="20"/>
          <w:szCs w:val="20"/>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maximum number of shares that may be delivered pursuant to options qualified as incentive stock options granted under the plan is 333,333 shares.</w:t>
      </w:r>
    </w:p>
    <w:p>
      <w:pPr>
        <w:spacing w:after="0" w:line="170"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maximum grant date fair value for awards granted to a non-management director under the 2021 Plan during any one calendar year is $300,000, except that this limit will be $400,000 as to (1) a non-management director who is serving as the independent Chair of the Board of Directors or as a lead independent director at the time the applicable grant is made or (2) any new non-management director for the calendar year in which the non-management director is first elected or appointed to the Board of Directors. For purposes of this limit, the “grant date fair value” of an award means the value of the award on the date of grant of the award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non-management directors as a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Share-Limit Counting Rules. </w:t>
      </w:r>
      <w:r>
        <w:rPr>
          <w:rFonts w:ascii="Arial" w:cs="Arial" w:eastAsia="Arial" w:hAnsi="Arial"/>
          <w:sz w:val="18"/>
          <w:szCs w:val="18"/>
          <w:color w:val="auto"/>
        </w:rPr>
        <w:t>The Share Limit of the 2021 Plan is subject to the following rules: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that are subject to or underlie full-value awards which expire or for any reason are canceled, terminated, forfeited, fail to vest, or for any other reason are not paid or delivered under the 2021 Plan will not be counted against the Share Limit and will again be available for subsequent awards under the 2021 Plan.</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that underlie stock appreciation rights and stock options which expire or for any reason are cancelled or terminated, are forfeited, fail to vest, or for any other reason are not paid or delivered under the 2021 Plan shall be counted against the Share Limit and shall not be available for subsequent awards under the 2021 Plan.</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that shares are delivered pursuant to the exercise of a stock option or stock appreciation right granted under the 2021 Plan, the number of shares as to which the portion of the stock option or stock appreciation right is exercised shall be counted against the Share Limit. (For purposes of clarity, if a stock option or stock appreciation right relates to 100,000 shares and is exercised at a time when the net number of shares due to the participant is 15,000 shares (taking into account any shares withheld to satisfy any applicable exercise or base price of the award and any shares withheld to satisfy any tax withholding obligations arising in connection with such exercise), 100,000 shares shall be charged against the Share Limit with respect to such award.)</w:t>
      </w:r>
    </w:p>
    <w:p>
      <w:pPr>
        <w:spacing w:after="0" w:line="19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that are exchanged by a participant or withheld by the Company to pay the exercise price of a stock option or stock appreciation right granted under the 2021 Plan, as well as any shares exchanged or withheld to satisfy the tax withholding obligations related to any stock option or stock appreciation right, will not be available for subsequent awards under the 2021 Plan.</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Shares that are exchanged by a participant or withheld by the Company as full or partial payment in connection with any full-value award granted under the 2021 Plan or the Legacy Plans, as well as any shares exchanged by a participant or withheld by the Company to satisfy the tax withholding obligations related to any full-value award granted under the 2021 Plan or the Legacy Plans, will not be counted against the Share Limit and will again be available for subsequent awards under the 2021 Plan (with any such shares becoming available for subsequent awards taking into account the premium share-counting rule discussed above for full-value awards).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left="660" w:hanging="328"/>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23"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that shares are delivered in respect of a dividend equivalent right, the actual number of shares delivered with respect to the award shall be counted against the Share Limit. (For purposes of clarity, if 1,000 dividend equivalent rights are granted and outstanding when the Company pays a dividend, and 50 shares are delivered in payment of those rights with respect to that dividend, 60 shares shall be counted against the Share Limit, after giving effect to the share-counting rule discussed above for full-value awards.) Except as otherwise provided by the Administrator, shares delivered in respect of dividend equivalent rights shall not count against any individual award limit under the 2021 Plan other than the aggregate Share Limit.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2021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2021 Plan. The Company may not increase the applicable share limits of the 2021 Plan by repurchasing shares of common stock on the market (by using cash received through the exercise of stock options or otherwise).</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2021 Plan authorizes stock options, stock appreciation rights, and other forms of awards granted or denominated in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or units of the Company’s common stock, as well as cash bonus awards. The 2021 Plan retains flexibility to offer competitive incentives and to tailor benefits to specific needs and circumstances. Any award may be structured to be paid or settled in cash.</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stock option is the right to purchase shares of the Company’s common stock at a future date at a specified price per share (the “exercise price”).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2021 Plan” below. Incentive stock options are also subject to more restrictive terms and are limited in amount by the U.S. Internal Revenue Code and the 2021 Plan. Incentive stock options may only be granted to employees of the Company or a subsidiary.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stock appreciation right is the right to receive payment of an amount equal to the excess of the fair market value of a share of the Company’s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the Company’s common stock on the date of grant. Stock appreciation rights may be granted in connection with other awards or independently. The maximum term of a stock appreciation right is ten years from the date of grant.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types of awards that may be granted under the 2021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awards under the 2021 Plan (including awards of stock options and stock appreciation rights) may be fully-vested at grant or may be subject to time-and/or performance-based vesting requirements.</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Minimum Vesting Requirement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described below, each award granted under the 2021 Plan will be subject to a minimum vesting period of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An award may provide that it will vest earlier than the first anniversary of the date of grant of the award due to the death, disability, or involuntary termination of the employment or services of the award holder, or in connection with a “Change in Control” of the Company (as such term is defined in the 2021 Plan). Awards may, however, be granted under the 2021 Plan with minimum vesting requirements of less than one year, or no vesting requirements, provided that the total number of shares of the Company’s common stock subject to such awards will not exceed 5% of the Share Limit.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Dividend Equivalents; Deferrals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may provide for the deferred payment of awards, and may determine the other terms applicable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deferrals. The Administrator may provide that awards under the 2021 Plan (other than options or stock appreciation rights), and/or deferrals, earn dividends or dividend equivalents based on the amount of dividends paid on outstanding shares of Common Stock, provided that as to any dividend equivalent rights granted in connection with an award granted under the 2021 Plan that is subject to vesting requirements, no dividend equivalent payment will be made as to a portion of an award unless the related vesting conditions of that portion of an award are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jc w:val="both"/>
        <w:spacing w:after="0" w:line="269" w:lineRule="auto"/>
        <w:rPr>
          <w:sz w:val="20"/>
          <w:szCs w:val="20"/>
          <w:color w:val="auto"/>
        </w:rPr>
      </w:pPr>
      <w:r>
        <w:rPr>
          <w:rFonts w:ascii="Arial" w:cs="Arial" w:eastAsia="Arial" w:hAnsi="Arial"/>
          <w:sz w:val="17"/>
          <w:szCs w:val="17"/>
          <w:b w:val="1"/>
          <w:bCs w:val="1"/>
          <w:i w:val="1"/>
          <w:iCs w:val="1"/>
          <w:color w:val="auto"/>
        </w:rPr>
        <w:t>Assumption and Termination of Awards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an event occurs in which the Company does not survive (or does not survive as a public company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common stock), including, without limitation, a dissolution, merger, combination, consolidation, conversion, exchange of securities, or other reorganization, or a sale of all or substantially all of the business, stock or assets of the Company, awards then-outstanding under the 2021 Plan may not automatically become fully vested pursuant to the provisions of the 2021 Plan so long as such awards are assumed, substituted for or otherwise continued (i.e. no “single-trigger” awards). However, if awards then-outstanding under the 2021 Plan are to be terminated in such circumstances (without being assumed or substituted for), such awards would generally become fully vested (with any performance goals applicable to the award being deemed met at the “target” performance level), subject to any exceptions that the Administrator may provide for in an applicable award agreement. The Administrator also has the discretion to establish other change in control provisions with respect to awards granted under the 2021 Plan, subject to the prohibition on “single-trigger” awards. For example, the Administrator could provide for the acceleration of vesting or payment of an award in connection with a corporate event followed by termination of the award holder’s employment. For the treatment of outstanding equity awards held by our named executive officers in connection with a termination of employment and/or a change in control of the Company, please see the discussion under the heading “Potential Payments Upon Termination or Change in Control” above.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certain exceptions contained in Section 5.7 of the 2021 Plan, awards under the 2021 Plan generally are not transferable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Adjustments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is customary in incentive plans of this nature, each share limit and the number and kind of shares available under the 2021 Plan and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shareholders.</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No Limit on Other Authority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expressly provided with respect to the termination of the authority to grant new awards under the 2017 Plan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approve the 2021 Plan, the 2021 Plan does not limit the authority of the Board of Directors or any committee to grant awards or authorize any other compensation, with or without reference to the Company’s common stock, under any other plan or authority.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Termination of or Changes to the 2021 Plan and Outstanding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may amend or terminate the 2021 Plan at any time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manner. Shareholder approval for an amendment will be required only to the extent then required by applicable law or deemed necessary or advisable by the Board of Directors. Unless terminated earlier by the Board of Directors and subject to any extension that may be approved by shareholders, the authority to grant new awards under the 2021 Plan will terminate on April 14, 2031.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Awards under the 2021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income tax consequences of the 2021 Plan under current federal law, which is subject to change, are summarized in the following discussion of the general tax principles applicable to the 2021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federal income tax consequences of other awards authorized under the 2021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 award is accelerated under the 2021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Benefits under the 2021 Equity Incentive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not approved any awards that are conditioned upon shareholder approval of the 2021 Plan. The Company is not currently considering any other specific award grants under the 2021 Plan, other than the annual grants of restricted stock units to our non-management directors described in the following paragraph. If the 2021 Plan had been in existence in fiscal 2020, the Company expects that its award grants for fiscal 2020 would not have been substantially different from those actually made in that year under the 2017 Plan. For information regarding stock-based awards granted to the Company’s named executive officers during fiscal year 2020, please see the discussion under the heading “Executive Compensation” above. The Company granted similar awards in March 2021, with the difference that the March 2021 equity awards to executives were settleable in stock rather than cash to the extent of available shares. The Company generally expects to continue granting similar awards on an annual basis under the 2021 Plan.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under “Board of Directors Compensation” above, our current compensation policy for non-management directors provides for each non-management director to receive an annual award of restricted stock units, with the number of shares subject to each award to be determined by dividing $100,000 by the closing price of our stock as reported on the New York Stock Exchange on the grant date as described above. Assuming, for illustrative purposes only, that the price of the common stock used for the conversion of the dollar amount set forth above into shares is $50, the number of shares that would be allocated to the Company’s six non-management directors as a group pursuant to the annual grant formula is approximately 12,000 shares per year and approximately 120,000 shares in the aggregate over the 10-year term of the 2021 Plan. This calculation also assumes that there continue to be six non-management directors seated and that there are no changes to the awards granted under the director equity grant program.</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paragraphs include additional information to help you assess the potential dilutive impact of the Company’s equity awards and the 2021 Plan. The Legacy Plans are the Company’s only equity plans with outstanding awards. No new grants may be authorized under the 2007 Plan. While there continues to be authority to grant awards under the 2017 Plan, no shares under the 2017 Plan remain available.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Overhang</w:t>
      </w:r>
      <w:r>
        <w:rPr>
          <w:rFonts w:ascii="Arial" w:cs="Arial" w:eastAsia="Arial" w:hAnsi="Arial"/>
          <w:sz w:val="17"/>
          <w:szCs w:val="17"/>
          <w:color w:val="auto"/>
        </w:rPr>
        <w:t>” refers to the number of shares of the Company’s common stock that are subject to outstanding awards or remain available for new award grants. As of December 31, 2020, 326,174 shares of the Company’s common stock were subject to outstanding restricted stock and restricted stock unit awards, including 125,395 subject to performance-based vesting criteria, granted under the Legacy Plans, 124,866 shares of the Company’s common stock were subject to outstanding stock options, including 51,563 subject to performance-based vesting criteria, granted under the Legacy Plans, and 249,746 shares of the Company’s common stock were available for new award grants under the 2017 Plan. As of December 31, 2020, the weighted average exercise price and weighted average remaining term of the stock options outstanding under the Legacy Plans were $274.30 and 3.06 years, respectively. In this 2021 Plan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and before applying the provisions of the 2017 Plan for counting these awards against the plan’s Share Limit as 1.2 for every share actually issued pursuant to the award.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The weighted-average number of shares of the Company’s common stock issued and outstanding in each of the last three fiscal years was 8,913,558 shares issued and outstanding in 2018; 8,962,961 shares issued and outstanding in 2019; and 8,748,725 shares issued and outstanding in 2020. The number of shares of the Company’s common stock issued and outstanding as of December 31, 2020 and April 15, 2021 was 8,687,750 and 8,708,271 shares,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Burn rate</w:t>
      </w:r>
      <w:r>
        <w:rPr>
          <w:rFonts w:ascii="Arial" w:cs="Arial" w:eastAsia="Arial" w:hAnsi="Arial"/>
          <w:sz w:val="18"/>
          <w:szCs w:val="18"/>
          <w:color w:val="auto"/>
        </w:rPr>
        <w:t>” refers to the number of shares that are subject to awards that we grant over a particular period of time. The total number of shares of the Company’s common stock subject to awards that the Company granted under the 2017 Plan in each of the last three fiscal years, and to date (as of April 15, 2021) for 2021, are as follows:</w:t>
      </w:r>
    </w:p>
    <w:p>
      <w:pPr>
        <w:spacing w:after="0" w:line="184" w:lineRule="exact"/>
        <w:rPr>
          <w:sz w:val="20"/>
          <w:szCs w:val="20"/>
          <w:color w:val="auto"/>
        </w:rPr>
      </w:pPr>
    </w:p>
    <w:p>
      <w:pPr>
        <w:jc w:val="both"/>
        <w:ind w:left="660" w:hanging="328"/>
        <w:spacing w:after="0" w:line="31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129,068 shares in 2018 (which was 1.5% of the weighted-average number of shares of the Company’s common stock issued and outstanding in 2018), of which 105,843 shares were subject to restricted stock and restricted stock unit awards (including 6,201 subject to performance-based vesting conditions, assuming achievement of target performance levels), and 23,225 shares were subject to time-vesting stock options;</w:t>
      </w:r>
    </w:p>
    <w:p>
      <w:pPr>
        <w:spacing w:after="0" w:line="148" w:lineRule="exact"/>
        <w:rPr>
          <w:rFonts w:ascii="Arial" w:cs="Arial" w:eastAsia="Arial" w:hAnsi="Arial"/>
          <w:sz w:val="16"/>
          <w:szCs w:val="16"/>
          <w:color w:val="auto"/>
        </w:rPr>
      </w:pPr>
    </w:p>
    <w:p>
      <w:pPr>
        <w:jc w:val="both"/>
        <w:ind w:left="660" w:hanging="328"/>
        <w:spacing w:after="0" w:line="31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122,118 shares in 2019 (which was 1.4% of the weighted-average number of shares of the Company’s common stock issued and outstanding in 2019), of which 118,691 shares were subject to restricted stock and restricted stock unit awards (including 43,611 subject to performance-based vesting conditions, assuming achievement of target performance levels), and 3,427 shares were subject to time-vesting stock options;</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204,054 shares in 2020 (which was 2.3% of the weighted-average number of shares of the Company’s common stock issued and outstanding in 2020), all of which were shares subject to restricted stock and restricted stock unit awards (including 75,000 subject to performance-based vesting conditions, assuming achievement of target performance levels).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232,099 shares in 2021 through April 15, 2021 (which was 2.7% of the number of shares of the Company’s common stock issued and outstanding on April 15, 2021), all of which were shares subject to restricted stock and restricted stock unit awards (including 116,053 subject to performance-based vesting conditions, assuming achievement of target performance levels).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Thus, the total number of shares of the Company’s common stock subject to awards granted under the 2017 Plan per year over the last three fiscal years (2018, 2019 and 2020) has been, on average, 1.7% of the weighted-average number of shares of the Company’s common stock issued and outstanding for the corresponding year. Performance-based vesting awards have been included above in the year in which the award was granted. The actual number of performance-based vesting restricted stock and restricted stock unit awards that became eligible to vest each year because the applicable performance-based condition was satisfied in that year (subject to the satisfaction of any applicable time-based vesting requirements) was as follows: 25,153 in 2018, 23,731 in 2019, 21,790 in 2020, and 15,874 to date (as of April 15, 2021) in 2021. No shares subject to performance-based stock options became eligible to vest in 2018, 2019, 2020, or 2021 to date.</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number of shares of our common stock that were subject to awards granted under Legacy Plans that terminated or expired in each of the last three fiscal years, and to date (as of April 15, 2021) in 2021, are as follows: 385,601 in 2018, 38,091 in 2019, 13,056 in 2020, and 10,159 in 2021.</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anticipates that the 490,000 additional shares requested for the 2021 Plan (together with the shares available for new award grants under the 2017 Plan on the Annual Meeting date and assuming usual levels of shares becoming available for new awards as a result of forfeitures of outstanding awards) will provide the Company with flexibility to continue to grant equity awards under the 2021 Plan through approximately 2023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the Company grants, and how the Company chooses to balance total compensation between cash and equity-based awards.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closing market price for a share of the Company’s common stock as of April 14, 2021 was $26.30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as of the end of the most recently completed fiscal year with respect to compensation plans under which our equity securities are authorized for issuance is contained under the heading “Equity Compensation Plan Information”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 of the 2021 Equity Incentive Plan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believes that the adoption of the 2021 Plan will promote the interests of the Company and its shareholders and will help the Company and its subsidiaries to attract, retain and reward persons important to our success.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members of the Board of Directors and all of the Company’s executive officers are eligible for awards under the 2021 Plan and thus have a personal interest in the approval of the 2021 Plan.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proposal for approval of the 2021 Plan will be approved if the votes cast by the holders of the shares represented at the Annual Meeting and entitled to vote in favor of the proposal exceed the votes cast opposing the proposal. Under New York Stock Exchange listing standards applicable to shareholder approval of equity compensation plans, abstentions will be counted as votes cast and therefore will have the same effect as votes against the proposal. Broker “non-votes” will not be counted as votes cast and therefore will not be counted for purposes of determining whether the 2021 Plan has received a majority vote in favor of this proposal.</w:t>
      </w:r>
    </w:p>
    <w:p>
      <w:pPr>
        <w:spacing w:after="0" w:line="18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OUR BOARD OF DIRECTORS RECOMMENDS THAT YOU VOTE “FOR” APPROVAL OF THE 2021 EQUITY INCENTIVE PLAN AS DESCRIBED ABOVE AND SET FORTH IN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ind w:left="3360"/>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 (vii) 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Arial" w:cs="Arial" w:eastAsia="Arial" w:hAnsi="Arial"/>
          <w:sz w:val="17"/>
          <w:szCs w:val="17"/>
          <w:u w:val="single" w:color="auto"/>
          <w:color w:val="auto"/>
        </w:rPr>
        <w:t>www.ocwen.com</w:t>
      </w:r>
      <w:r>
        <w:rPr>
          <w:rFonts w:ascii="Arial" w:cs="Arial" w:eastAsia="Arial" w:hAnsi="Arial"/>
          <w:sz w:val="17"/>
          <w:szCs w:val="17"/>
          <w:color w:val="auto"/>
        </w:rPr>
        <w:t>, also includes policies and procedures that broadly cover situations in which conflicts of interest may arise.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and Compliance Committee (the “Committee”) of the Board of Directors provides independent review, approval and oversight of Related Party Transactions as required under the Policy.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may consider the following factors, as well as any others it deems appropriate, to the extent relevant to the transaction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 of such Related Party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information contained in filings under the Exchange Act, we understand that Deer Park Road Management Company, LP, an Ocwen shareholder reporting beneficial ownership of over 5% of our common stock, also reports beneficial ownership of 23.7% of the common stock of Altisource Portfolio Solutions, S.A. (“Altisource”) as of March 26, 2021. Pursuant to SEC guidance, we consider this shareholder to have an indirect material interest in our transactions with Altisource, and, pursuant to our Policy, we consider our transactions with Altisource and certain of its subsidiaries to be Related Party Transactions notwithstanding that such Specified Companies are not “related persons” as defined in Item 404 or “related parties” as defined in ASC 850.</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relationship with Altisource is governed by a series of agreements that set forth the terms on which we do business with Altisource, including a Services Agreement, under which Altisource provides various services, such as property valuation services, property preservation and inspection services and title services, among other things. Ocwen and Altisource have also entered into a Master Services Agreement pursuant to which Altisource currently provides title services to Ocwen for reverse mortgage loans.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For the year ended December 31, 2020, we did not pay Altisource significant amounts under these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Oaktree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21, 2020, we entered into a transaction agreement with affiliates of Oaktree Capital Management, L.P. (“Oaktree”) to form a joint venture for the purpose of investing in GSE MSRs that PHH Mortgage Corporation will subservice. Oaktree and Ocwen will hold 85% and 15% of the venture, respectively, and have agreed to invest equity up to $250 million over three years. The closing of the transaction is expected to occur in the first half of 2021. Upon closing, Ocwen also agreed to issue to Oaktree up to 4.9% of Ocwen’s then outstanding common stock at a price of $23.15 per share, and to issue to Oaktree warrants to purchase additional common stock equal to 3% of Ocwen’s then outstanding common stock at a purchase price of $24.31 per share, subject to anti-dilution adjustments.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spacing w:after="0" w:line="290" w:lineRule="auto"/>
        <w:rPr>
          <w:sz w:val="20"/>
          <w:szCs w:val="20"/>
          <w:color w:val="auto"/>
        </w:rPr>
      </w:pPr>
      <w:r>
        <w:rPr>
          <w:rFonts w:ascii="Arial" w:cs="Arial" w:eastAsia="Arial" w:hAnsi="Arial"/>
          <w:sz w:val="16"/>
          <w:szCs w:val="16"/>
          <w:color w:val="auto"/>
        </w:rPr>
        <w:t>On February 9, 2021, we executed an agreement with Oaktree to issue to Oaktree in a private placement $285 million of Ocwen senior secured notes in two separate tranches. The initial tranche of $199.5 million senior secured notes (the “Company Notes”) was issued on March 4, 2021 to certain special purpose entities owned by funds and accounts managed by Oaktree Capital Management, L.P. (the “Oaktree Investors”). The net proceeds before expenses from the issuance to Oaktree of the initial tranche of senior secured notes was $175.0 million (after $24.5 million of original issue discount). The Company Notes were issued pursuant to a Note and Warrant Purchase Agreement, dated February 9, 2021, between the Company and the Oaktree Investors. The additional $85.5 million tranche of senior secured notes to be issued to Oaktree is subject to certain conditions, including, but not limited to, the closing of the MSR joint venture with Oaktree. The net proceeds before expenses from the issuance to Oaktree of the additional tranche of senior secured notes and the warrants will be approximately $75.0 million (after $10.5 million of original issue discount).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concurrently with the initial issuance of the Company Notes, we issued to the Oaktree Investors warrants to purchase 1,184,768 shares of our common stock at an exercise price of $26.82 per share subject to anti-dilution adjustments. The warrants may be exercised at any time until the expiration date of March 4, 2027. The warrants, however, cannot be exercised to the extent that affiliates of Oaktree would beneficially own in excess of 9.9% of our outstanding stock following such issuance without 61 days advance notice.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Also in connection with the closing of the initial tranche of senior secured notes to Oaktree on March 4, 2021, Messrs. Jason Keller and Brian Laibow, who serve in management roles with the Oaktree Investors, joined Ocwen in the role of non-voting observers to our Board of Directors. Under our agreement with Oaktree, the Oaktree Investors may designate two Board of Directors observers for as long as the aggregate outstanding principal amount of the Second Lien Notes is at least $100 million or the Oaktree Investors and their affiliates collectively own at least 15.0% of all issued and outstanding common stock of the Company (assuming the exercise of certain warrants held by them in full).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18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SUBMISSION OF SHAREHOLDER PROPOSALS FOR 2022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to be Considered for Inclusion in Proxy Materials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2022 Annual Meeting of Shareholders, must be received by the Secretary of Ocwen at our principal executive offices no later than December 17, 2021 and must comply with the procedures prescribed in Rule 14a-8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Not Intended for Inclusion in Proxy Materials and for Nomination of Director Candidates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2022 Annual Meeting, we must receive written notice of the proposal or nomination no earlier than December 17, 2021 and no later than January 16, 2022,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2022 proxy materials and notices of intent to present a proposal or nomination directly at the 2022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 copy of our annual report on Form 10-K for the year ended December 31, 2020 was mailed on or about April 16, 2021 to shareholders of record as of March 26, 2021.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2020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this proxy statement and our annual report on Form 10-K for the year ended December 31, 2020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2021, (iii) “for” the approval, on an advisory basis, of the compensation of our named executive officers as disclosed in this proxy statement, and (iv) “for” the approval of the 2021 Equity Incentive Plan.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2021 Annual Meeting. If you are interested in participating in the virtual Annual Meeting and voting at that time, please see “Annual Meeting Participation” above for further details on participation requirements.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proxy statement and our 2020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0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PLAN</w:t>
      </w:r>
    </w:p>
    <w:p>
      <w:pPr>
        <w:spacing w:after="0" w:line="225"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purpose of this Ocwen Financial Corporation 2021 Equity Incentive Plan (this “</w:t>
      </w:r>
      <w:r>
        <w:rPr>
          <w:rFonts w:ascii="Arial" w:cs="Arial" w:eastAsia="Arial" w:hAnsi="Arial"/>
          <w:sz w:val="18"/>
          <w:szCs w:val="18"/>
          <w:b w:val="1"/>
          <w:bCs w:val="1"/>
          <w:color w:val="auto"/>
        </w:rPr>
        <w:t>Plan</w:t>
      </w:r>
      <w:r>
        <w:rPr>
          <w:rFonts w:ascii="Arial" w:cs="Arial" w:eastAsia="Arial" w:hAnsi="Arial"/>
          <w:sz w:val="18"/>
          <w:szCs w:val="18"/>
          <w:color w:val="auto"/>
        </w:rPr>
        <w:t>”) of Ocwen Financial Corporation, a Florida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80"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The Administrator (as such term is defined in Section 3.1) may grant awards under this Plan only to those persons that the Administrator determines to be Eligible Persons. An “</w:t>
      </w:r>
      <w:r>
        <w:rPr>
          <w:rFonts w:ascii="Arial" w:cs="Arial" w:eastAsia="Arial" w:hAnsi="Arial"/>
          <w:sz w:val="16"/>
          <w:szCs w:val="16"/>
          <w:b w:val="1"/>
          <w:bCs w:val="1"/>
          <w:color w:val="auto"/>
        </w:rPr>
        <w:t>Eligible Person</w:t>
      </w:r>
      <w:r>
        <w:rPr>
          <w:rFonts w:ascii="Arial" w:cs="Arial" w:eastAsia="Arial" w:hAnsi="Arial"/>
          <w:sz w:val="16"/>
          <w:szCs w:val="16"/>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or other entity a majority of whose outstanding voting stock or voting power is beneficially owned directly or indirectly by the Corporation; and “</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Corporation.</w:t>
      </w:r>
    </w:p>
    <w:p>
      <w:pPr>
        <w:spacing w:after="0" w:line="164"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ADMINISTRATION</w:t>
      </w:r>
    </w:p>
    <w:p>
      <w:pPr>
        <w:spacing w:after="0" w:line="225"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i w:val="1"/>
          <w:iCs w:val="1"/>
          <w:color w:val="auto"/>
        </w:rPr>
        <w:t>The Administrator</w:t>
      </w:r>
      <w:r>
        <w:rPr>
          <w:rFonts w:ascii="Arial" w:cs="Arial" w:eastAsia="Arial" w:hAnsi="Arial"/>
          <w:sz w:val="17"/>
          <w:szCs w:val="17"/>
          <w:color w:val="auto"/>
        </w:rPr>
        <w:t>. This Plan shall be administered by and all awards under this Plan shall be authorized by the Administrator.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Administrator</w:t>
      </w:r>
      <w:r>
        <w:rPr>
          <w:rFonts w:ascii="Arial" w:cs="Arial" w:eastAsia="Arial" w:hAnsi="Arial"/>
          <w:sz w:val="17"/>
          <w:szCs w:val="17"/>
          <w:color w:val="auto"/>
        </w:rPr>
        <w:t>” 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spacing w:after="0" w:line="182"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i w:val="1"/>
          <w:iCs w:val="1"/>
          <w:color w:val="auto"/>
        </w:rPr>
        <w:t>Powers of the Administrator</w:t>
      </w:r>
      <w:r>
        <w:rPr>
          <w:rFonts w:ascii="Arial" w:cs="Arial" w:eastAsia="Arial" w:hAnsi="Arial"/>
          <w:sz w:val="18"/>
          <w:szCs w:val="18"/>
          <w:color w:val="auto"/>
        </w:rPr>
        <w:t>. Subject to the express provisions of this Plan, the Administrator is authorized and empowered to do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things necessary 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spacing w:after="0" w:line="191" w:lineRule="exact"/>
        <w:rPr>
          <w:sz w:val="20"/>
          <w:szCs w:val="20"/>
          <w:color w:val="auto"/>
        </w:rPr>
      </w:pPr>
    </w:p>
    <w:p>
      <w:pPr>
        <w:ind w:left="1960" w:hanging="656"/>
        <w:spacing w:after="0" w:line="277" w:lineRule="auto"/>
        <w:tabs>
          <w:tab w:leader="none" w:pos="1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 eligibility and, from among those persons determined to be eligible, determine the particular Eligible Persons who will receive an award under this Plan;</w:t>
      </w:r>
    </w:p>
    <w:p>
      <w:pPr>
        <w:spacing w:after="0" w:line="170" w:lineRule="exact"/>
        <w:rPr>
          <w:rFonts w:ascii="Arial" w:cs="Arial" w:eastAsia="Arial" w:hAnsi="Arial"/>
          <w:sz w:val="18"/>
          <w:szCs w:val="18"/>
          <w:color w:val="auto"/>
        </w:rPr>
      </w:pPr>
    </w:p>
    <w:p>
      <w:pPr>
        <w:jc w:val="both"/>
        <w:ind w:left="1960" w:hanging="656"/>
        <w:spacing w:after="0" w:line="269" w:lineRule="auto"/>
        <w:tabs>
          <w:tab w:leader="none" w:pos="1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5.2),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ind w:left="840" w:hanging="656"/>
        <w:spacing w:after="0"/>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approve the forms of any award agreements (which need not be identical either as to type of award or among participants);</w:t>
      </w:r>
    </w:p>
    <w:p>
      <w:pPr>
        <w:spacing w:after="0" w:line="236" w:lineRule="exact"/>
        <w:rPr>
          <w:rFonts w:ascii="Arial" w:cs="Arial" w:eastAsia="Arial" w:hAnsi="Arial"/>
          <w:sz w:val="17"/>
          <w:szCs w:val="17"/>
          <w:color w:val="auto"/>
        </w:rPr>
      </w:pPr>
    </w:p>
    <w:p>
      <w:pPr>
        <w:jc w:val="both"/>
        <w:ind w:left="840" w:hanging="656"/>
        <w:spacing w:after="0" w:line="259"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86" w:lineRule="exact"/>
        <w:rPr>
          <w:rFonts w:ascii="Arial" w:cs="Arial" w:eastAsia="Arial" w:hAnsi="Arial"/>
          <w:sz w:val="18"/>
          <w:szCs w:val="18"/>
          <w:color w:val="auto"/>
        </w:rPr>
      </w:pPr>
    </w:p>
    <w:p>
      <w:pPr>
        <w:ind w:left="840" w:hanging="656"/>
        <w:spacing w:after="0" w:line="277"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cancel, modify, or waive the Corporation’s rights with respect to, or modify, discontinue, suspend, or terminate any or all outstanding awards, subject to any required consent under Section 8.6.5;</w:t>
      </w:r>
    </w:p>
    <w:p>
      <w:pPr>
        <w:spacing w:after="0" w:line="170" w:lineRule="exact"/>
        <w:rPr>
          <w:rFonts w:ascii="Arial" w:cs="Arial" w:eastAsia="Arial" w:hAnsi="Arial"/>
          <w:sz w:val="18"/>
          <w:szCs w:val="18"/>
          <w:color w:val="auto"/>
        </w:rPr>
      </w:pPr>
    </w:p>
    <w:p>
      <w:pPr>
        <w:jc w:val="both"/>
        <w:ind w:left="840" w:hanging="656"/>
        <w:spacing w:after="0" w:line="279" w:lineRule="auto"/>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accelerate, waive or extend the vesting or exercisability, or modify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71" w:lineRule="exact"/>
        <w:rPr>
          <w:rFonts w:ascii="Arial" w:cs="Arial" w:eastAsia="Arial" w:hAnsi="Arial"/>
          <w:sz w:val="17"/>
          <w:szCs w:val="17"/>
          <w:color w:val="auto"/>
        </w:rPr>
      </w:pPr>
    </w:p>
    <w:p>
      <w:pPr>
        <w:jc w:val="both"/>
        <w:ind w:left="840" w:right="20" w:hanging="656"/>
        <w:spacing w:after="0" w:line="286" w:lineRule="auto"/>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65" w:lineRule="exact"/>
        <w:rPr>
          <w:rFonts w:ascii="Arial" w:cs="Arial" w:eastAsia="Arial" w:hAnsi="Arial"/>
          <w:sz w:val="17"/>
          <w:szCs w:val="17"/>
          <w:color w:val="auto"/>
        </w:rPr>
      </w:pPr>
    </w:p>
    <w:p>
      <w:pPr>
        <w:jc w:val="both"/>
        <w:ind w:left="840" w:hanging="656"/>
        <w:spacing w:after="0" w:line="259"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 provided, that the grant date of any award may not be modified once such grant date has occurred;</w:t>
      </w:r>
    </w:p>
    <w:p>
      <w:pPr>
        <w:spacing w:after="0" w:line="186" w:lineRule="exact"/>
        <w:rPr>
          <w:rFonts w:ascii="Arial" w:cs="Arial" w:eastAsia="Arial" w:hAnsi="Arial"/>
          <w:sz w:val="18"/>
          <w:szCs w:val="18"/>
          <w:color w:val="auto"/>
        </w:rPr>
      </w:pPr>
    </w:p>
    <w:p>
      <w:pPr>
        <w:ind w:left="840" w:hanging="656"/>
        <w:spacing w:after="0" w:line="308" w:lineRule="auto"/>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determine whether, and the extent to which, adjustments are required pursuant to Section 7.1 hereof and take any other actions contemplated by Section 7 in connection with the occurrence of an event of the type described in Section 7;</w:t>
      </w:r>
    </w:p>
    <w:p>
      <w:pPr>
        <w:spacing w:after="0" w:line="146" w:lineRule="exact"/>
        <w:rPr>
          <w:rFonts w:ascii="Arial" w:cs="Arial" w:eastAsia="Arial" w:hAnsi="Arial"/>
          <w:sz w:val="17"/>
          <w:szCs w:val="17"/>
          <w:color w:val="auto"/>
        </w:rPr>
      </w:pPr>
    </w:p>
    <w:p>
      <w:pPr>
        <w:ind w:left="840" w:hanging="656"/>
        <w:spacing w:after="0" w:line="277"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acquire or settle (subject to Sections 7 and 8.6) rights under awards in cash, stock of equivalent value, or other consideration (subject to the no repricing provision below); and</w:t>
      </w:r>
    </w:p>
    <w:p>
      <w:pPr>
        <w:spacing w:after="0" w:line="170" w:lineRule="exact"/>
        <w:rPr>
          <w:rFonts w:ascii="Arial" w:cs="Arial" w:eastAsia="Arial" w:hAnsi="Arial"/>
          <w:sz w:val="18"/>
          <w:szCs w:val="18"/>
          <w:color w:val="auto"/>
        </w:rPr>
      </w:pPr>
    </w:p>
    <w:p>
      <w:pPr>
        <w:ind w:left="840" w:hanging="656"/>
        <w:spacing w:after="0" w:line="277"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 the fair market value of the Common Stock or awards under this Plan from time to time and/or the manner in which such value will be determined.</w:t>
      </w:r>
    </w:p>
    <w:p>
      <w:pPr>
        <w:spacing w:after="0" w:line="166"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i w:val="1"/>
          <w:iCs w:val="1"/>
          <w:color w:val="auto"/>
        </w:rPr>
        <w:t>Prohibition on Repricing</w:t>
      </w:r>
      <w:r>
        <w:rPr>
          <w:rFonts w:ascii="Arial" w:cs="Arial" w:eastAsia="Arial" w:hAnsi="Arial"/>
          <w:sz w:val="18"/>
          <w:szCs w:val="18"/>
          <w:color w:val="auto"/>
        </w:rPr>
        <w:t>. Notwithstanding anything to the contrary in Section 3.2 and except for an adjustment pursuant to Section 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repricing approved by stockholders, in no case may the Administrator (1) amend an outstanding stock option or stock appreciation right (“</w:t>
      </w:r>
      <w:r>
        <w:rPr>
          <w:rFonts w:ascii="Arial" w:cs="Arial" w:eastAsia="Arial" w:hAnsi="Arial"/>
          <w:sz w:val="18"/>
          <w:szCs w:val="18"/>
          <w:b w:val="1"/>
          <w:bCs w:val="1"/>
          <w:color w:val="auto"/>
        </w:rPr>
        <w:t>SAR</w:t>
      </w:r>
      <w:r>
        <w:rPr>
          <w:rFonts w:ascii="Arial" w:cs="Arial" w:eastAsia="Arial" w:hAnsi="Arial"/>
          <w:sz w:val="18"/>
          <w:szCs w:val="18"/>
          <w:color w:val="auto"/>
        </w:rPr>
        <w:t>”) to reduce the exercise price or base price of the award, (2) cancel, exchange, or surrender an outstanding stock option or SAR in exchange for cash or other awards at any time that the exercise price or base price of the award is greater than fair market value or under any other circumstances that would constitute repricing the award, or (3) cancel, exchange, or surrender an outstanding stock option or SAR in exchange for an option or SAR with an exercise or base price that is less than the exercise or base price of the original award.</w:t>
      </w: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71" w:name="page72"/>
    <w:bookmarkEnd w:id="71"/>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i w:val="1"/>
          <w:iCs w:val="1"/>
          <w:color w:val="auto"/>
        </w:rPr>
        <w:t>Binding Determinations</w:t>
      </w:r>
      <w:r>
        <w:rPr>
          <w:rFonts w:ascii="Arial" w:cs="Arial" w:eastAsia="Arial" w:hAnsi="Arial"/>
          <w:sz w:val="16"/>
          <w:szCs w:val="16"/>
          <w:color w:val="auto"/>
        </w:rPr>
        <w:t>. Any determination or other action taken by, or inaction of, the Corporation, any Subsidiary,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relating or 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applicable to ISOs, should any other award(s) fail to qualify for any intended tax treatment or be subject to tax, penalty, or interest under Section 409A of the Code or other tax penalties, should any award grant or other action with respect thereto not satisfy Rule 16b-3 promulgated under the Securities Exchange Act of 1934, as amended, or otherwise for any tax or other liability imposed on a participant with respect to an award.</w:t>
      </w:r>
    </w:p>
    <w:p>
      <w:pPr>
        <w:spacing w:after="0" w:line="390" w:lineRule="exact"/>
        <w:rPr>
          <w:sz w:val="20"/>
          <w:szCs w:val="20"/>
          <w:color w:val="auto"/>
        </w:rPr>
      </w:pPr>
    </w:p>
    <w:p>
      <w:pPr>
        <w:jc w:val="both"/>
        <w:ind w:left="1300" w:hanging="647"/>
        <w:spacing w:after="0" w:line="311" w:lineRule="auto"/>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i w:val="1"/>
          <w:iCs w:val="1"/>
          <w:color w:val="auto"/>
        </w:rPr>
        <w:t>Reliance on Experts</w:t>
      </w:r>
      <w:r>
        <w:rPr>
          <w:rFonts w:ascii="Arial" w:cs="Arial" w:eastAsia="Arial" w:hAnsi="Arial"/>
          <w:sz w:val="16"/>
          <w:szCs w:val="16"/>
          <w:color w:val="auto"/>
        </w:rPr>
        <w:t>. In making any determination or in taking or not taking any action under this Plan, the Administrator may obtain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may 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49"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i w:val="1"/>
          <w:iCs w:val="1"/>
          <w:color w:val="auto"/>
        </w:rPr>
        <w:t>Delegation</w:t>
      </w:r>
      <w:r>
        <w:rPr>
          <w:rFonts w:ascii="Arial" w:cs="Arial" w:eastAsia="Arial" w:hAnsi="Arial"/>
          <w:sz w:val="18"/>
          <w:szCs w:val="18"/>
          <w:color w:val="auto"/>
        </w:rPr>
        <w:t>. The Administrator may delegate ministerial, non-discretionary functions to individuals who are officers or employees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or any of its Subsidiaries or to third parties.</w:t>
      </w:r>
    </w:p>
    <w:p>
      <w:pPr>
        <w:spacing w:after="0" w:line="17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 SHARE LIMITS</w:t>
      </w:r>
    </w:p>
    <w:p>
      <w:pPr>
        <w:spacing w:after="0" w:line="225" w:lineRule="exact"/>
        <w:rPr>
          <w:sz w:val="20"/>
          <w:szCs w:val="20"/>
          <w:color w:val="auto"/>
        </w:rPr>
      </w:pPr>
    </w:p>
    <w:p>
      <w:pPr>
        <w:jc w:val="both"/>
        <w:ind w:left="1300" w:hanging="647"/>
        <w:spacing w:after="0" w:line="301" w:lineRule="auto"/>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i w:val="1"/>
          <w:iCs w:val="1"/>
          <w:color w:val="auto"/>
        </w:rPr>
        <w:t>Shares Available</w:t>
      </w:r>
      <w:r>
        <w:rPr>
          <w:rFonts w:ascii="Arial" w:cs="Arial" w:eastAsia="Arial" w:hAnsi="Arial"/>
          <w:sz w:val="16"/>
          <w:szCs w:val="16"/>
          <w:color w:val="auto"/>
        </w:rPr>
        <w:t>. Subject to the provisions of Section 7.1, the capital stock that may be delivered under this Plan shall be shares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Corporation’s authorized but unissued Common Stock and any shares of its Common Stock held as treasury shares. For purposes of this Plan, “</w:t>
      </w:r>
      <w:r>
        <w:rPr>
          <w:rFonts w:ascii="Arial" w:cs="Arial" w:eastAsia="Arial" w:hAnsi="Arial"/>
          <w:sz w:val="16"/>
          <w:szCs w:val="16"/>
          <w:b w:val="1"/>
          <w:bCs w:val="1"/>
          <w:color w:val="auto"/>
        </w:rPr>
        <w:t>Common Stock</w:t>
      </w:r>
      <w:r>
        <w:rPr>
          <w:rFonts w:ascii="Arial" w:cs="Arial" w:eastAsia="Arial" w:hAnsi="Arial"/>
          <w:sz w:val="16"/>
          <w:szCs w:val="16"/>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157"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i w:val="1"/>
          <w:iCs w:val="1"/>
          <w:color w:val="auto"/>
        </w:rPr>
        <w:t>Aggregate Share Limit</w:t>
      </w:r>
      <w:r>
        <w:rPr>
          <w:rFonts w:ascii="Arial" w:cs="Arial" w:eastAsia="Arial" w:hAnsi="Arial"/>
          <w:sz w:val="18"/>
          <w:szCs w:val="18"/>
          <w:color w:val="auto"/>
        </w:rPr>
        <w:t>. The maximum number of shares of Common Stock that may be delivered pursuant to awards granted to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under this Plan (the “</w:t>
      </w:r>
      <w:r>
        <w:rPr>
          <w:rFonts w:ascii="Arial" w:cs="Arial" w:eastAsia="Arial" w:hAnsi="Arial"/>
          <w:sz w:val="18"/>
          <w:szCs w:val="18"/>
          <w:b w:val="1"/>
          <w:bCs w:val="1"/>
          <w:color w:val="auto"/>
        </w:rPr>
        <w:t>Share Limit</w:t>
      </w:r>
      <w:r>
        <w:rPr>
          <w:rFonts w:ascii="Arial" w:cs="Arial" w:eastAsia="Arial" w:hAnsi="Arial"/>
          <w:sz w:val="18"/>
          <w:szCs w:val="18"/>
          <w:color w:val="auto"/>
        </w:rPr>
        <w:t>”) is equal to the sum of the following:</w:t>
      </w:r>
    </w:p>
    <w:p>
      <w:pPr>
        <w:spacing w:after="0" w:line="174" w:lineRule="exact"/>
        <w:rPr>
          <w:sz w:val="20"/>
          <w:szCs w:val="20"/>
          <w:color w:val="auto"/>
        </w:rPr>
      </w:pPr>
    </w:p>
    <w:p>
      <w:pPr>
        <w:ind w:left="1960" w:hanging="656"/>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490,000 shares of Common Stock, plus</w:t>
      </w:r>
    </w:p>
    <w:p>
      <w:pPr>
        <w:spacing w:after="0" w:line="225"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Common Stock available for additional award grant purposes under the Corporation’s 2017 Performance Incentive Plan (the “</w:t>
      </w:r>
      <w:r>
        <w:rPr>
          <w:rFonts w:ascii="Arial" w:cs="Arial" w:eastAsia="Arial" w:hAnsi="Arial"/>
          <w:sz w:val="18"/>
          <w:szCs w:val="18"/>
          <w:b w:val="1"/>
          <w:bCs w:val="1"/>
          <w:color w:val="auto"/>
        </w:rPr>
        <w:t>2017 Plan</w:t>
      </w:r>
      <w:r>
        <w:rPr>
          <w:rFonts w:ascii="Arial" w:cs="Arial" w:eastAsia="Arial" w:hAnsi="Arial"/>
          <w:sz w:val="18"/>
          <w:szCs w:val="18"/>
          <w:color w:val="auto"/>
        </w:rPr>
        <w:t>”) as of the date of stockholder approval of this Plan (the “</w:t>
      </w:r>
      <w:r>
        <w:rPr>
          <w:rFonts w:ascii="Arial" w:cs="Arial" w:eastAsia="Arial" w:hAnsi="Arial"/>
          <w:sz w:val="18"/>
          <w:szCs w:val="18"/>
          <w:b w:val="1"/>
          <w:bCs w:val="1"/>
          <w:color w:val="auto"/>
        </w:rPr>
        <w:t>Stockholder Approval</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determined immediately prior to the termination of the authority to grant new awards under the 2017 Plan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Approval Date, plus</w:t>
      </w:r>
    </w:p>
    <w:p>
      <w:pPr>
        <w:spacing w:after="0" w:line="186" w:lineRule="exact"/>
        <w:rPr>
          <w:rFonts w:ascii="Arial" w:cs="Arial" w:eastAsia="Arial" w:hAnsi="Arial"/>
          <w:sz w:val="18"/>
          <w:szCs w:val="18"/>
          <w:color w:val="auto"/>
        </w:rPr>
      </w:pPr>
    </w:p>
    <w:p>
      <w:pPr>
        <w:jc w:val="both"/>
        <w:ind w:left="1960" w:hanging="656"/>
        <w:spacing w:after="0" w:line="255"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number of any shares subject to restricted stock and restricted stock unit awards granted under the 2017 Plan and the Corporation’s 2007 Equity Incentive Plan (the </w:t>
      </w:r>
      <w:r>
        <w:rPr>
          <w:rFonts w:ascii="Arial" w:cs="Arial" w:eastAsia="Arial" w:hAnsi="Arial"/>
          <w:sz w:val="18"/>
          <w:szCs w:val="18"/>
          <w:b w:val="1"/>
          <w:bCs w:val="1"/>
          <w:color w:val="auto"/>
        </w:rPr>
        <w:t>“2007 Plan</w:t>
      </w:r>
      <w:r>
        <w:rPr>
          <w:rFonts w:ascii="Arial" w:cs="Arial" w:eastAsia="Arial" w:hAnsi="Arial"/>
          <w:sz w:val="18"/>
          <w:szCs w:val="18"/>
          <w:color w:val="auto"/>
        </w:rPr>
        <w:t>”, and together with the 2017 Plan, the “</w:t>
      </w:r>
      <w:r>
        <w:rPr>
          <w:rFonts w:ascii="Arial" w:cs="Arial" w:eastAsia="Arial" w:hAnsi="Arial"/>
          <w:sz w:val="18"/>
          <w:szCs w:val="18"/>
          <w:b w:val="1"/>
          <w:bCs w:val="1"/>
          <w:color w:val="auto"/>
        </w:rPr>
        <w:t>Legacy Plans</w:t>
      </w:r>
      <w:r>
        <w:rPr>
          <w:rFonts w:ascii="Arial" w:cs="Arial" w:eastAsia="Arial" w:hAnsi="Arial"/>
          <w:sz w:val="18"/>
          <w:szCs w:val="18"/>
          <w:color w:val="auto"/>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provided that in no event shall the Share Limit exceed 1,089,443 shares (which is the sum of (i) the 490,000 shares set forth above, plus</w:t>
      </w:r>
    </w:p>
    <w:p>
      <w:pPr>
        <w:spacing w:after="0" w:line="23" w:lineRule="exact"/>
        <w:rPr>
          <w:sz w:val="20"/>
          <w:szCs w:val="20"/>
          <w:color w:val="auto"/>
        </w:rPr>
      </w:pPr>
    </w:p>
    <w:p>
      <w:pPr>
        <w:jc w:val="both"/>
        <w:ind w:left="1300" w:firstLine="4"/>
        <w:spacing w:after="0" w:line="253" w:lineRule="auto"/>
        <w:tabs>
          <w:tab w:leader="none" w:pos="1582" w:val="left"/>
        </w:tabs>
        <w:numPr>
          <w:ilvl w:val="0"/>
          <w:numId w:val="67"/>
        </w:numPr>
        <w:rPr>
          <w:rFonts w:ascii="Arial" w:cs="Arial" w:eastAsia="Arial" w:hAnsi="Arial"/>
          <w:sz w:val="18"/>
          <w:szCs w:val="18"/>
          <w:color w:val="auto"/>
        </w:rPr>
      </w:pPr>
      <w:r>
        <w:rPr>
          <w:rFonts w:ascii="Arial" w:cs="Arial" w:eastAsia="Arial" w:hAnsi="Arial"/>
          <w:sz w:val="18"/>
          <w:szCs w:val="18"/>
          <w:color w:val="auto"/>
        </w:rPr>
        <w:t>zero shares available under the 2017 Plan for additional award grant purposes as of the Effective Date (as such term is defined in Section 8.6.1), plus (iii) 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ind w:left="640"/>
        <w:spacing w:after="0" w:line="259" w:lineRule="auto"/>
        <w:rPr>
          <w:sz w:val="20"/>
          <w:szCs w:val="20"/>
          <w:color w:val="auto"/>
        </w:rPr>
      </w:pPr>
      <w:r>
        <w:rPr>
          <w:rFonts w:ascii="Arial" w:cs="Arial" w:eastAsia="Arial" w:hAnsi="Arial"/>
          <w:sz w:val="18"/>
          <w:szCs w:val="18"/>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Arial" w:cs="Arial" w:eastAsia="Arial" w:hAnsi="Arial"/>
          <w:sz w:val="18"/>
          <w:szCs w:val="18"/>
          <w:b w:val="1"/>
          <w:bCs w:val="1"/>
          <w:color w:val="auto"/>
        </w:rPr>
        <w:t>Full-Value Award</w:t>
      </w:r>
      <w:r>
        <w:rPr>
          <w:rFonts w:ascii="Arial" w:cs="Arial" w:eastAsia="Arial" w:hAnsi="Arial"/>
          <w:sz w:val="18"/>
          <w:szCs w:val="18"/>
          <w:color w:val="auto"/>
        </w:rPr>
        <w:t>” means any award that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option grant or a SAR grant.</w:t>
      </w:r>
    </w:p>
    <w:p>
      <w:pPr>
        <w:spacing w:after="0" w:line="183"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i w:val="1"/>
          <w:iCs w:val="1"/>
          <w:color w:val="auto"/>
        </w:rPr>
        <w:t>Additional Share Limits</w:t>
      </w:r>
      <w:r>
        <w:rPr>
          <w:rFonts w:ascii="Arial" w:cs="Arial" w:eastAsia="Arial" w:hAnsi="Arial"/>
          <w:sz w:val="18"/>
          <w:szCs w:val="18"/>
          <w:color w:val="auto"/>
        </w:rPr>
        <w:t>. The following limits also apply with respect to awards granted under this Plan. These limits are in addition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in lieu of, the aggregate Share Limit in Section 4.2.</w:t>
      </w:r>
    </w:p>
    <w:p>
      <w:pPr>
        <w:spacing w:after="0" w:line="174" w:lineRule="exact"/>
        <w:rPr>
          <w:sz w:val="20"/>
          <w:szCs w:val="20"/>
          <w:color w:val="auto"/>
        </w:rPr>
      </w:pPr>
    </w:p>
    <w:p>
      <w:pPr>
        <w:ind w:left="1300" w:hanging="656"/>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delivered pursuant to options qualified as incentive stock options granted under this Plan is 333,333 shares.</w:t>
      </w:r>
    </w:p>
    <w:p>
      <w:pPr>
        <w:spacing w:after="0" w:line="170" w:lineRule="exact"/>
        <w:rPr>
          <w:rFonts w:ascii="Arial" w:cs="Arial" w:eastAsia="Arial" w:hAnsi="Arial"/>
          <w:sz w:val="18"/>
          <w:szCs w:val="18"/>
          <w:color w:val="auto"/>
        </w:rPr>
      </w:pPr>
    </w:p>
    <w:p>
      <w:pPr>
        <w:jc w:val="both"/>
        <w:ind w:left="1300" w:hanging="656"/>
        <w:spacing w:after="0" w:line="286"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Awards that are granted under this Plan during any one calendar year to any person who, on the grant date of the award, is a non-employee director are subject to the limits of this Section 4.3(b).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the grant date fair value of any other awards granted under this Plan during that same calendar year to that individual in his or her capacity as a non-employee director, is $300,000; provided that this limit is $400,000 as to (1) a non-employee director who is serving as the independent Chair of the Board or as a lead independent director at the time the applicable grant is made or (2) any new non-employee director for the calendar year in which the non-employee director is first elected or appointed to the Board. For purposes of this Section 4.3(b), a “non-employee director” is an individual who, on the grant date of the award, is a member of the Board who is not then an officer or employee of the Corporation or one of its Subsidiaries. For purposes of this Section 4.3(b), “grant date fair value” means the value of the award as of the date of grant of the award and as determined using the equity award valuation principles applied in the Corporation’s financial reporting. The limits of this Section 4.3(b) do not apply to, and shall be determined without taking into account, any award granted to an individual who, on the grant date of the award, is an officer or employee of the Corporation or one of its Subsidiaries. The limits of this Section 4.3(b) apply on an individual basis and not on an aggregate basis to all non-employee directors as a group.</w:t>
      </w:r>
    </w:p>
    <w:p>
      <w:pPr>
        <w:spacing w:after="0" w:line="167" w:lineRule="exact"/>
        <w:rPr>
          <w:rFonts w:ascii="Arial" w:cs="Arial" w:eastAsia="Arial" w:hAnsi="Arial"/>
          <w:sz w:val="16"/>
          <w:szCs w:val="16"/>
          <w:color w:val="auto"/>
        </w:rPr>
      </w:pPr>
    </w:p>
    <w:p>
      <w:pPr>
        <w:ind w:left="1300" w:hanging="656"/>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Corporation may not increase the Share Limit by repurchasing shares of Common Stock on the market (by using cash received through the exercise of stock options or otherwise).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Share-Limit Counting Rules</w:t>
      </w:r>
      <w:r>
        <w:rPr>
          <w:rFonts w:ascii="Arial" w:cs="Arial" w:eastAsia="Arial" w:hAnsi="Arial"/>
          <w:sz w:val="16"/>
          <w:szCs w:val="16"/>
          <w:color w:val="auto"/>
        </w:rPr>
        <w:t>. The Share Limit shall be subject to the following provisions of this Section 4.4:</w:t>
      </w:r>
    </w:p>
    <w:p>
      <w:pPr>
        <w:spacing w:after="0" w:line="229" w:lineRule="exact"/>
        <w:rPr>
          <w:sz w:val="20"/>
          <w:szCs w:val="20"/>
          <w:color w:val="auto"/>
        </w:rPr>
      </w:pPr>
    </w:p>
    <w:p>
      <w:pPr>
        <w:jc w:val="both"/>
        <w:ind w:left="1300" w:hanging="656"/>
        <w:spacing w:after="0" w:line="255"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that are subject to or underlie Full Value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 Shares that underlie SARS and stock options which expire or for any reason are cancelled or terminated, are forfeited, fail to vest, or for any other reason are not paid or delivered under this Plan shall be counted against the Share Limit and shall not be available for subsequent awards under this Plan.</w:t>
      </w:r>
    </w:p>
    <w:p>
      <w:pPr>
        <w:spacing w:after="0" w:line="192" w:lineRule="exact"/>
        <w:rPr>
          <w:rFonts w:ascii="Arial" w:cs="Arial" w:eastAsia="Arial" w:hAnsi="Arial"/>
          <w:sz w:val="18"/>
          <w:szCs w:val="18"/>
          <w:color w:val="auto"/>
        </w:rPr>
      </w:pPr>
    </w:p>
    <w:p>
      <w:pPr>
        <w:jc w:val="both"/>
        <w:ind w:left="1300" w:hanging="656"/>
        <w:spacing w:after="0" w:line="25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that shares of Common Stock are delivered pursuant to the exercise of a stock option or SAR granted under this Plan, the number of shares as to which the portion of the stock option or SAR so exercised relates shall be counted against the Share Limit as opposed to only counting the net number of shares actually issued in connection with such exercise. (For purposes of clarity, if a stock option or SAR right relates to 100,000 shares and is exercised as to all 100,000 shares at a time when the net number of shares due to the participant in connection with such exercise is 15,000 shares (taking into account any shares withheld to satisfy any applicable exercise or base price of the award and any shares withheld to satisfy any tax withholding obligations in connection with such exercise), 100,000 shares shall be counted against the Share Limit with respect to such award.)</w:t>
      </w:r>
    </w:p>
    <w:p>
      <w:pPr>
        <w:spacing w:after="0" w:line="1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73" w:name="page74"/>
    <w:bookmarkEnd w:id="73"/>
    <w:p>
      <w:pPr>
        <w:jc w:val="both"/>
        <w:ind w:left="1960" w:hanging="656"/>
        <w:spacing w:after="0" w:line="259" w:lineRule="auto"/>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Shares that are exchanged by a participant or withheld by the Corporation as full or partial payment in connection with any stock option or SAR granted under this Plan, as well as any shares exchanged by a participant or withheld by the Corporation or one of its Subsidiaries to satisfy the tax withholding obligations related to any stock option or SAR granted under this Plan, shall not be available for subsequent awards under this Plan.</w:t>
      </w:r>
    </w:p>
    <w:p>
      <w:pPr>
        <w:spacing w:after="0" w:line="186" w:lineRule="exact"/>
        <w:rPr>
          <w:rFonts w:ascii="Arial" w:cs="Arial" w:eastAsia="Arial" w:hAnsi="Arial"/>
          <w:sz w:val="18"/>
          <w:szCs w:val="18"/>
          <w:color w:val="auto"/>
        </w:rPr>
      </w:pPr>
    </w:p>
    <w:p>
      <w:pPr>
        <w:jc w:val="both"/>
        <w:ind w:left="1960" w:hanging="656"/>
        <w:spacing w:after="0" w:line="293" w:lineRule="auto"/>
        <w:tabs>
          <w:tab w:leader="none" w:pos="1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Shares that are exchanged by a participant or withheld by the Corporation as full or partial payment in connection with any Full-Value Award granted under this Plan or the Legacy Plans, as well as any shares exchanged by a participant or withheld by the Corporation or one of its Subsidiaries to satisfy the tax withholding obligations related to any Full-Value Award granted under this Plan or the Legacy Plans, shall not be counted against the Share Limit and shall be available for subsequent awards under this Plan, provided that any one (1) share so exchanged or withheld in connection with any Full-Value Award shall be credited as 1.2 shares when determining the number of shares that shall again become available for subsequent awards under this Plan.</w:t>
      </w:r>
    </w:p>
    <w:p>
      <w:pPr>
        <w:spacing w:after="0" w:line="164" w:lineRule="exact"/>
        <w:rPr>
          <w:rFonts w:ascii="Arial" w:cs="Arial" w:eastAsia="Arial" w:hAnsi="Arial"/>
          <w:sz w:val="16"/>
          <w:szCs w:val="16"/>
          <w:color w:val="auto"/>
        </w:rPr>
      </w:pPr>
    </w:p>
    <w:p>
      <w:pPr>
        <w:jc w:val="both"/>
        <w:ind w:left="1960" w:hanging="656"/>
        <w:spacing w:after="0" w:line="263" w:lineRule="auto"/>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183" w:lineRule="exact"/>
        <w:rPr>
          <w:rFonts w:ascii="Arial" w:cs="Arial" w:eastAsia="Arial" w:hAnsi="Arial"/>
          <w:sz w:val="18"/>
          <w:szCs w:val="18"/>
          <w:color w:val="auto"/>
        </w:rPr>
      </w:pPr>
    </w:p>
    <w:p>
      <w:pPr>
        <w:jc w:val="both"/>
        <w:ind w:left="1960" w:hanging="656"/>
        <w:spacing w:after="0" w:line="254" w:lineRule="auto"/>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60 shares (after giving effect to the Full-Value Award premium counting rules)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195"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 4.3, Section 7 and Section 8.10. The share limits of Section 4.3 shall be applied on a one-for-one basis without applying the Full-Value Award premium counting rule taken into account in determining the Share Limit.</w:t>
      </w:r>
    </w:p>
    <w:p>
      <w:pPr>
        <w:spacing w:after="0" w:line="167" w:lineRule="exact"/>
        <w:rPr>
          <w:sz w:val="20"/>
          <w:szCs w:val="20"/>
          <w:color w:val="auto"/>
        </w:rPr>
      </w:pPr>
    </w:p>
    <w:p>
      <w:pPr>
        <w:jc w:val="both"/>
        <w:ind w:left="1300" w:hanging="647"/>
        <w:spacing w:after="0" w:line="275" w:lineRule="auto"/>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i w:val="1"/>
          <w:iCs w:val="1"/>
          <w:color w:val="auto"/>
        </w:rPr>
        <w:t>No Fractional Shares; Minimum Issue</w:t>
      </w:r>
      <w:r>
        <w:rPr>
          <w:rFonts w:ascii="Arial" w:cs="Arial" w:eastAsia="Arial" w:hAnsi="Arial"/>
          <w:sz w:val="17"/>
          <w:szCs w:val="17"/>
          <w:color w:val="auto"/>
        </w:rPr>
        <w:t>. Unless otherwise expressly provided by the Administrator, no fractional shares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delivered 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176"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225"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i w:val="1"/>
          <w:iCs w:val="1"/>
          <w:color w:val="auto"/>
        </w:rPr>
        <w:t>Type and Form of Awards</w:t>
      </w:r>
      <w:r>
        <w:rPr>
          <w:rFonts w:ascii="Arial" w:cs="Arial" w:eastAsia="Arial" w:hAnsi="Arial"/>
          <w:sz w:val="17"/>
          <w:szCs w:val="17"/>
          <w:color w:val="auto"/>
        </w:rPr>
        <w:t>. The Administrator shall determine the type or types of award(s) to be made to each selected Eligible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71" w:lineRule="exact"/>
        <w:rPr>
          <w:sz w:val="20"/>
          <w:szCs w:val="20"/>
          <w:color w:val="auto"/>
        </w:rPr>
      </w:pPr>
    </w:p>
    <w:p>
      <w:pPr>
        <w:jc w:val="both"/>
        <w:ind w:left="1300"/>
        <w:spacing w:after="0" w:line="292" w:lineRule="auto"/>
        <w:rPr>
          <w:sz w:val="20"/>
          <w:szCs w:val="20"/>
          <w:color w:val="auto"/>
        </w:rPr>
      </w:pPr>
      <w:r>
        <w:rPr>
          <w:rFonts w:ascii="Arial" w:cs="Arial" w:eastAsia="Arial" w:hAnsi="Arial"/>
          <w:sz w:val="16"/>
          <w:szCs w:val="16"/>
          <w:b w:val="1"/>
          <w:bCs w:val="1"/>
          <w:color w:val="auto"/>
        </w:rPr>
        <w:t xml:space="preserve">5.1.1 </w:t>
      </w: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A stock option is the grant of a right to purchase a specified number of shares of Common Stock during a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period as determined by the Administrator. An option may be intended as an incentive stock option within the meaning of Section 422 of the Code (an “</w:t>
      </w:r>
      <w:r>
        <w:rPr>
          <w:rFonts w:ascii="Arial" w:cs="Arial" w:eastAsia="Arial" w:hAnsi="Arial"/>
          <w:sz w:val="16"/>
          <w:szCs w:val="16"/>
          <w:b w:val="1"/>
          <w:bCs w:val="1"/>
          <w:color w:val="auto"/>
        </w:rPr>
        <w:t>ISO</w:t>
      </w:r>
      <w:r>
        <w:rPr>
          <w:rFonts w:ascii="Arial" w:cs="Arial" w:eastAsia="Arial" w:hAnsi="Arial"/>
          <w:sz w:val="16"/>
          <w:szCs w:val="16"/>
          <w:color w:val="auto"/>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jc w:val="both"/>
        <w:ind w:left="180"/>
        <w:spacing w:after="0" w:line="286" w:lineRule="auto"/>
        <w:rPr>
          <w:sz w:val="20"/>
          <w:szCs w:val="20"/>
          <w:color w:val="auto"/>
        </w:rPr>
      </w:pPr>
      <w:r>
        <w:rPr>
          <w:rFonts w:ascii="Arial" w:cs="Arial" w:eastAsia="Arial" w:hAnsi="Arial"/>
          <w:sz w:val="16"/>
          <w:szCs w:val="16"/>
          <w:b w:val="1"/>
          <w:bCs w:val="1"/>
          <w:color w:val="auto"/>
        </w:rPr>
        <w:t xml:space="preserve">5.1.2 </w:t>
      </w:r>
      <w:r>
        <w:rPr>
          <w:rFonts w:ascii="Arial" w:cs="Arial" w:eastAsia="Arial" w:hAnsi="Arial"/>
          <w:sz w:val="16"/>
          <w:szCs w:val="16"/>
          <w:b w:val="1"/>
          <w:bCs w:val="1"/>
          <w:i w:val="1"/>
          <w:iCs w:val="1"/>
          <w:color w:val="auto"/>
        </w:rPr>
        <w:t>Additional Rules Applicable to ISOs</w:t>
      </w:r>
      <w:r>
        <w:rPr>
          <w:rFonts w:ascii="Arial" w:cs="Arial" w:eastAsia="Arial" w:hAnsi="Arial"/>
          <w:sz w:val="16"/>
          <w:szCs w:val="16"/>
          <w:color w:val="auto"/>
        </w:rPr>
        <w:t>. To the extent that the aggregate fair market value (determined at the time of grant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164" w:lineRule="exact"/>
        <w:rPr>
          <w:sz w:val="20"/>
          <w:szCs w:val="20"/>
          <w:color w:val="auto"/>
        </w:rPr>
      </w:pPr>
    </w:p>
    <w:p>
      <w:pPr>
        <w:jc w:val="both"/>
        <w:ind w:left="180"/>
        <w:spacing w:after="0" w:line="303" w:lineRule="auto"/>
        <w:rPr>
          <w:sz w:val="20"/>
          <w:szCs w:val="20"/>
          <w:color w:val="auto"/>
        </w:rPr>
      </w:pPr>
      <w:r>
        <w:rPr>
          <w:rFonts w:ascii="Arial" w:cs="Arial" w:eastAsia="Arial" w:hAnsi="Arial"/>
          <w:sz w:val="16"/>
          <w:szCs w:val="16"/>
          <w:b w:val="1"/>
          <w:bCs w:val="1"/>
          <w:color w:val="auto"/>
        </w:rPr>
        <w:t xml:space="preserve">5.1.3 </w:t>
      </w:r>
      <w:r>
        <w:rPr>
          <w:rFonts w:ascii="Arial" w:cs="Arial" w:eastAsia="Arial" w:hAnsi="Arial"/>
          <w:sz w:val="16"/>
          <w:szCs w:val="16"/>
          <w:b w:val="1"/>
          <w:bCs w:val="1"/>
          <w:i w:val="1"/>
          <w:iCs w:val="1"/>
          <w:color w:val="auto"/>
        </w:rPr>
        <w:t>Stock Appreciation Rights</w:t>
      </w:r>
      <w:r>
        <w:rPr>
          <w:rFonts w:ascii="Arial" w:cs="Arial" w:eastAsia="Arial" w:hAnsi="Arial"/>
          <w:sz w:val="16"/>
          <w:szCs w:val="16"/>
          <w:color w:val="auto"/>
        </w:rPr>
        <w:t>. A stock appreciation right or “</w:t>
      </w:r>
      <w:r>
        <w:rPr>
          <w:rFonts w:ascii="Arial" w:cs="Arial" w:eastAsia="Arial" w:hAnsi="Arial"/>
          <w:sz w:val="16"/>
          <w:szCs w:val="16"/>
          <w:b w:val="1"/>
          <w:bCs w:val="1"/>
          <w:color w:val="auto"/>
        </w:rPr>
        <w:t>SAR</w:t>
      </w:r>
      <w:r>
        <w:rPr>
          <w:rFonts w:ascii="Arial" w:cs="Arial" w:eastAsia="Arial" w:hAnsi="Arial"/>
          <w:sz w:val="16"/>
          <w:szCs w:val="16"/>
          <w:color w:val="auto"/>
        </w:rPr>
        <w:t>” is a right to receive a payment, in cash and/or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excess of the fair market value of a specified number of shares of Common Stock on the date the SAR is exercised over the “</w:t>
      </w:r>
      <w:r>
        <w:rPr>
          <w:rFonts w:ascii="Arial" w:cs="Arial" w:eastAsia="Arial" w:hAnsi="Arial"/>
          <w:sz w:val="16"/>
          <w:szCs w:val="16"/>
          <w:b w:val="1"/>
          <w:bCs w:val="1"/>
          <w:color w:val="auto"/>
        </w:rPr>
        <w:t>base price</w:t>
      </w:r>
      <w:r>
        <w:rPr>
          <w:rFonts w:ascii="Arial" w:cs="Arial" w:eastAsia="Arial" w:hAnsi="Arial"/>
          <w:sz w:val="16"/>
          <w:szCs w:val="16"/>
          <w:color w:val="auto"/>
        </w:rPr>
        <w:t>” of the award, which base price shall be set forth in the applicable award agreement and shall be not less than 100% of the fair market value of a share of Common Stock on the date of grant of the SAR. The maximum term of a SAR shall be ten (10) years.</w:t>
      </w:r>
    </w:p>
    <w:p>
      <w:pPr>
        <w:spacing w:after="0" w:line="151" w:lineRule="exact"/>
        <w:rPr>
          <w:sz w:val="20"/>
          <w:szCs w:val="20"/>
          <w:color w:val="auto"/>
        </w:rPr>
      </w:pPr>
    </w:p>
    <w:p>
      <w:pPr>
        <w:jc w:val="both"/>
        <w:ind w:left="180"/>
        <w:spacing w:after="0" w:line="269" w:lineRule="auto"/>
        <w:rPr>
          <w:sz w:val="20"/>
          <w:szCs w:val="20"/>
          <w:color w:val="auto"/>
        </w:rPr>
      </w:pPr>
      <w:r>
        <w:rPr>
          <w:rFonts w:ascii="Arial" w:cs="Arial" w:eastAsia="Arial" w:hAnsi="Arial"/>
          <w:sz w:val="17"/>
          <w:szCs w:val="17"/>
          <w:b w:val="1"/>
          <w:bCs w:val="1"/>
          <w:color w:val="auto"/>
        </w:rPr>
        <w:t xml:space="preserve">5.1.4 </w:t>
      </w:r>
      <w:r>
        <w:rPr>
          <w:rFonts w:ascii="Arial" w:cs="Arial" w:eastAsia="Arial" w:hAnsi="Arial"/>
          <w:sz w:val="17"/>
          <w:szCs w:val="17"/>
          <w:b w:val="1"/>
          <w:bCs w:val="1"/>
          <w:i w:val="1"/>
          <w:iCs w:val="1"/>
          <w:color w:val="auto"/>
        </w:rPr>
        <w:t>Other Awards; Dividend Equivalent Rights</w:t>
      </w:r>
      <w:r>
        <w:rPr>
          <w:rFonts w:ascii="Arial" w:cs="Arial" w:eastAsia="Arial" w:hAnsi="Arial"/>
          <w:sz w:val="17"/>
          <w:szCs w:val="17"/>
          <w:color w:val="auto"/>
        </w:rPr>
        <w:t>. The other types of awards that may be granted under this Plan include: (a) stock</w:t>
      </w:r>
      <w:r>
        <w:rPr>
          <w:rFonts w:ascii="Arial" w:cs="Arial" w:eastAsia="Arial" w:hAnsi="Arial"/>
          <w:sz w:val="17"/>
          <w:szCs w:val="17"/>
          <w:b w:val="1"/>
          <w:bCs w:val="1"/>
          <w:color w:val="auto"/>
        </w:rPr>
        <w:t xml:space="preserve"> </w:t>
      </w:r>
      <w:r>
        <w:rPr>
          <w:rFonts w:ascii="Arial" w:cs="Arial" w:eastAsia="Arial" w:hAnsi="Arial"/>
          <w:sz w:val="17"/>
          <w:szCs w:val="17"/>
          <w:color w:val="auto"/>
        </w:rPr>
        <w:t>bonuses, restricted stock, performance stock, stock units, phantom stock or similar rights to purchase or acquire shares, whether at a fixed or variable price (or no price) or fixed or variable ratio related to the Common Stock, and any of which may (but need not) be fully vested at grant (except as provided below with respect to dividend equivalent rights) or vest upon the passage of time, the occurrence of one or more events, the satisfaction of performance criteria or other conditions, or any combination thereof; or (b) cash awards. Dividend equivalent rights may be granted as a separate award or in connection with another award under this Plan; provided, however, that dividend equivalent rights may not be granted as to a stock option or SAR granted under this Plan. The payment of dividends on any unvested award or portion thereof is expressly prohibited, except with respect to restricted stock, regarding which the applicable award agreement shall provide that in the event a dividend is paid on unvested shares which fail to vest, the dividend shall be repaid by the award holder. With respect to all other awards, dividend equivalents may accrue during the vesting period and payment may be made upon vesting.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76" w:lineRule="exact"/>
        <w:rPr>
          <w:sz w:val="20"/>
          <w:szCs w:val="20"/>
          <w:color w:val="auto"/>
        </w:rPr>
      </w:pPr>
    </w:p>
    <w:p>
      <w:pPr>
        <w:jc w:val="both"/>
        <w:ind w:left="180" w:hanging="647"/>
        <w:spacing w:after="0" w:line="272" w:lineRule="auto"/>
        <w:tabs>
          <w:tab w:leader="none" w:pos="1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i w:val="1"/>
          <w:iCs w:val="1"/>
          <w:color w:val="auto"/>
        </w:rPr>
        <w:t>Minimum Vesting Requirement</w:t>
      </w:r>
      <w:r>
        <w:rPr>
          <w:rFonts w:ascii="Arial" w:cs="Arial" w:eastAsia="Arial" w:hAnsi="Arial"/>
          <w:sz w:val="17"/>
          <w:szCs w:val="17"/>
          <w:color w:val="auto"/>
        </w:rPr>
        <w:t>. Except for any accelerated vesting required pursuant to Section 7 or as provided in the next sentence,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award granted under this Plan shall be subject to a minimum vesting requirement of one year and no portion of any such award may provide that it will vest earlier than the first anniversary of the date of grant of the award other than due to the death, disability, or involuntary termination of the employment or services of the award holder, or in connection with a Change in Control (as such term is defined in Section 7.3) (the “</w:t>
      </w:r>
      <w:r>
        <w:rPr>
          <w:rFonts w:ascii="Arial" w:cs="Arial" w:eastAsia="Arial" w:hAnsi="Arial"/>
          <w:sz w:val="17"/>
          <w:szCs w:val="17"/>
          <w:b w:val="1"/>
          <w:bCs w:val="1"/>
          <w:color w:val="auto"/>
        </w:rPr>
        <w:t>Minimum Vesting Requirement</w:t>
      </w:r>
      <w:r>
        <w:rPr>
          <w:rFonts w:ascii="Arial" w:cs="Arial" w:eastAsia="Arial" w:hAnsi="Arial"/>
          <w:sz w:val="17"/>
          <w:szCs w:val="17"/>
          <w:color w:val="auto"/>
        </w:rPr>
        <w:t>”). Awards may be granted under this Plan with minimum vesting requirements of less than one year, or no vesting requirements, provided that the total number of shares of Common Stock subject to such awards shall not exceed 5% of the Share Limit.</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5" w:name="page76"/>
    <w:bookmarkEnd w:id="75"/>
    <w:p>
      <w:pPr>
        <w:jc w:val="both"/>
        <w:ind w:left="180" w:hanging="647"/>
        <w:spacing w:after="0" w:line="273" w:lineRule="auto"/>
        <w:tabs>
          <w:tab w:leader="none" w:pos="1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Each award shall be evidenced by a written or electronic award agreement or notice in a form approved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(an “award agreement”),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78" w:lineRule="exact"/>
        <w:rPr>
          <w:sz w:val="20"/>
          <w:szCs w:val="20"/>
          <w:color w:val="auto"/>
        </w:rPr>
      </w:pPr>
    </w:p>
    <w:p>
      <w:pPr>
        <w:jc w:val="both"/>
        <w:ind w:left="180" w:hanging="647"/>
        <w:spacing w:after="0" w:line="293" w:lineRule="auto"/>
        <w:tabs>
          <w:tab w:leader="none" w:pos="1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i w:val="1"/>
          <w:iCs w:val="1"/>
          <w:color w:val="auto"/>
        </w:rPr>
        <w:t>Deferrals and Settlements</w:t>
      </w:r>
      <w:r>
        <w:rPr>
          <w:rFonts w:ascii="Arial" w:cs="Arial" w:eastAsia="Arial" w:hAnsi="Arial"/>
          <w:sz w:val="16"/>
          <w:szCs w:val="16"/>
          <w:color w:val="auto"/>
        </w:rPr>
        <w:t>. Payment of awards may be in the form of cash, Common Stock, other awards or combinations thereof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shall determine, and with 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64" w:lineRule="exact"/>
        <w:rPr>
          <w:sz w:val="20"/>
          <w:szCs w:val="20"/>
          <w:color w:val="auto"/>
        </w:rPr>
      </w:pPr>
    </w:p>
    <w:p>
      <w:pPr>
        <w:jc w:val="both"/>
        <w:ind w:left="180" w:hanging="647"/>
        <w:spacing w:after="0" w:line="263" w:lineRule="auto"/>
        <w:tabs>
          <w:tab w:leader="none" w:pos="1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i w:val="1"/>
          <w:iCs w:val="1"/>
          <w:color w:val="auto"/>
        </w:rPr>
        <w:t>Consideration for Common Stock or Awards</w:t>
      </w:r>
      <w:r>
        <w:rPr>
          <w:rFonts w:ascii="Arial" w:cs="Arial" w:eastAsia="Arial" w:hAnsi="Arial"/>
          <w:sz w:val="18"/>
          <w:szCs w:val="18"/>
          <w:color w:val="auto"/>
        </w:rPr>
        <w:t>. The purchase price (if any) for any award granted under this Plan or the Common Stock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delivered pursuant to an award, as applicable, may be paid by means of any lawful consideration as determined by the Administrator, including, without limitation, one or a combination of the following methods:</w:t>
      </w:r>
    </w:p>
    <w:p>
      <w:pPr>
        <w:spacing w:after="0" w:line="188" w:lineRule="exact"/>
        <w:rPr>
          <w:sz w:val="20"/>
          <w:szCs w:val="20"/>
          <w:color w:val="auto"/>
        </w:rPr>
      </w:pPr>
    </w:p>
    <w:p>
      <w:pPr>
        <w:ind w:left="840" w:hanging="656"/>
        <w:spacing w:after="0" w:line="277" w:lineRule="auto"/>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reduction in compensation otherwise payable to the recipient of such award or for services rendered by the recipient of such award;</w:t>
      </w:r>
    </w:p>
    <w:p>
      <w:pPr>
        <w:spacing w:after="0" w:line="170" w:lineRule="exact"/>
        <w:rPr>
          <w:rFonts w:ascii="Arial" w:cs="Arial" w:eastAsia="Arial" w:hAnsi="Arial"/>
          <w:sz w:val="18"/>
          <w:szCs w:val="18"/>
          <w:color w:val="auto"/>
        </w:rPr>
      </w:pPr>
    </w:p>
    <w:p>
      <w:pPr>
        <w:ind w:left="840" w:hanging="656"/>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check payable to the order of the Corporation, or electronic funds transfer;</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notice and third-party payment in such manner as may be authorized by the Administrator;</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delivery of previously owned shares of Common Stock;</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a reduction in the number of shares otherwise deliverable pursuant to the award; or</w:t>
      </w:r>
    </w:p>
    <w:p>
      <w:pPr>
        <w:spacing w:after="0" w:line="225" w:lineRule="exact"/>
        <w:rPr>
          <w:rFonts w:ascii="Arial" w:cs="Arial" w:eastAsia="Arial" w:hAnsi="Arial"/>
          <w:sz w:val="18"/>
          <w:szCs w:val="18"/>
          <w:color w:val="auto"/>
        </w:rPr>
      </w:pPr>
    </w:p>
    <w:p>
      <w:pPr>
        <w:ind w:left="840" w:hanging="656"/>
        <w:spacing w:after="0" w:line="277" w:lineRule="auto"/>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such procedures as the Administrator may adopt, pursuant to a “cashless exercise” with a third party who provides financing for the purposes of (or who otherwise facilitates) the purchase or exercise of awards.</w:t>
      </w:r>
    </w:p>
    <w:p>
      <w:pPr>
        <w:spacing w:after="0" w:line="170"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173"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b w:val="1"/>
          <w:bCs w:val="1"/>
          <w:i w:val="1"/>
          <w:iCs w:val="1"/>
          <w:color w:val="auto"/>
        </w:rPr>
        <w:t>Definition of Fair Market Value</w:t>
      </w:r>
      <w:r>
        <w:rPr>
          <w:rFonts w:ascii="Arial" w:cs="Arial" w:eastAsia="Arial" w:hAnsi="Arial"/>
          <w:sz w:val="17"/>
          <w:szCs w:val="17"/>
          <w:color w:val="auto"/>
        </w:rPr>
        <w:t>. For purposes of this Plan, “fair market value” shall mean, unless otherwise determined or provided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Administrator in the circumstances, the closing price (in regular trading) for a share of Common Stock on the New York Stock Exchange (the “</w:t>
      </w:r>
      <w:r>
        <w:rPr>
          <w:rFonts w:ascii="Arial" w:cs="Arial" w:eastAsia="Arial" w:hAnsi="Arial"/>
          <w:sz w:val="17"/>
          <w:szCs w:val="17"/>
          <w:b w:val="1"/>
          <w:bCs w:val="1"/>
          <w:color w:val="auto"/>
        </w:rPr>
        <w:t>Exchange</w:t>
      </w:r>
      <w:r>
        <w:rPr>
          <w:rFonts w:ascii="Arial" w:cs="Arial" w:eastAsia="Arial" w:hAnsi="Arial"/>
          <w:sz w:val="17"/>
          <w:szCs w:val="17"/>
          <w:color w:val="auto"/>
        </w:rPr>
        <w:t>”) for the date in question or, if no sales of Common Stock were reported on the Exchange on that date, the closing price (in regular trading) for a share of Common Stock on the Exchange for the next preceding day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6" w:name="page77"/>
    <w:bookmarkEnd w:id="76"/>
    <w:p>
      <w:pPr>
        <w:ind w:left="660"/>
        <w:spacing w:after="0"/>
        <w:tabs>
          <w:tab w:leader="none" w:pos="12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i w:val="1"/>
          <w:iCs w:val="1"/>
          <w:color w:val="auto"/>
        </w:rPr>
        <w:t>Transfer Restrictions</w:t>
      </w:r>
      <w:r>
        <w:rPr>
          <w:rFonts w:ascii="Arial" w:cs="Arial" w:eastAsia="Arial" w:hAnsi="Arial"/>
          <w:sz w:val="15"/>
          <w:szCs w:val="15"/>
          <w:color w:val="auto"/>
        </w:rPr>
        <w:t>.</w:t>
      </w:r>
    </w:p>
    <w:p>
      <w:pPr>
        <w:spacing w:after="0" w:line="225" w:lineRule="exact"/>
        <w:rPr>
          <w:sz w:val="20"/>
          <w:szCs w:val="20"/>
          <w:color w:val="auto"/>
        </w:rPr>
      </w:pPr>
    </w:p>
    <w:p>
      <w:pPr>
        <w:jc w:val="both"/>
        <w:ind w:left="1300"/>
        <w:spacing w:after="0" w:line="281" w:lineRule="auto"/>
        <w:rPr>
          <w:sz w:val="20"/>
          <w:szCs w:val="20"/>
          <w:color w:val="auto"/>
        </w:rPr>
      </w:pPr>
      <w:r>
        <w:rPr>
          <w:rFonts w:ascii="Arial" w:cs="Arial" w:eastAsia="Arial" w:hAnsi="Arial"/>
          <w:sz w:val="17"/>
          <w:szCs w:val="17"/>
          <w:b w:val="1"/>
          <w:bCs w:val="1"/>
          <w:color w:val="auto"/>
        </w:rPr>
        <w:t xml:space="preserve">5.7.1 </w:t>
      </w:r>
      <w:r>
        <w:rPr>
          <w:rFonts w:ascii="Arial" w:cs="Arial" w:eastAsia="Arial" w:hAnsi="Arial"/>
          <w:sz w:val="17"/>
          <w:szCs w:val="17"/>
          <w:b w:val="1"/>
          <w:bCs w:val="1"/>
          <w:i w:val="1"/>
          <w:iCs w:val="1"/>
          <w:color w:val="auto"/>
        </w:rPr>
        <w:t>Limitations on Exercise and Transfer</w:t>
      </w:r>
      <w:r>
        <w:rPr>
          <w:rFonts w:ascii="Arial" w:cs="Arial" w:eastAsia="Arial" w:hAnsi="Arial"/>
          <w:sz w:val="17"/>
          <w:szCs w:val="17"/>
          <w:color w:val="auto"/>
        </w:rPr>
        <w:t>. Unless otherwise expressly provided in (or pursuant to) this Section 5.7 or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or the award agreement: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65" w:lineRule="exact"/>
        <w:rPr>
          <w:sz w:val="20"/>
          <w:szCs w:val="20"/>
          <w:color w:val="auto"/>
        </w:rPr>
      </w:pPr>
    </w:p>
    <w:p>
      <w:pPr>
        <w:jc w:val="both"/>
        <w:ind w:left="1300"/>
        <w:spacing w:after="0" w:line="277" w:lineRule="auto"/>
        <w:rPr>
          <w:sz w:val="20"/>
          <w:szCs w:val="20"/>
          <w:color w:val="auto"/>
        </w:rPr>
      </w:pPr>
      <w:r>
        <w:rPr>
          <w:rFonts w:ascii="Arial" w:cs="Arial" w:eastAsia="Arial" w:hAnsi="Arial"/>
          <w:sz w:val="17"/>
          <w:szCs w:val="17"/>
          <w:b w:val="1"/>
          <w:bCs w:val="1"/>
          <w:color w:val="auto"/>
        </w:rPr>
        <w:t xml:space="preserve">5.7.2 </w:t>
      </w:r>
      <w:r>
        <w:rPr>
          <w:rFonts w:ascii="Arial" w:cs="Arial" w:eastAsia="Arial" w:hAnsi="Arial"/>
          <w:sz w:val="17"/>
          <w:szCs w:val="17"/>
          <w:b w:val="1"/>
          <w:bCs w:val="1"/>
          <w:i w:val="1"/>
          <w:iCs w:val="1"/>
          <w:color w:val="auto"/>
        </w:rPr>
        <w:t>Exceptions</w:t>
      </w:r>
      <w:r>
        <w:rPr>
          <w:rFonts w:ascii="Arial" w:cs="Arial" w:eastAsia="Arial" w:hAnsi="Arial"/>
          <w:sz w:val="17"/>
          <w:szCs w:val="17"/>
          <w:color w:val="auto"/>
        </w:rPr>
        <w:t>. The Administrator may permit awards to be exercised by and paid to, or otherwise transferred to, other persons or</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5.7.3 </w:t>
      </w:r>
      <w:r>
        <w:rPr>
          <w:rFonts w:ascii="Arial" w:cs="Arial" w:eastAsia="Arial" w:hAnsi="Arial"/>
          <w:sz w:val="18"/>
          <w:szCs w:val="18"/>
          <w:b w:val="1"/>
          <w:bCs w:val="1"/>
          <w:i w:val="1"/>
          <w:iCs w:val="1"/>
          <w:color w:val="auto"/>
        </w:rPr>
        <w:t>Further Exceptions to Limits on Transfer</w:t>
      </w:r>
      <w:r>
        <w:rPr>
          <w:rFonts w:ascii="Arial" w:cs="Arial" w:eastAsia="Arial" w:hAnsi="Arial"/>
          <w:sz w:val="18"/>
          <w:szCs w:val="18"/>
          <w:color w:val="auto"/>
        </w:rPr>
        <w:t>. The exercise and transfer restrictions in Section 5.7.1 shall not apply to:</w:t>
      </w:r>
    </w:p>
    <w:p>
      <w:pPr>
        <w:spacing w:after="0" w:line="229" w:lineRule="exact"/>
        <w:rPr>
          <w:sz w:val="20"/>
          <w:szCs w:val="20"/>
          <w:color w:val="auto"/>
        </w:rPr>
      </w:pPr>
    </w:p>
    <w:p>
      <w:pPr>
        <w:ind w:left="1960" w:hanging="656"/>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transfers to the Corporation (for example, in connection with the expiration or termination of the award),</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83" w:lineRule="exact"/>
        <w:rPr>
          <w:rFonts w:ascii="Arial" w:cs="Arial" w:eastAsia="Arial" w:hAnsi="Arial"/>
          <w:sz w:val="18"/>
          <w:szCs w:val="18"/>
          <w:color w:val="auto"/>
        </w:rPr>
      </w:pPr>
    </w:p>
    <w:p>
      <w:pPr>
        <w:ind w:left="1960" w:right="20" w:hanging="656"/>
        <w:spacing w:after="0" w:line="308" w:lineRule="auto"/>
        <w:tabs>
          <w:tab w:leader="none" w:pos="1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subject to any applicable limitations on ISOs and to such procedures as the Administrator may prescribe, transfers to a family member (or former family member) pursuant to a domestic relations order if received by the Administrator,</w:t>
      </w:r>
    </w:p>
    <w:p>
      <w:pPr>
        <w:spacing w:after="0" w:line="146" w:lineRule="exact"/>
        <w:rPr>
          <w:rFonts w:ascii="Arial" w:cs="Arial" w:eastAsia="Arial" w:hAnsi="Arial"/>
          <w:sz w:val="17"/>
          <w:szCs w:val="17"/>
          <w:color w:val="auto"/>
        </w:rPr>
      </w:pPr>
    </w:p>
    <w:p>
      <w:pPr>
        <w:ind w:left="1960" w:right="20" w:hanging="656"/>
        <w:spacing w:after="0" w:line="277"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participant has suffered a disability, permitted transfers or exercises on behalf of the participant by his or her legal representative, or</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spacing w:after="0" w:line="180"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b w:val="1"/>
          <w:bCs w:val="1"/>
          <w:i w:val="1"/>
          <w:iCs w:val="1"/>
          <w:color w:val="auto"/>
        </w:rPr>
        <w:t>International Awards</w:t>
      </w:r>
      <w:r>
        <w:rPr>
          <w:rFonts w:ascii="Arial" w:cs="Arial" w:eastAsia="Arial" w:hAnsi="Arial"/>
          <w:sz w:val="18"/>
          <w:szCs w:val="18"/>
          <w:color w:val="auto"/>
        </w:rPr>
        <w:t>. One or more awards may be granted to Eligible Persons who provide services to the Corporation or one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outside of the United States. Any awards granted to such persons may be granted pursuant to the terms and conditions of any applicable sub-plans, if any, appended to this Plan and approved by the Administrator from time to time. The awards so granted need not comply with other specific terms of this Plan, provided that stockholder approval of any deviation from the specific terms of this Plan is not required by applicable law or any applicable listing agency.</w:t>
      </w:r>
    </w:p>
    <w:p>
      <w:pPr>
        <w:spacing w:after="0" w:line="188"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EMPLOYMENT OR SERVICE ON AWARDS</w:t>
      </w:r>
    </w:p>
    <w:p>
      <w:pPr>
        <w:spacing w:after="0" w:line="225"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Administrator shall establish the effect (if any) of a termination of employment or service on the rights and benefits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award 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both"/>
        <w:ind w:left="1300" w:hanging="647"/>
        <w:spacing w:after="0" w:line="270" w:lineRule="auto"/>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i w:val="1"/>
          <w:iCs w:val="1"/>
          <w:color w:val="auto"/>
        </w:rPr>
        <w:t>Events Not Deemed Terminations of Employment</w:t>
      </w:r>
      <w:r>
        <w:rPr>
          <w:rFonts w:ascii="Arial" w:cs="Arial" w:eastAsia="Arial" w:hAnsi="Arial"/>
          <w:sz w:val="17"/>
          <w:szCs w:val="17"/>
          <w:color w:val="auto"/>
        </w:rPr>
        <w:t>. Unless the express policy of the Corporation or one of its Subsidiaries,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pacing w:after="0" w:line="181"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i w:val="1"/>
          <w:iCs w:val="1"/>
          <w:color w:val="auto"/>
        </w:rPr>
        <w:t>Effect of Change of Subsidiary Status</w:t>
      </w:r>
      <w:r>
        <w:rPr>
          <w:rFonts w:ascii="Arial" w:cs="Arial" w:eastAsia="Arial" w:hAnsi="Arial"/>
          <w:sz w:val="18"/>
          <w:szCs w:val="18"/>
          <w:color w:val="auto"/>
        </w:rPr>
        <w:t>. For purposes of this Plan and any award, if an entity ceases to be a Subsidiary of the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9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ACCELERATION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5"/>
          <w:szCs w:val="15"/>
          <w:b w:val="1"/>
          <w:bCs w:val="1"/>
          <w:i w:val="1"/>
          <w:iCs w:val="1"/>
          <w:color w:val="auto"/>
        </w:rPr>
        <w:t>Adjustments</w:t>
      </w:r>
      <w:r>
        <w:rPr>
          <w:rFonts w:ascii="Arial" w:cs="Arial" w:eastAsia="Arial" w:hAnsi="Arial"/>
          <w:sz w:val="15"/>
          <w:szCs w:val="15"/>
          <w:color w:val="auto"/>
        </w:rPr>
        <w:t>.</w:t>
      </w:r>
    </w:p>
    <w:p>
      <w:pPr>
        <w:spacing w:after="0" w:line="229" w:lineRule="exact"/>
        <w:rPr>
          <w:rFonts w:ascii="Arial" w:cs="Arial" w:eastAsia="Arial" w:hAnsi="Arial"/>
          <w:sz w:val="18"/>
          <w:szCs w:val="18"/>
          <w:b w:val="1"/>
          <w:bCs w:val="1"/>
          <w:color w:val="auto"/>
        </w:rPr>
      </w:pPr>
    </w:p>
    <w:p>
      <w:pPr>
        <w:jc w:val="both"/>
        <w:ind w:left="1960" w:hanging="656"/>
        <w:spacing w:after="0" w:line="269" w:lineRule="auto"/>
        <w:tabs>
          <w:tab w:leader="none" w:pos="19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78" w:lineRule="exact"/>
        <w:rPr>
          <w:rFonts w:ascii="Arial" w:cs="Arial" w:eastAsia="Arial" w:hAnsi="Arial"/>
          <w:sz w:val="17"/>
          <w:szCs w:val="17"/>
          <w:color w:val="auto"/>
        </w:rPr>
      </w:pPr>
    </w:p>
    <w:p>
      <w:pPr>
        <w:jc w:val="both"/>
        <w:ind w:left="1960" w:hanging="656"/>
        <w:spacing w:after="0" w:line="296" w:lineRule="auto"/>
        <w:tabs>
          <w:tab w:leader="none" w:pos="19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and/or period applicable to any then-outstanding performance-based awards to the extent necessary to preserve (but not increase) the level of incentives intended by this Plan and the then-outstanding performance-based awards.</w:t>
      </w:r>
    </w:p>
    <w:p>
      <w:pPr>
        <w:spacing w:after="0" w:line="161" w:lineRule="exact"/>
        <w:rPr>
          <w:rFonts w:ascii="Arial" w:cs="Arial" w:eastAsia="Arial" w:hAnsi="Arial"/>
          <w:sz w:val="16"/>
          <w:szCs w:val="16"/>
          <w:color w:val="auto"/>
        </w:rPr>
      </w:pPr>
    </w:p>
    <w:p>
      <w:pPr>
        <w:jc w:val="both"/>
        <w:ind w:left="1960" w:hanging="656"/>
        <w:spacing w:after="0" w:line="296" w:lineRule="auto"/>
        <w:tabs>
          <w:tab w:leader="none" w:pos="19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It is intended that, if possible, any adjustments contemplated by the preceding two paragraphs be made in a manner that satisfies applicable U.S. legal, tax (including, without limitation and as applicable in the circumstances, Section 424 of the Code as to ISOs, Section 409A of the Code as to awards intended to comply therewith and not be subject to taxation thereunder, and Section 162(m) of the Code as to any Qualifying Option or SAR and any Qualified Performance-Based Award) and accounting (so as to not trigger any unintended charge to earnings with respect to such adjustment) requirements.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spacing w:after="0" w:line="2" w:lineRule="exact"/>
        <w:rPr>
          <w:sz w:val="20"/>
          <w:szCs w:val="20"/>
          <w:color w:val="auto"/>
        </w:rPr>
      </w:pPr>
    </w:p>
    <w:p>
      <w:pPr>
        <w:jc w:val="both"/>
        <w:ind w:left="1300" w:hanging="656"/>
        <w:spacing w:after="0" w:line="263"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i w:val="1"/>
          <w:iCs w:val="1"/>
          <w:color w:val="auto"/>
        </w:rPr>
        <w:t>Corporate Transactions - Assumption and Termination of Awards</w:t>
      </w:r>
      <w:r>
        <w:rPr>
          <w:rFonts w:ascii="Arial" w:cs="Arial" w:eastAsia="Arial" w:hAnsi="Arial"/>
          <w:sz w:val="15"/>
          <w:szCs w:val="15"/>
          <w:color w:val="auto"/>
        </w:rPr>
        <w:t>.</w:t>
      </w:r>
    </w:p>
    <w:p>
      <w:pPr>
        <w:spacing w:after="0" w:line="229" w:lineRule="exact"/>
        <w:rPr>
          <w:sz w:val="20"/>
          <w:szCs w:val="20"/>
          <w:color w:val="auto"/>
        </w:rPr>
      </w:pPr>
    </w:p>
    <w:p>
      <w:pPr>
        <w:jc w:val="both"/>
        <w:ind w:left="1300" w:hanging="656"/>
        <w:spacing w:after="0" w:line="284"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 Common Stock),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or the award otherwise would not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397" w:lineRule="exact"/>
        <w:rPr>
          <w:rFonts w:ascii="Arial" w:cs="Arial" w:eastAsia="Arial" w:hAnsi="Arial"/>
          <w:sz w:val="16"/>
          <w:szCs w:val="16"/>
          <w:color w:val="auto"/>
        </w:rPr>
      </w:pPr>
    </w:p>
    <w:p>
      <w:pPr>
        <w:jc w:val="both"/>
        <w:ind w:left="1300" w:hanging="656"/>
        <w:spacing w:after="0" w:line="273" w:lineRule="auto"/>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 award granted under this Plan shall provide that such award will automatically accelerate and become vested upon a Change in Control other than as provided in Section 7.2(a) (i.e., in connection with a termination or settlement of the award in connection with a transaction referenced in Section 7.2(a)). For clarity, the Administrator may provide, as to one or more awards granted under this Plan and subject to the minimum vesting provisions of Section 5.2, that the award will accelerate and become vested should the award holder’s employment or service terminate (including, but not limited to, in connection with a Change in Control) in such circumstances as the Administrator may provide.</w:t>
      </w:r>
    </w:p>
    <w:p>
      <w:pPr>
        <w:spacing w:after="0" w:line="177" w:lineRule="exact"/>
        <w:rPr>
          <w:rFonts w:ascii="Arial" w:cs="Arial" w:eastAsia="Arial" w:hAnsi="Arial"/>
          <w:sz w:val="17"/>
          <w:szCs w:val="17"/>
          <w:color w:val="auto"/>
        </w:rPr>
      </w:pPr>
    </w:p>
    <w:p>
      <w:pPr>
        <w:jc w:val="both"/>
        <w:ind w:left="1300" w:hanging="656"/>
        <w:spacing w:after="0" w:line="286"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Arial" w:cs="Arial" w:eastAsia="Arial" w:hAnsi="Arial"/>
          <w:sz w:val="16"/>
          <w:szCs w:val="16"/>
          <w:b w:val="1"/>
          <w:bCs w:val="1"/>
          <w:color w:val="auto"/>
        </w:rPr>
        <w:t>Parent</w:t>
      </w:r>
      <w:r>
        <w:rPr>
          <w:rFonts w:ascii="Arial" w:cs="Arial" w:eastAsia="Arial" w:hAnsi="Arial"/>
          <w:sz w:val="16"/>
          <w:szCs w:val="16"/>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73" w:lineRule="exact"/>
        <w:rPr>
          <w:rFonts w:ascii="Arial" w:cs="Arial" w:eastAsia="Arial" w:hAnsi="Arial"/>
          <w:sz w:val="16"/>
          <w:szCs w:val="16"/>
          <w:color w:val="auto"/>
        </w:rPr>
      </w:pPr>
    </w:p>
    <w:p>
      <w:pPr>
        <w:jc w:val="both"/>
        <w:ind w:left="1300" w:hanging="656"/>
        <w:spacing w:after="0" w:line="293"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64" w:lineRule="exact"/>
        <w:rPr>
          <w:rFonts w:ascii="Arial" w:cs="Arial" w:eastAsia="Arial" w:hAnsi="Arial"/>
          <w:sz w:val="16"/>
          <w:szCs w:val="16"/>
          <w:color w:val="auto"/>
        </w:rPr>
      </w:pPr>
    </w:p>
    <w:p>
      <w:pPr>
        <w:jc w:val="both"/>
        <w:ind w:left="1300" w:hanging="656"/>
        <w:spacing w:after="0" w:line="255"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192" w:lineRule="exact"/>
        <w:rPr>
          <w:rFonts w:ascii="Arial" w:cs="Arial" w:eastAsia="Arial" w:hAnsi="Arial"/>
          <w:sz w:val="18"/>
          <w:szCs w:val="18"/>
          <w:color w:val="auto"/>
        </w:rPr>
      </w:pPr>
    </w:p>
    <w:p>
      <w:pPr>
        <w:ind w:left="1300" w:right="20" w:hanging="656"/>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Without limiting the generality of Section 3.4, any good faith determination by the Administrator pursuant to its authority under this Section 7.2 shall be conclusive and binding on all persons.</w:t>
      </w:r>
    </w:p>
    <w:p>
      <w:pPr>
        <w:spacing w:after="0" w:line="170" w:lineRule="exact"/>
        <w:rPr>
          <w:rFonts w:ascii="Arial" w:cs="Arial" w:eastAsia="Arial" w:hAnsi="Arial"/>
          <w:sz w:val="18"/>
          <w:szCs w:val="18"/>
          <w:color w:val="auto"/>
        </w:rPr>
      </w:pPr>
    </w:p>
    <w:p>
      <w:pPr>
        <w:jc w:val="both"/>
        <w:ind w:left="1300" w:hanging="656"/>
        <w:spacing w:after="0" w:line="293"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Section 7.2(b), 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1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41" w:orient="portrait"/>
          <w:cols w:equalWidth="0" w:num="1">
            <w:col w:w="10580"/>
          </w:cols>
          <w:pgMar w:left="980" w:top="665" w:right="339" w:bottom="0" w:gutter="0" w:footer="0" w:header="0"/>
        </w:sectPr>
      </w:pPr>
    </w:p>
    <w:bookmarkStart w:id="79" w:name="page80"/>
    <w:bookmarkEnd w:id="79"/>
    <w:p>
      <w:pPr>
        <w:ind w:left="180" w:right="20" w:hanging="647"/>
        <w:spacing w:after="0" w:line="282" w:lineRule="auto"/>
        <w:tabs>
          <w:tab w:leader="none" w:pos="1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As used in this Plan, “</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occurrence, after the Effective Date,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162" w:lineRule="exact"/>
        <w:rPr>
          <w:sz w:val="20"/>
          <w:szCs w:val="20"/>
          <w:color w:val="auto"/>
        </w:rPr>
      </w:pPr>
    </w:p>
    <w:p>
      <w:pPr>
        <w:jc w:val="both"/>
        <w:ind w:left="840" w:hanging="656"/>
        <w:spacing w:after="0" w:line="287" w:lineRule="auto"/>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a “</w:t>
      </w:r>
      <w:r>
        <w:rPr>
          <w:rFonts w:ascii="Arial" w:cs="Arial" w:eastAsia="Arial" w:hAnsi="Arial"/>
          <w:sz w:val="16"/>
          <w:szCs w:val="16"/>
          <w:b w:val="1"/>
          <w:bCs w:val="1"/>
          <w:color w:val="auto"/>
        </w:rPr>
        <w:t>Person</w:t>
      </w:r>
      <w:r>
        <w:rPr>
          <w:rFonts w:ascii="Arial" w:cs="Arial" w:eastAsia="Arial" w:hAnsi="Arial"/>
          <w:sz w:val="16"/>
          <w:szCs w:val="16"/>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Arial" w:cs="Arial" w:eastAsia="Arial" w:hAnsi="Arial"/>
          <w:sz w:val="16"/>
          <w:szCs w:val="16"/>
          <w:b w:val="1"/>
          <w:bCs w:val="1"/>
          <w:color w:val="auto"/>
        </w:rPr>
        <w:t>Beneficially Own</w:t>
      </w:r>
      <w:r>
        <w:rPr>
          <w:rFonts w:ascii="Arial" w:cs="Arial" w:eastAsia="Arial" w:hAnsi="Arial"/>
          <w:sz w:val="16"/>
          <w:szCs w:val="16"/>
          <w:color w:val="auto"/>
        </w:rPr>
        <w:t>” or “</w:t>
      </w:r>
      <w:r>
        <w:rPr>
          <w:rFonts w:ascii="Arial" w:cs="Arial" w:eastAsia="Arial" w:hAnsi="Arial"/>
          <w:sz w:val="16"/>
          <w:szCs w:val="16"/>
          <w:b w:val="1"/>
          <w:bCs w:val="1"/>
          <w:color w:val="auto"/>
        </w:rPr>
        <w:t>Beneficial Owner</w:t>
      </w:r>
      <w:r>
        <w:rPr>
          <w:rFonts w:ascii="Arial" w:cs="Arial" w:eastAsia="Arial" w:hAnsi="Arial"/>
          <w:sz w:val="16"/>
          <w:szCs w:val="16"/>
          <w:color w:val="auto"/>
        </w:rPr>
        <w:t>” as the context may require) of thirty-three and one third percent or more of (i) the then outstanding shares of the Corporation’s common stock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w:t>
      </w:r>
      <w:r>
        <w:rPr>
          <w:rFonts w:ascii="Arial" w:cs="Arial" w:eastAsia="Arial" w:hAnsi="Arial"/>
          <w:sz w:val="16"/>
          <w:szCs w:val="16"/>
          <w:b w:val="1"/>
          <w:bCs w:val="1"/>
          <w:color w:val="auto"/>
        </w:rPr>
        <w:t>Company Common Stock</w:t>
      </w:r>
      <w:r>
        <w:rPr>
          <w:rFonts w:ascii="Arial" w:cs="Arial" w:eastAsia="Arial" w:hAnsi="Arial"/>
          <w:sz w:val="16"/>
          <w:szCs w:val="16"/>
          <w:color w:val="auto"/>
        </w:rPr>
        <w:t>”) or (ii) securities representing thirty-three and one-third percent or more of the combined voting</w:t>
      </w:r>
      <w:r>
        <w:rPr>
          <w:rFonts w:ascii="Arial" w:cs="Arial" w:eastAsia="Arial" w:hAnsi="Arial"/>
          <w:sz w:val="16"/>
          <w:szCs w:val="16"/>
          <w:b w:val="1"/>
          <w:bCs w:val="1"/>
          <w:color w:val="auto"/>
        </w:rPr>
        <w:t xml:space="preserve"> </w:t>
      </w:r>
      <w:r>
        <w:rPr>
          <w:rFonts w:ascii="Arial" w:cs="Arial" w:eastAsia="Arial" w:hAnsi="Arial"/>
          <w:sz w:val="16"/>
          <w:szCs w:val="16"/>
          <w:color w:val="auto"/>
        </w:rPr>
        <w:t>power of the Corporation’s then outstanding voting securities (“</w:t>
      </w:r>
      <w:r>
        <w:rPr>
          <w:rFonts w:ascii="Arial" w:cs="Arial" w:eastAsia="Arial" w:hAnsi="Arial"/>
          <w:sz w:val="16"/>
          <w:szCs w:val="16"/>
          <w:b w:val="1"/>
          <w:bCs w:val="1"/>
          <w:color w:val="auto"/>
        </w:rPr>
        <w:t>Outstanding Company Voting Securities</w:t>
      </w:r>
      <w:r>
        <w:rPr>
          <w:rFonts w:ascii="Arial" w:cs="Arial" w:eastAsia="Arial" w:hAnsi="Arial"/>
          <w:sz w:val="16"/>
          <w:szCs w:val="16"/>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171" w:lineRule="exact"/>
        <w:rPr>
          <w:rFonts w:ascii="Arial" w:cs="Arial" w:eastAsia="Arial" w:hAnsi="Arial"/>
          <w:sz w:val="16"/>
          <w:szCs w:val="16"/>
          <w:color w:val="auto"/>
        </w:rPr>
      </w:pPr>
    </w:p>
    <w:p>
      <w:pPr>
        <w:jc w:val="both"/>
        <w:ind w:left="840" w:hanging="656"/>
        <w:spacing w:after="0" w:line="273" w:lineRule="auto"/>
        <w:tabs>
          <w:tab w:leader="none" w:pos="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“Incumbent Directors”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177" w:lineRule="exact"/>
        <w:rPr>
          <w:rFonts w:ascii="Arial" w:cs="Arial" w:eastAsia="Arial" w:hAnsi="Arial"/>
          <w:sz w:val="17"/>
          <w:szCs w:val="17"/>
          <w:color w:val="auto"/>
        </w:rPr>
      </w:pPr>
    </w:p>
    <w:p>
      <w:pPr>
        <w:jc w:val="both"/>
        <w:ind w:left="840" w:hanging="656"/>
        <w:spacing w:after="0" w:line="285" w:lineRule="auto"/>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extraordinary corporate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Arial" w:cs="Arial" w:eastAsia="Arial" w:hAnsi="Arial"/>
          <w:sz w:val="16"/>
          <w:szCs w:val="16"/>
          <w:b w:val="1"/>
          <w:bCs w:val="1"/>
          <w:color w:val="auto"/>
        </w:rPr>
        <w:t>Parent</w:t>
      </w:r>
      <w:r>
        <w:rPr>
          <w:rFonts w:ascii="Arial" w:cs="Arial" w:eastAsia="Arial" w:hAnsi="Arial"/>
          <w:sz w:val="16"/>
          <w:szCs w:val="16"/>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71" w:lineRule="exact"/>
        <w:rPr>
          <w:rFonts w:ascii="Arial" w:cs="Arial" w:eastAsia="Arial" w:hAnsi="Arial"/>
          <w:sz w:val="16"/>
          <w:szCs w:val="16"/>
          <w:color w:val="auto"/>
        </w:rPr>
      </w:pPr>
    </w:p>
    <w:p>
      <w:pPr>
        <w:ind w:left="840" w:hanging="656"/>
        <w:spacing w:after="0" w:line="277" w:lineRule="auto"/>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Approval by the stockholders of the Corporation of a complete liquidation or dissolution of the Corporation other than in the context of a transaction covered by, and that does not constitute a Change in Control under, clause (c) above.</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0" w:name="page81"/>
    <w:bookmarkEnd w:id="80"/>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25"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i w:val="1"/>
          <w:iCs w:val="1"/>
          <w:color w:val="auto"/>
        </w:rPr>
        <w:t>Compliance with Laws</w:t>
      </w:r>
      <w:r>
        <w:rPr>
          <w:rFonts w:ascii="Arial" w:cs="Arial" w:eastAsia="Arial" w:hAnsi="Arial"/>
          <w:sz w:val="16"/>
          <w:szCs w:val="16"/>
          <w:color w:val="auto"/>
        </w:rPr>
        <w:t>. This Plan, the granting and vesting of awards under this Plan, the offer, issuance and delivery of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66" w:lineRule="exact"/>
        <w:rPr>
          <w:sz w:val="20"/>
          <w:szCs w:val="20"/>
          <w:color w:val="auto"/>
        </w:rPr>
      </w:pPr>
    </w:p>
    <w:p>
      <w:pPr>
        <w:jc w:val="both"/>
        <w:ind w:left="1300" w:right="2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i w:val="1"/>
          <w:iCs w:val="1"/>
          <w:color w:val="auto"/>
        </w:rPr>
        <w:t>No Rights to Award</w:t>
      </w:r>
      <w:r>
        <w:rPr>
          <w:rFonts w:ascii="Arial" w:cs="Arial" w:eastAsia="Arial" w:hAnsi="Arial"/>
          <w:sz w:val="17"/>
          <w:szCs w:val="17"/>
          <w:color w:val="auto"/>
        </w:rPr>
        <w:t>. No person shall have any claim or rights to be granted an award (or additional awards, as the case may be)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Plan, subject to any express contractual rights (set forth in a document other than this Plan) to the contrary.</w:t>
      </w:r>
    </w:p>
    <w:p>
      <w:pPr>
        <w:spacing w:after="0" w:line="146"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i w:val="1"/>
          <w:iCs w:val="1"/>
          <w:color w:val="auto"/>
        </w:rPr>
        <w:t>No Employment/Service Contract</w:t>
      </w:r>
      <w:r>
        <w:rPr>
          <w:rFonts w:ascii="Arial" w:cs="Arial" w:eastAsia="Arial" w:hAnsi="Arial"/>
          <w:sz w:val="18"/>
          <w:szCs w:val="18"/>
          <w:color w:val="auto"/>
        </w:rPr>
        <w:t>. Nothing contained in this Plan (or in any other documents under this Plan or in any award)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 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95"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i w:val="1"/>
          <w:iCs w:val="1"/>
          <w:color w:val="auto"/>
        </w:rPr>
        <w:t>Plan Not Funded</w:t>
      </w:r>
      <w:r>
        <w:rPr>
          <w:rFonts w:ascii="Arial" w:cs="Arial" w:eastAsia="Arial" w:hAnsi="Arial"/>
          <w:sz w:val="16"/>
          <w:szCs w:val="16"/>
          <w:color w:val="auto"/>
        </w:rPr>
        <w:t>. Awards payable under this Plan shall be payable in shares or from the general assets of the Corporation, and no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65" w:lineRule="exact"/>
        <w:rPr>
          <w:sz w:val="20"/>
          <w:szCs w:val="20"/>
          <w:color w:val="auto"/>
        </w:rPr>
      </w:pPr>
    </w:p>
    <w:p>
      <w:pPr>
        <w:jc w:val="both"/>
        <w:ind w:left="1300" w:hanging="647"/>
        <w:spacing w:after="0" w:line="275" w:lineRule="auto"/>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i w:val="1"/>
          <w:iCs w:val="1"/>
          <w:color w:val="auto"/>
        </w:rPr>
        <w:t>Tax Withholding</w:t>
      </w:r>
      <w:r>
        <w:rPr>
          <w:rFonts w:ascii="Arial" w:cs="Arial" w:eastAsia="Arial" w:hAnsi="Arial"/>
          <w:sz w:val="17"/>
          <w:szCs w:val="17"/>
          <w:color w:val="auto"/>
        </w:rPr>
        <w:t>. Upon any exercise, vesting, or payment of any award, or upon the disposition of shares of Common Stock acquired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to withhold with respect to such award event or payment. Such arrangements may include (but are not limited to) any one of (or a combination of) the following:</w:t>
      </w:r>
    </w:p>
    <w:p>
      <w:pPr>
        <w:spacing w:after="0" w:line="180" w:lineRule="exact"/>
        <w:rPr>
          <w:sz w:val="20"/>
          <w:szCs w:val="20"/>
          <w:color w:val="auto"/>
        </w:rPr>
      </w:pPr>
    </w:p>
    <w:p>
      <w:pPr>
        <w:jc w:val="both"/>
        <w:ind w:left="1960" w:hanging="656"/>
        <w:spacing w:after="0" w:line="263" w:lineRule="auto"/>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to withhold with respect to such award event or payment.</w:t>
      </w:r>
    </w:p>
    <w:p>
      <w:pPr>
        <w:spacing w:after="0" w:line="183"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to withhold with respect to such award event or payment.</w:t>
      </w:r>
    </w:p>
    <w:p>
      <w:pPr>
        <w:spacing w:after="0" w:line="186" w:lineRule="exact"/>
        <w:rPr>
          <w:rFonts w:ascii="Arial" w:cs="Arial" w:eastAsia="Arial" w:hAnsi="Arial"/>
          <w:sz w:val="18"/>
          <w:szCs w:val="18"/>
          <w:color w:val="auto"/>
        </w:rPr>
      </w:pPr>
    </w:p>
    <w:p>
      <w:pPr>
        <w:jc w:val="both"/>
        <w:ind w:left="1960" w:hanging="656"/>
        <w:spacing w:after="0" w:line="293" w:lineRule="auto"/>
        <w:tabs>
          <w:tab w:leader="none" w:pos="1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spacing w:after="0"/>
        <w:tabs>
          <w:tab w:leader="none" w:pos="6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i w:val="1"/>
          <w:iCs w:val="1"/>
          <w:color w:val="auto"/>
        </w:rPr>
        <w:t>Effective Date, Termination and Suspension, Amendments</w:t>
      </w:r>
      <w:r>
        <w:rPr>
          <w:rFonts w:ascii="Arial" w:cs="Arial" w:eastAsia="Arial" w:hAnsi="Arial"/>
          <w:sz w:val="15"/>
          <w:szCs w:val="15"/>
          <w:color w:val="auto"/>
        </w:rPr>
        <w:t>.</w:t>
      </w:r>
    </w:p>
    <w:p>
      <w:pPr>
        <w:spacing w:after="0" w:line="225"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b w:val="1"/>
          <w:bCs w:val="1"/>
          <w:color w:val="auto"/>
        </w:rPr>
        <w:t xml:space="preserve">8.6.1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This Plan is effective as of April 14, 2021, the date of its approval by the Board (the “</w:t>
      </w:r>
      <w:r>
        <w:rPr>
          <w:rFonts w:ascii="Arial" w:cs="Arial" w:eastAsia="Arial" w:hAnsi="Arial"/>
          <w:sz w:val="17"/>
          <w:szCs w:val="17"/>
          <w:b w:val="1"/>
          <w:bCs w:val="1"/>
          <w:color w:val="auto"/>
        </w:rPr>
        <w:t>Effective Date</w:t>
      </w:r>
      <w:r>
        <w:rPr>
          <w:rFonts w:ascii="Arial" w:cs="Arial" w:eastAsia="Arial" w:hAnsi="Arial"/>
          <w:sz w:val="17"/>
          <w:szCs w:val="17"/>
          <w:color w:val="auto"/>
        </w:rPr>
        <w:t>”).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submitted for and subject to stockholder approval no later than twelve months after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72"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b w:val="1"/>
          <w:bCs w:val="1"/>
          <w:color w:val="auto"/>
        </w:rPr>
        <w:t xml:space="preserve">8.6.2 </w:t>
      </w:r>
      <w:r>
        <w:rPr>
          <w:rFonts w:ascii="Arial" w:cs="Arial" w:eastAsia="Arial" w:hAnsi="Arial"/>
          <w:sz w:val="18"/>
          <w:szCs w:val="18"/>
          <w:b w:val="1"/>
          <w:bCs w:val="1"/>
          <w:i w:val="1"/>
          <w:iCs w:val="1"/>
          <w:color w:val="auto"/>
        </w:rPr>
        <w:t>Board Authorization</w:t>
      </w:r>
      <w:r>
        <w:rPr>
          <w:rFonts w:ascii="Arial" w:cs="Arial" w:eastAsia="Arial" w:hAnsi="Arial"/>
          <w:sz w:val="18"/>
          <w:szCs w:val="18"/>
          <w:color w:val="auto"/>
        </w:rPr>
        <w:t>. The Board may, at any time, terminate or, from time to time, amend, modify or suspend this Plan, in whole or</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No awards may be granted during any period that the Board suspends this Plan.</w:t>
      </w:r>
    </w:p>
    <w:p>
      <w:pPr>
        <w:spacing w:after="0" w:line="162"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b w:val="1"/>
          <w:bCs w:val="1"/>
          <w:color w:val="auto"/>
        </w:rPr>
        <w:t xml:space="preserve">8.6.3 </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Only to the extent then required by applicable law or deemed necessary or advisable by the Board,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this Plan shall be subject to stockholder approval.</w:t>
      </w:r>
    </w:p>
    <w:p>
      <w:pPr>
        <w:spacing w:after="0" w:line="162" w:lineRule="exact"/>
        <w:rPr>
          <w:sz w:val="20"/>
          <w:szCs w:val="20"/>
          <w:color w:val="auto"/>
        </w:rPr>
      </w:pPr>
    </w:p>
    <w:p>
      <w:pPr>
        <w:jc w:val="both"/>
        <w:ind w:left="640"/>
        <w:spacing w:after="0" w:line="277" w:lineRule="auto"/>
        <w:rPr>
          <w:sz w:val="20"/>
          <w:szCs w:val="20"/>
          <w:color w:val="auto"/>
        </w:rPr>
      </w:pPr>
      <w:r>
        <w:rPr>
          <w:rFonts w:ascii="Arial" w:cs="Arial" w:eastAsia="Arial" w:hAnsi="Arial"/>
          <w:sz w:val="17"/>
          <w:szCs w:val="17"/>
          <w:b w:val="1"/>
          <w:bCs w:val="1"/>
          <w:color w:val="auto"/>
        </w:rPr>
        <w:t xml:space="preserve">8.6.4 </w:t>
      </w:r>
      <w:r>
        <w:rPr>
          <w:rFonts w:ascii="Arial" w:cs="Arial" w:eastAsia="Arial" w:hAnsi="Arial"/>
          <w:sz w:val="17"/>
          <w:szCs w:val="17"/>
          <w:b w:val="1"/>
          <w:bCs w:val="1"/>
          <w:i w:val="1"/>
          <w:iCs w:val="1"/>
          <w:color w:val="auto"/>
        </w:rPr>
        <w:t>Amendments to Awards</w:t>
      </w:r>
      <w:r>
        <w:rPr>
          <w:rFonts w:ascii="Arial" w:cs="Arial" w:eastAsia="Arial" w:hAnsi="Arial"/>
          <w:sz w:val="17"/>
          <w:szCs w:val="17"/>
          <w:color w:val="auto"/>
        </w:rPr>
        <w:t>. Without limiting any other express authority of the Administrator under (but subject to) the express limits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no-repricing provision of Section 3.3.</w:t>
      </w:r>
    </w:p>
    <w:p>
      <w:pPr>
        <w:spacing w:after="0" w:line="168" w:lineRule="exact"/>
        <w:rPr>
          <w:sz w:val="20"/>
          <w:szCs w:val="20"/>
          <w:color w:val="auto"/>
        </w:rPr>
      </w:pPr>
    </w:p>
    <w:p>
      <w:pPr>
        <w:jc w:val="both"/>
        <w:ind w:left="640"/>
        <w:spacing w:after="0" w:line="298" w:lineRule="auto"/>
        <w:rPr>
          <w:sz w:val="20"/>
          <w:szCs w:val="20"/>
          <w:color w:val="auto"/>
        </w:rPr>
      </w:pPr>
      <w:r>
        <w:rPr>
          <w:rFonts w:ascii="Arial" w:cs="Arial" w:eastAsia="Arial" w:hAnsi="Arial"/>
          <w:sz w:val="16"/>
          <w:szCs w:val="16"/>
          <w:b w:val="1"/>
          <w:bCs w:val="1"/>
          <w:color w:val="auto"/>
        </w:rPr>
        <w:t xml:space="preserve">8.6.5 </w:t>
      </w:r>
      <w:r>
        <w:rPr>
          <w:rFonts w:ascii="Arial" w:cs="Arial" w:eastAsia="Arial" w:hAnsi="Arial"/>
          <w:sz w:val="16"/>
          <w:szCs w:val="16"/>
          <w:b w:val="1"/>
          <w:bCs w:val="1"/>
          <w:i w:val="1"/>
          <w:iCs w:val="1"/>
          <w:color w:val="auto"/>
        </w:rPr>
        <w:t>Limitations on Amendments to Plan and Awards</w:t>
      </w:r>
      <w:r>
        <w:rPr>
          <w:rFonts w:ascii="Arial" w:cs="Arial" w:eastAsia="Arial" w:hAnsi="Arial"/>
          <w:sz w:val="16"/>
          <w:szCs w:val="16"/>
          <w:color w:val="auto"/>
        </w:rPr>
        <w:t>. No amendment, suspension or termination of this Plan or amendment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54" w:lineRule="exact"/>
        <w:rPr>
          <w:sz w:val="20"/>
          <w:szCs w:val="20"/>
          <w:color w:val="auto"/>
        </w:rPr>
      </w:pPr>
    </w:p>
    <w:p>
      <w:pPr>
        <w:jc w:val="both"/>
        <w:ind w:left="640" w:hanging="647"/>
        <w:spacing w:after="0" w:line="279" w:lineRule="auto"/>
        <w:tabs>
          <w:tab w:leader="none" w:pos="6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i w:val="1"/>
          <w:iCs w:val="1"/>
          <w:color w:val="auto"/>
        </w:rPr>
        <w:t>Privileges of Stock Ownership</w:t>
      </w:r>
      <w:r>
        <w:rPr>
          <w:rFonts w:ascii="Arial" w:cs="Arial" w:eastAsia="Arial" w:hAnsi="Arial"/>
          <w:sz w:val="17"/>
          <w:szCs w:val="17"/>
          <w:color w:val="auto"/>
        </w:rPr>
        <w:t>. Except as otherwise expressly authorized by the Administrator or this Plan, a participant shall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entitled to any 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i w:val="1"/>
          <w:iCs w:val="1"/>
          <w:color w:val="auto"/>
        </w:rPr>
        <w:t>Governing Law; Severability</w:t>
      </w:r>
      <w:r>
        <w:rPr>
          <w:rFonts w:ascii="Arial" w:cs="Arial" w:eastAsia="Arial" w:hAnsi="Arial"/>
          <w:sz w:val="15"/>
          <w:szCs w:val="15"/>
          <w:color w:val="auto"/>
        </w:rPr>
        <w:t>.</w:t>
      </w:r>
    </w:p>
    <w:p>
      <w:pPr>
        <w:spacing w:after="0" w:line="22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b w:val="1"/>
          <w:bCs w:val="1"/>
          <w:color w:val="auto"/>
        </w:rPr>
        <w:t xml:space="preserve">8.8.1 </w:t>
      </w:r>
      <w:r>
        <w:rPr>
          <w:rFonts w:ascii="Arial" w:cs="Arial" w:eastAsia="Arial" w:hAnsi="Arial"/>
          <w:sz w:val="18"/>
          <w:szCs w:val="18"/>
          <w:b w:val="1"/>
          <w:bCs w:val="1"/>
          <w:i w:val="1"/>
          <w:iCs w:val="1"/>
          <w:color w:val="auto"/>
        </w:rPr>
        <w:t>Choice of Law</w:t>
      </w:r>
      <w:r>
        <w:rPr>
          <w:rFonts w:ascii="Arial" w:cs="Arial" w:eastAsia="Arial" w:hAnsi="Arial"/>
          <w:sz w:val="18"/>
          <w:szCs w:val="18"/>
          <w:color w:val="auto"/>
        </w:rPr>
        <w:t>. This Plan, the awards, all documents evidencing awards and all other related documents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Florida, notwithstanding any Florida or other conflict of law provision to the contrary.</w:t>
      </w:r>
    </w:p>
    <w:p>
      <w:pPr>
        <w:spacing w:after="0" w:line="176"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b w:val="1"/>
          <w:bCs w:val="1"/>
          <w:color w:val="auto"/>
        </w:rPr>
        <w:t xml:space="preserve">8.8.2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 court of competent jurisdiction holds any provision invalid and unenforceable, the remaining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shall continue in effect.</w:t>
      </w:r>
    </w:p>
    <w:p>
      <w:pPr>
        <w:spacing w:after="0" w:line="162"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b w:val="1"/>
          <w:bCs w:val="1"/>
          <w:color w:val="auto"/>
        </w:rPr>
        <w:t xml:space="preserve">8.8.3 </w:t>
      </w:r>
      <w:r>
        <w:rPr>
          <w:rFonts w:ascii="Arial" w:cs="Arial" w:eastAsia="Arial" w:hAnsi="Arial"/>
          <w:sz w:val="18"/>
          <w:szCs w:val="18"/>
          <w:b w:val="1"/>
          <w:bCs w:val="1"/>
          <w:i w:val="1"/>
          <w:iCs w:val="1"/>
          <w:color w:val="auto"/>
        </w:rPr>
        <w:t>Plan Construction</w:t>
      </w:r>
      <w:r>
        <w:rPr>
          <w:rFonts w:ascii="Arial" w:cs="Arial" w:eastAsia="Arial" w:hAnsi="Arial"/>
          <w:sz w:val="18"/>
          <w:szCs w:val="18"/>
          <w:color w:val="auto"/>
        </w:rPr>
        <w:t>. It is intended that this Plan, as well as awards granted under this Plan, comply with, and not result in any tax,</w:t>
      </w:r>
      <w:r>
        <w:rPr>
          <w:rFonts w:ascii="Arial" w:cs="Arial" w:eastAsia="Arial" w:hAnsi="Arial"/>
          <w:sz w:val="18"/>
          <w:szCs w:val="18"/>
          <w:b w:val="1"/>
          <w:bCs w:val="1"/>
          <w:color w:val="auto"/>
        </w:rPr>
        <w:t xml:space="preserve"> </w:t>
      </w:r>
      <w:r>
        <w:rPr>
          <w:rFonts w:ascii="Arial" w:cs="Arial" w:eastAsia="Arial" w:hAnsi="Arial"/>
          <w:sz w:val="18"/>
          <w:szCs w:val="18"/>
          <w:color w:val="auto"/>
        </w:rPr>
        <w:t>penalty or interest under, Section 409A of the Code. This Plan, as well as awards granted under this Plan, shall be construed and interpreted accordingly.</w:t>
      </w:r>
    </w:p>
    <w:p>
      <w:pPr>
        <w:spacing w:after="0" w:line="1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2" w:name="page83"/>
    <w:bookmarkEnd w:id="82"/>
    <w:p>
      <w:pPr>
        <w:jc w:val="both"/>
        <w:ind w:left="640" w:hanging="647"/>
        <w:spacing w:after="0" w:line="263" w:lineRule="auto"/>
        <w:tabs>
          <w:tab w:leader="none" w:pos="62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i w:val="1"/>
          <w:iCs w:val="1"/>
          <w:color w:val="auto"/>
        </w:rPr>
        <w:t>Captions</w:t>
      </w:r>
      <w:r>
        <w:rPr>
          <w:rFonts w:ascii="Arial" w:cs="Arial" w:eastAsia="Arial" w:hAnsi="Arial"/>
          <w:sz w:val="18"/>
          <w:szCs w:val="18"/>
          <w:color w:val="auto"/>
        </w:rPr>
        <w:t>. Captions and headings are given to the sections and subsections of this Plan solely as a convenience to facilitate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headings shall not be deemed in any way material or relevant to the construction or interpretation of this Plan or any provision thereof.</w:t>
      </w:r>
    </w:p>
    <w:p>
      <w:pPr>
        <w:spacing w:after="0" w:line="184"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7"/>
          <w:szCs w:val="17"/>
          <w:b w:val="1"/>
          <w:bCs w:val="1"/>
          <w:i w:val="1"/>
          <w:iCs w:val="1"/>
          <w:color w:val="auto"/>
        </w:rPr>
        <w:t>Stock-Based Awards in Substitution for Stock Options or Awards Granted by Other Corporation</w:t>
      </w:r>
      <w:r>
        <w:rPr>
          <w:rFonts w:ascii="Arial" w:cs="Arial" w:eastAsia="Arial" w:hAnsi="Arial"/>
          <w:sz w:val="17"/>
          <w:szCs w:val="17"/>
          <w:color w:val="auto"/>
        </w:rPr>
        <w:t>. Awards may be granted to Eligible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86" w:lineRule="exact"/>
        <w:rPr>
          <w:sz w:val="20"/>
          <w:szCs w:val="20"/>
          <w:color w:val="auto"/>
        </w:rPr>
      </w:pPr>
    </w:p>
    <w:p>
      <w:pPr>
        <w:jc w:val="both"/>
        <w:ind w:left="640" w:right="20" w:hanging="647"/>
        <w:spacing w:after="0" w:line="342" w:lineRule="auto"/>
        <w:tabs>
          <w:tab w:leader="none" w:pos="62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i w:val="1"/>
          <w:iCs w:val="1"/>
          <w:color w:val="auto"/>
        </w:rPr>
        <w:t>Non-Exclusivity of Plan</w:t>
      </w:r>
      <w:r>
        <w:rPr>
          <w:rFonts w:ascii="Arial" w:cs="Arial" w:eastAsia="Arial" w:hAnsi="Arial"/>
          <w:sz w:val="16"/>
          <w:szCs w:val="16"/>
          <w:color w:val="auto"/>
        </w:rPr>
        <w:t>. Nothing in this Plan shall limit or be deemed to limit the authority of the Board or the Administrator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or authorize any other compensation, with or without reference to the Common Stock, under any other plan or authority.</w:t>
      </w:r>
    </w:p>
    <w:p>
      <w:pPr>
        <w:spacing w:after="0" w:line="124"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i w:val="1"/>
          <w:iCs w:val="1"/>
          <w:color w:val="auto"/>
        </w:rPr>
        <w:t>No Corporate Action Restriction</w:t>
      </w:r>
      <w:r>
        <w:rPr>
          <w:rFonts w:ascii="Arial" w:cs="Arial" w:eastAsia="Arial" w:hAnsi="Arial"/>
          <w:sz w:val="16"/>
          <w:szCs w:val="16"/>
          <w:color w:val="auto"/>
        </w:rPr>
        <w:t>. The existence of this Plan, the award agreements and the awards granted hereunder shall not limit,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or restrict 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spacing w:after="0" w:line="168"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8"/>
          <w:szCs w:val="18"/>
          <w:b w:val="1"/>
          <w:bCs w:val="1"/>
          <w:i w:val="1"/>
          <w:iCs w:val="1"/>
          <w:color w:val="auto"/>
        </w:rPr>
        <w:t>Other Company Benefit and Compensation Programs</w:t>
      </w:r>
      <w:r>
        <w:rPr>
          <w:rFonts w:ascii="Arial" w:cs="Arial" w:eastAsia="Arial" w:hAnsi="Arial"/>
          <w:sz w:val="18"/>
          <w:szCs w:val="18"/>
          <w:color w:val="auto"/>
        </w:rPr>
        <w:t>. Payments and other benefits received by a participant under an award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5"/>
          <w:szCs w:val="15"/>
          <w:b w:val="1"/>
          <w:bCs w:val="1"/>
          <w:i w:val="1"/>
          <w:iCs w:val="1"/>
          <w:color w:val="auto"/>
        </w:rPr>
        <w:t>Clawback Policy and Forfeiture Provisions</w:t>
      </w:r>
      <w:r>
        <w:rPr>
          <w:rFonts w:ascii="Arial" w:cs="Arial" w:eastAsia="Arial" w:hAnsi="Arial"/>
          <w:sz w:val="15"/>
          <w:szCs w:val="15"/>
          <w:color w:val="auto"/>
        </w:rPr>
        <w:t>.</w:t>
      </w:r>
    </w:p>
    <w:p>
      <w:pPr>
        <w:spacing w:after="0" w:line="225"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b w:val="1"/>
          <w:bCs w:val="1"/>
          <w:color w:val="auto"/>
        </w:rPr>
        <w:t xml:space="preserve">8.14.1 </w:t>
      </w:r>
      <w:r>
        <w:rPr>
          <w:rFonts w:ascii="Arial" w:cs="Arial" w:eastAsia="Arial" w:hAnsi="Arial"/>
          <w:sz w:val="17"/>
          <w:szCs w:val="17"/>
          <w:color w:val="auto"/>
        </w:rPr>
        <w:t>All awards granted under this Plan (including any proceeds, gains or other economic benefit actually or constructively received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holder upon any receipt, vesting, payment or exercise of any award or upon the receipt or resale of any shares of Common Stock underlying the award) are subject to the terms and provisions of the Corporation’s recoupment, clawback or similar policy as it may be in effect from time to time, as well as any similar provisions of applicable law, such as the Dodd-Frank Wall Street Reform and Consumer Protection Act and any rules or regulations promulgated thereunder,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7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8784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7878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8784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78784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1)"/>
      <w:numFmt w:val="decimal"/>
    </w:lvl>
    <w:lvl w:ilvl="1">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amp;"/>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decimal"/>
      <w:start w:val="3"/>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lvl w:ilvl="1">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2"/>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1)"/>
      <w:numFmt w:val="lowerRoman"/>
      <w:start w:val="1"/>
    </w:lvl>
  </w:abstractNum>
  <w:abstractNum w:abstractNumId="44">
    <w:nsid w:val="7E0C57B1"/>
    <w:multiLevelType w:val="hybridMultilevel"/>
    <w:lvl w:ilvl="0">
      <w:lvlJc w:val="left"/>
      <w:lvlText w:val="1"/>
      <w:numFmt w:val="bullet"/>
      <w:start w:val="1"/>
    </w:lvl>
  </w:abstractNum>
  <w:abstractNum w:abstractNumId="45">
    <w:nsid w:val="77AE35EB"/>
    <w:multiLevelType w:val="hybridMultilevel"/>
    <w:lvl w:ilvl="0">
      <w:lvlJc w:val="left"/>
      <w:lvlText w:val="2"/>
      <w:numFmt w:val="bullet"/>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decimal"/>
      <w:start w:val="2"/>
    </w:lvl>
  </w:abstractNum>
  <w:abstractNum w:abstractNumId="61">
    <w:nsid w:val="799D0247"/>
    <w:multiLevelType w:val="hybridMultilevel"/>
    <w:lvl w:ilvl="0">
      <w:lvlJc w:val="left"/>
      <w:lvlText w:val="%1."/>
      <w:numFmt w:val="decimal"/>
      <w:start w:val="3"/>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lowerLetter"/>
      <w:start w:val="3"/>
    </w:lvl>
  </w:abstractNum>
  <w:abstractNum w:abstractNumId="64">
    <w:nsid w:val="168E121F"/>
    <w:multiLevelType w:val="hybridMultilevel"/>
    <w:lvl w:ilvl="0">
      <w:lvlJc w:val="left"/>
      <w:lvlText w:val="%1."/>
      <w:numFmt w:val="decimal"/>
      <w:start w:val="4"/>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1)"/>
      <w:numFmt w:val="lowerRoman"/>
      <w:start w:val="2"/>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3"/>
    </w:lvl>
  </w:abstractNum>
  <w:abstractNum w:abstractNumId="70">
    <w:nsid w:val="51D9C564"/>
    <w:multiLevelType w:val="hybridMultilevel"/>
    <w:lvl w:ilvl="0">
      <w:lvlJc w:val="left"/>
      <w:lvlText w:val="%1."/>
      <w:numFmt w:val="decimal"/>
      <w:start w:val="5"/>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decimal"/>
      <w:start w:val="6"/>
    </w:lvl>
  </w:abstractNum>
  <w:abstractNum w:abstractNumId="74">
    <w:nsid w:val="42963E5A"/>
    <w:multiLevelType w:val="hybridMultilevel"/>
    <w:lvl w:ilvl="0">
      <w:lvlJc w:val="left"/>
      <w:lvlText w:val="%1."/>
      <w:numFmt w:val="decimal"/>
      <w:start w:val="7"/>
    </w:lvl>
    <w:lvl w:ilvl="1">
      <w:lvlJc w:val="left"/>
      <w:lvlText w:val="(%2)"/>
      <w:numFmt w:val="lowerLetter"/>
      <w:start w:val="1"/>
    </w:lvl>
  </w:abstractNum>
  <w:abstractNum w:abstractNumId="75">
    <w:nsid w:val="A0382C5"/>
    <w:multiLevelType w:val="hybridMultilevel"/>
    <w:lvl w:ilvl="0">
      <w:lvlJc w:val="left"/>
      <w:lvlText w:val="(%1)"/>
      <w:numFmt w:val="lowerLetter"/>
      <w:start w:val="4"/>
    </w:lvl>
  </w:abstractNum>
  <w:abstractNum w:abstractNumId="76">
    <w:nsid w:val="8F2B15E"/>
    <w:multiLevelType w:val="hybridMultilevel"/>
    <w:lvl w:ilvl="0">
      <w:lvlJc w:val="left"/>
      <w:lvlText w:val="(%1)"/>
      <w:numFmt w:val="lowerLetter"/>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8"/>
    </w:lvl>
  </w:abstractNum>
  <w:abstractNum w:abstractNumId="79">
    <w:nsid w:val="68EB2F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2021-04-16T15:31:18Z</dcterms:created>
  <dcterms:modified xsi:type="dcterms:W3CDTF">2021-04-16T15:31:18Z</dcterms:modified>
</cp:coreProperties>
</file>